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rPr>
          <w:rFonts w:ascii="Times New Roman" w:hAnsi="Times New Roman"/>
          <w:b/>
          <w:sz w:val="24"/>
          <w:lang w:val="en-US"/>
        </w:rPr>
      </w:pPr>
      <w:r>
        <w:rPr>
          <w:rFonts w:ascii="Times New Roman" w:hAnsi="Times New Roman"/>
          <w:sz w:val="24"/>
          <w:lang w:eastAsia="fr-FR"/>
        </w:rPr>
        <w:drawing>
          <wp:anchor distT="0" distB="0" distL="114300" distR="114300" simplePos="0" relativeHeight="251658240" behindDoc="1" locked="0" layoutInCell="1" allowOverlap="1">
            <wp:simplePos x="0" y="0"/>
            <wp:positionH relativeFrom="column">
              <wp:posOffset>-110490</wp:posOffset>
            </wp:positionH>
            <wp:positionV relativeFrom="paragraph">
              <wp:posOffset>-27940</wp:posOffset>
            </wp:positionV>
            <wp:extent cx="6438900" cy="562610"/>
            <wp:effectExtent l="0" t="0" r="0" b="8890"/>
            <wp:wrapTight wrapText="bothSides">
              <wp:wrapPolygon>
                <wp:start x="0" y="0"/>
                <wp:lineTo x="0" y="21210"/>
                <wp:lineTo x="21536" y="21210"/>
                <wp:lineTo x="21536" y="0"/>
                <wp:lineTo x="0" y="0"/>
              </wp:wrapPolygon>
            </wp:wrapTight>
            <wp:docPr id="3" name="Picture 2" descr="C:\Users\23767\Pictures\bannerhsd56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Users\23767\Pictures\bannerhsd56jpg.png"/>
                    <pic:cNvPicPr>
                      <a:picLocks noChangeAspect="1" noChangeArrowheads="1"/>
                    </pic:cNvPicPr>
                  </pic:nvPicPr>
                  <pic:blipFill>
                    <a:blip r:embed="rId6" cstate="print"/>
                    <a:srcRect t="10641" b="4082"/>
                    <a:stretch>
                      <a:fillRect/>
                    </a:stretch>
                  </pic:blipFill>
                  <pic:spPr>
                    <a:xfrm>
                      <a:off x="0" y="0"/>
                      <a:ext cx="6438900" cy="562610"/>
                    </a:xfrm>
                    <a:prstGeom prst="rect">
                      <a:avLst/>
                    </a:prstGeom>
                    <a:noFill/>
                    <a:ln w="9525">
                      <a:noFill/>
                      <a:miter lim="800000"/>
                      <a:headEnd/>
                      <a:tailEnd/>
                    </a:ln>
                  </pic:spPr>
                </pic:pic>
              </a:graphicData>
            </a:graphic>
          </wp:anchor>
        </w:drawing>
      </w:r>
      <w:r>
        <w:rPr>
          <w:rFonts w:ascii="Times New Roman" w:hAnsi="Times New Roman"/>
          <w:b/>
          <w:sz w:val="24"/>
          <w:lang w:val="en-US"/>
        </w:rPr>
        <w:t>Article Original</w:t>
      </w:r>
    </w:p>
    <w:p>
      <w:pPr>
        <w:spacing w:after="0" w:line="240" w:lineRule="auto"/>
        <w:jc w:val="center"/>
        <w:rPr>
          <w:rFonts w:hint="default" w:ascii="Times New Roman" w:hAnsi="Times New Roman" w:eastAsia="Times New Roman"/>
          <w:b/>
          <w:bCs/>
          <w:color w:val="17365D"/>
          <w:spacing w:val="5"/>
          <w:sz w:val="32"/>
          <w:szCs w:val="72"/>
        </w:rPr>
      </w:pPr>
      <w:r>
        <w:rPr>
          <w:rFonts w:hint="default" w:ascii="Times New Roman" w:hAnsi="Times New Roman" w:eastAsia="Times New Roman"/>
          <w:b/>
          <w:bCs/>
          <w:color w:val="17365D"/>
          <w:spacing w:val="5"/>
          <w:sz w:val="32"/>
          <w:szCs w:val="72"/>
        </w:rPr>
        <w:t xml:space="preserve">Prise en </w:t>
      </w:r>
      <w:r>
        <w:rPr>
          <w:rFonts w:hint="default" w:ascii="Times New Roman" w:hAnsi="Times New Roman" w:eastAsia="Times New Roman"/>
          <w:b/>
          <w:bCs/>
          <w:color w:val="17365D"/>
          <w:spacing w:val="5"/>
          <w:sz w:val="32"/>
          <w:szCs w:val="72"/>
          <w:lang w:val="fr-FR"/>
        </w:rPr>
        <w:t>C</w:t>
      </w:r>
      <w:r>
        <w:rPr>
          <w:rFonts w:hint="default" w:ascii="Times New Roman" w:hAnsi="Times New Roman" w:eastAsia="Times New Roman"/>
          <w:b/>
          <w:bCs/>
          <w:color w:val="17365D"/>
          <w:spacing w:val="5"/>
          <w:sz w:val="32"/>
          <w:szCs w:val="72"/>
        </w:rPr>
        <w:t xml:space="preserve">harge </w:t>
      </w:r>
      <w:r>
        <w:rPr>
          <w:rFonts w:hint="default" w:ascii="Times New Roman" w:hAnsi="Times New Roman" w:eastAsia="Times New Roman"/>
          <w:b/>
          <w:bCs/>
          <w:color w:val="17365D"/>
          <w:spacing w:val="5"/>
          <w:sz w:val="32"/>
          <w:szCs w:val="72"/>
          <w:lang w:val="fr-FR"/>
        </w:rPr>
        <w:t>C</w:t>
      </w:r>
      <w:r>
        <w:rPr>
          <w:rFonts w:hint="default" w:ascii="Times New Roman" w:hAnsi="Times New Roman" w:eastAsia="Times New Roman"/>
          <w:b/>
          <w:bCs/>
          <w:color w:val="17365D"/>
          <w:spacing w:val="5"/>
          <w:sz w:val="32"/>
          <w:szCs w:val="72"/>
        </w:rPr>
        <w:t>hirurgicales des Plaies Pénétrantes Abdominales à l’</w:t>
      </w:r>
      <w:r>
        <w:rPr>
          <w:rFonts w:hint="default" w:ascii="Times New Roman" w:hAnsi="Times New Roman" w:eastAsia="Times New Roman"/>
          <w:b/>
          <w:bCs/>
          <w:color w:val="17365D"/>
          <w:spacing w:val="5"/>
          <w:sz w:val="32"/>
          <w:szCs w:val="72"/>
          <w:lang w:val="fr-FR"/>
        </w:rPr>
        <w:t>H</w:t>
      </w:r>
      <w:r>
        <w:rPr>
          <w:rFonts w:hint="default" w:ascii="Times New Roman" w:hAnsi="Times New Roman" w:eastAsia="Times New Roman"/>
          <w:b/>
          <w:bCs/>
          <w:color w:val="17365D"/>
          <w:spacing w:val="5"/>
          <w:sz w:val="32"/>
          <w:szCs w:val="72"/>
        </w:rPr>
        <w:t xml:space="preserve">ôpital Laquintinie de </w:t>
      </w:r>
      <w:r>
        <w:rPr>
          <w:rFonts w:hint="default" w:ascii="Times New Roman" w:hAnsi="Times New Roman" w:eastAsia="Times New Roman"/>
          <w:b/>
          <w:bCs/>
          <w:color w:val="17365D"/>
          <w:spacing w:val="5"/>
          <w:sz w:val="32"/>
          <w:szCs w:val="72"/>
          <w:lang w:val="fr-FR"/>
        </w:rPr>
        <w:t>D</w:t>
      </w:r>
      <w:r>
        <w:rPr>
          <w:rFonts w:hint="default" w:ascii="Times New Roman" w:hAnsi="Times New Roman" w:eastAsia="Times New Roman"/>
          <w:b/>
          <w:bCs/>
          <w:color w:val="17365D"/>
          <w:spacing w:val="5"/>
          <w:sz w:val="32"/>
          <w:szCs w:val="72"/>
        </w:rPr>
        <w:t>ouala</w:t>
      </w:r>
      <w:r>
        <w:rPr>
          <w:rFonts w:hint="default" w:ascii="Times New Roman" w:hAnsi="Times New Roman" w:eastAsia="Times New Roman"/>
          <w:b/>
          <w:bCs/>
          <w:color w:val="17365D"/>
          <w:spacing w:val="5"/>
          <w:sz w:val="32"/>
          <w:szCs w:val="72"/>
          <w:lang w:val="fr-FR"/>
        </w:rPr>
        <w:t>:</w:t>
      </w:r>
      <w:r>
        <w:rPr>
          <w:rFonts w:hint="default" w:ascii="Times New Roman" w:hAnsi="Times New Roman" w:eastAsia="Times New Roman"/>
          <w:b/>
          <w:bCs/>
          <w:color w:val="17365D"/>
          <w:spacing w:val="5"/>
          <w:sz w:val="32"/>
          <w:szCs w:val="72"/>
        </w:rPr>
        <w:t xml:space="preserve"> </w:t>
      </w:r>
      <w:r>
        <w:rPr>
          <w:rFonts w:hint="default" w:ascii="Times New Roman" w:hAnsi="Times New Roman" w:eastAsia="Times New Roman"/>
          <w:b/>
          <w:bCs/>
          <w:color w:val="17365D"/>
          <w:spacing w:val="5"/>
          <w:sz w:val="32"/>
          <w:szCs w:val="72"/>
          <w:lang w:val="fr-FR"/>
        </w:rPr>
        <w:t>I</w:t>
      </w:r>
      <w:r>
        <w:rPr>
          <w:rFonts w:hint="default" w:ascii="Times New Roman" w:hAnsi="Times New Roman" w:eastAsia="Times New Roman"/>
          <w:b/>
          <w:bCs/>
          <w:color w:val="17365D"/>
          <w:spacing w:val="5"/>
          <w:sz w:val="32"/>
          <w:szCs w:val="72"/>
        </w:rPr>
        <w:t xml:space="preserve">ndications, </w:t>
      </w:r>
      <w:r>
        <w:rPr>
          <w:rFonts w:hint="default" w:ascii="Times New Roman" w:hAnsi="Times New Roman" w:eastAsia="Times New Roman"/>
          <w:b/>
          <w:bCs/>
          <w:color w:val="17365D"/>
          <w:spacing w:val="5"/>
          <w:sz w:val="32"/>
          <w:szCs w:val="72"/>
          <w:lang w:val="fr-FR"/>
        </w:rPr>
        <w:t>T</w:t>
      </w:r>
      <w:r>
        <w:rPr>
          <w:rFonts w:hint="default" w:ascii="Times New Roman" w:hAnsi="Times New Roman" w:eastAsia="Times New Roman"/>
          <w:b/>
          <w:bCs/>
          <w:color w:val="17365D"/>
          <w:spacing w:val="5"/>
          <w:sz w:val="32"/>
          <w:szCs w:val="72"/>
        </w:rPr>
        <w:t xml:space="preserve">echniques et </w:t>
      </w:r>
      <w:r>
        <w:rPr>
          <w:rFonts w:hint="default" w:ascii="Times New Roman" w:hAnsi="Times New Roman" w:eastAsia="Times New Roman"/>
          <w:b/>
          <w:bCs/>
          <w:color w:val="17365D"/>
          <w:spacing w:val="5"/>
          <w:sz w:val="32"/>
          <w:szCs w:val="72"/>
          <w:lang w:val="fr-FR"/>
        </w:rPr>
        <w:t>R</w:t>
      </w:r>
      <w:r>
        <w:rPr>
          <w:rFonts w:hint="default" w:ascii="Times New Roman" w:hAnsi="Times New Roman" w:eastAsia="Times New Roman"/>
          <w:b/>
          <w:bCs/>
          <w:color w:val="17365D"/>
          <w:spacing w:val="5"/>
          <w:sz w:val="32"/>
          <w:szCs w:val="72"/>
        </w:rPr>
        <w:t xml:space="preserve">ésultats </w:t>
      </w:r>
      <w:r>
        <w:rPr>
          <w:rFonts w:hint="default" w:ascii="Times New Roman" w:hAnsi="Times New Roman" w:eastAsia="Times New Roman"/>
          <w:b/>
          <w:bCs/>
          <w:color w:val="17365D"/>
          <w:spacing w:val="5"/>
          <w:sz w:val="32"/>
          <w:szCs w:val="72"/>
          <w:lang w:val="fr-FR"/>
        </w:rPr>
        <w:t>à</w:t>
      </w:r>
      <w:r>
        <w:rPr>
          <w:rFonts w:hint="default" w:ascii="Times New Roman" w:hAnsi="Times New Roman" w:eastAsia="Times New Roman"/>
          <w:b/>
          <w:bCs/>
          <w:color w:val="17365D"/>
          <w:spacing w:val="5"/>
          <w:sz w:val="32"/>
          <w:szCs w:val="72"/>
        </w:rPr>
        <w:t xml:space="preserve"> </w:t>
      </w:r>
      <w:r>
        <w:rPr>
          <w:rFonts w:hint="default" w:ascii="Times New Roman" w:hAnsi="Times New Roman" w:eastAsia="Times New Roman"/>
          <w:b/>
          <w:bCs/>
          <w:color w:val="17365D"/>
          <w:spacing w:val="5"/>
          <w:sz w:val="32"/>
          <w:szCs w:val="72"/>
          <w:lang w:val="fr-FR"/>
        </w:rPr>
        <w:t>P</w:t>
      </w:r>
      <w:r>
        <w:rPr>
          <w:rFonts w:hint="default" w:ascii="Times New Roman" w:hAnsi="Times New Roman" w:eastAsia="Times New Roman"/>
          <w:b/>
          <w:bCs/>
          <w:color w:val="17365D"/>
          <w:spacing w:val="5"/>
          <w:sz w:val="32"/>
          <w:szCs w:val="72"/>
        </w:rPr>
        <w:t xml:space="preserve">ropos de 37 </w:t>
      </w:r>
      <w:r>
        <w:rPr>
          <w:rFonts w:hint="default" w:ascii="Times New Roman" w:hAnsi="Times New Roman" w:eastAsia="Times New Roman"/>
          <w:b/>
          <w:bCs/>
          <w:color w:val="17365D"/>
          <w:spacing w:val="5"/>
          <w:sz w:val="32"/>
          <w:szCs w:val="72"/>
          <w:lang w:val="fr-FR"/>
        </w:rPr>
        <w:t>C</w:t>
      </w:r>
      <w:r>
        <w:rPr>
          <w:rFonts w:hint="default" w:ascii="Times New Roman" w:hAnsi="Times New Roman" w:eastAsia="Times New Roman"/>
          <w:b/>
          <w:bCs/>
          <w:color w:val="17365D"/>
          <w:spacing w:val="5"/>
          <w:sz w:val="32"/>
          <w:szCs w:val="72"/>
        </w:rPr>
        <w:t>as</w:t>
      </w:r>
    </w:p>
    <w:p>
      <w:pPr>
        <w:spacing w:line="240" w:lineRule="auto"/>
        <w:jc w:val="center"/>
        <w:rPr>
          <w:rFonts w:ascii="Times New Roman" w:hAnsi="Times New Roman" w:eastAsia="Times New Roman"/>
          <w:b/>
          <w:bCs/>
          <w:i/>
          <w:iCs/>
          <w:color w:val="4F81BD"/>
          <w:spacing w:val="15"/>
          <w:lang w:val="en-US" w:bidi="en-US"/>
        </w:rPr>
      </w:pPr>
      <w:r>
        <w:rPr>
          <w:rFonts w:ascii="Times New Roman" w:hAnsi="Times New Roman" w:eastAsia="Times New Roman"/>
          <w:b/>
          <w:bCs/>
          <w:i/>
          <w:iCs/>
          <w:color w:val="4F81BD"/>
          <w:spacing w:val="15"/>
          <w:lang w:val="en-US" w:bidi="en-US"/>
        </w:rPr>
        <w:t xml:space="preserve">Surgical </w:t>
      </w:r>
      <w:r>
        <w:rPr>
          <w:rFonts w:hint="default" w:ascii="Times New Roman" w:hAnsi="Times New Roman" w:eastAsia="Times New Roman"/>
          <w:b/>
          <w:bCs/>
          <w:i/>
          <w:iCs/>
          <w:color w:val="4F81BD"/>
          <w:spacing w:val="15"/>
          <w:lang w:val="fr-FR" w:bidi="en-US"/>
        </w:rPr>
        <w:t>m</w:t>
      </w:r>
      <w:r>
        <w:rPr>
          <w:rFonts w:ascii="Times New Roman" w:hAnsi="Times New Roman" w:eastAsia="Times New Roman"/>
          <w:b/>
          <w:bCs/>
          <w:i/>
          <w:iCs/>
          <w:color w:val="4F81BD"/>
          <w:spacing w:val="15"/>
          <w:lang w:val="en-US" w:bidi="en-US"/>
        </w:rPr>
        <w:t xml:space="preserve">anagement of abdominal penetrating wounds at the </w:t>
      </w:r>
      <w:r>
        <w:rPr>
          <w:rFonts w:hint="default" w:ascii="Times New Roman" w:hAnsi="Times New Roman" w:eastAsia="Times New Roman"/>
          <w:b/>
          <w:bCs/>
          <w:i/>
          <w:iCs/>
          <w:color w:val="4F81BD"/>
          <w:spacing w:val="15"/>
          <w:lang w:val="fr-FR" w:bidi="en-US"/>
        </w:rPr>
        <w:t>L</w:t>
      </w:r>
      <w:r>
        <w:rPr>
          <w:rFonts w:ascii="Times New Roman" w:hAnsi="Times New Roman" w:eastAsia="Times New Roman"/>
          <w:b/>
          <w:bCs/>
          <w:i/>
          <w:iCs/>
          <w:color w:val="4F81BD"/>
          <w:spacing w:val="15"/>
          <w:lang w:val="en-US" w:bidi="en-US"/>
        </w:rPr>
        <w:t xml:space="preserve">aquintinie </w:t>
      </w:r>
      <w:r>
        <w:rPr>
          <w:rFonts w:hint="default" w:ascii="Times New Roman" w:hAnsi="Times New Roman" w:eastAsia="Times New Roman"/>
          <w:b/>
          <w:bCs/>
          <w:i/>
          <w:iCs/>
          <w:color w:val="4F81BD"/>
          <w:spacing w:val="15"/>
          <w:lang w:val="fr-FR" w:bidi="en-US"/>
        </w:rPr>
        <w:t>h</w:t>
      </w:r>
      <w:r>
        <w:rPr>
          <w:rFonts w:ascii="Times New Roman" w:hAnsi="Times New Roman" w:eastAsia="Times New Roman"/>
          <w:b/>
          <w:bCs/>
          <w:i/>
          <w:iCs/>
          <w:color w:val="4F81BD"/>
          <w:spacing w:val="15"/>
          <w:lang w:val="en-US" w:bidi="en-US"/>
        </w:rPr>
        <w:t xml:space="preserve">ospital in </w:t>
      </w:r>
      <w:r>
        <w:rPr>
          <w:rFonts w:hint="default" w:ascii="Times New Roman" w:hAnsi="Times New Roman" w:eastAsia="Times New Roman"/>
          <w:b/>
          <w:bCs/>
          <w:i/>
          <w:iCs/>
          <w:color w:val="4F81BD"/>
          <w:spacing w:val="15"/>
          <w:lang w:val="fr-FR" w:bidi="en-US"/>
        </w:rPr>
        <w:t>D</w:t>
      </w:r>
      <w:r>
        <w:rPr>
          <w:rFonts w:ascii="Times New Roman" w:hAnsi="Times New Roman" w:eastAsia="Times New Roman"/>
          <w:b/>
          <w:bCs/>
          <w:i/>
          <w:iCs/>
          <w:color w:val="4F81BD"/>
          <w:spacing w:val="15"/>
          <w:lang w:val="en-US" w:bidi="en-US"/>
        </w:rPr>
        <w:t>ouala</w:t>
      </w:r>
      <w:r>
        <w:rPr>
          <w:rFonts w:hint="default" w:ascii="Times New Roman" w:hAnsi="Times New Roman" w:eastAsia="Times New Roman"/>
          <w:b/>
          <w:bCs/>
          <w:i/>
          <w:iCs/>
          <w:color w:val="4F81BD"/>
          <w:spacing w:val="15"/>
          <w:lang w:val="fr-FR" w:bidi="en-US"/>
        </w:rPr>
        <w:t xml:space="preserve">: </w:t>
      </w:r>
      <w:r>
        <w:rPr>
          <w:rFonts w:ascii="Times New Roman" w:hAnsi="Times New Roman" w:eastAsia="Times New Roman"/>
          <w:b/>
          <w:bCs/>
          <w:i/>
          <w:iCs/>
          <w:color w:val="4F81BD"/>
          <w:spacing w:val="15"/>
          <w:lang w:val="en-US" w:bidi="en-US"/>
        </w:rPr>
        <w:t>indications, techniques and results on 37 cases</w:t>
      </w:r>
    </w:p>
    <w:p>
      <w:pPr>
        <w:spacing w:after="0" w:line="240" w:lineRule="auto"/>
        <w:jc w:val="center"/>
        <w:rPr>
          <w:rFonts w:ascii="Times New Roman" w:hAnsi="Times New Roman"/>
          <w:sz w:val="24"/>
          <w:szCs w:val="20"/>
        </w:rPr>
      </w:pPr>
      <w:r>
        <w:rPr>
          <w:rFonts w:hint="default" w:ascii="Times New Roman" w:hAnsi="Times New Roman"/>
          <w:sz w:val="24"/>
          <w:szCs w:val="20"/>
        </w:rPr>
        <w:t>Bombah Freddy¹,Biwolé Daniel²,Ekani Boukar³,NgoNonga Bernadette²,Essomba Arthur²</w:t>
      </w:r>
    </w:p>
    <w:tbl>
      <w:tblPr>
        <w:tblStyle w:val="12"/>
        <w:tblW w:w="10173" w:type="dxa"/>
        <w:tblInd w:w="0" w:type="dxa"/>
        <w:tblLayout w:type="fixed"/>
        <w:tblCellMar>
          <w:top w:w="0" w:type="dxa"/>
          <w:left w:w="108" w:type="dxa"/>
          <w:bottom w:w="0" w:type="dxa"/>
          <w:right w:w="108" w:type="dxa"/>
        </w:tblCellMar>
      </w:tblPr>
      <w:tblGrid>
        <w:gridCol w:w="3085"/>
        <w:gridCol w:w="7088"/>
      </w:tblGrid>
      <w:tr>
        <w:tblPrEx>
          <w:tblLayout w:type="fixed"/>
          <w:tblCellMar>
            <w:top w:w="0" w:type="dxa"/>
            <w:left w:w="108" w:type="dxa"/>
            <w:bottom w:w="0" w:type="dxa"/>
            <w:right w:w="108" w:type="dxa"/>
          </w:tblCellMar>
        </w:tblPrEx>
        <w:trPr>
          <w:trHeight w:val="158" w:hRule="atLeast"/>
        </w:trPr>
        <w:tc>
          <w:tcPr>
            <w:tcW w:w="3085" w:type="dxa"/>
          </w:tcPr>
          <w:p>
            <w:pPr>
              <w:spacing w:after="0" w:line="240" w:lineRule="auto"/>
              <w:rPr>
                <w:b/>
                <w:bCs/>
                <w:color w:val="365F91"/>
                <w:sz w:val="20"/>
                <w:szCs w:val="18"/>
              </w:rPr>
            </w:pPr>
          </w:p>
        </w:tc>
        <w:tc>
          <w:tcPr>
            <w:tcW w:w="7088" w:type="dxa"/>
          </w:tcPr>
          <w:p>
            <w:pPr>
              <w:spacing w:after="0" w:line="240" w:lineRule="auto"/>
              <w:jc w:val="both"/>
              <w:rPr>
                <w:rFonts w:ascii="Times New Roman" w:hAnsi="Times New Roman"/>
                <w:bCs/>
                <w:iCs/>
                <w:sz w:val="20"/>
                <w:szCs w:val="18"/>
              </w:rPr>
            </w:pPr>
          </w:p>
        </w:tc>
      </w:tr>
      <w:tr>
        <w:tblPrEx>
          <w:tblLayout w:type="fixed"/>
          <w:tblCellMar>
            <w:top w:w="0" w:type="dxa"/>
            <w:left w:w="108" w:type="dxa"/>
            <w:bottom w:w="0" w:type="dxa"/>
            <w:right w:w="108" w:type="dxa"/>
          </w:tblCellMar>
        </w:tblPrEx>
        <w:trPr>
          <w:trHeight w:val="98" w:hRule="atLeast"/>
        </w:trPr>
        <w:tc>
          <w:tcPr>
            <w:tcW w:w="3085" w:type="dxa"/>
            <w:vMerge w:val="restart"/>
            <w:shd w:val="clear" w:color="auto" w:fill="D3DFEE"/>
          </w:tcPr>
          <w:p>
            <w:pPr>
              <w:rPr>
                <w:b/>
                <w:bCs/>
                <w:color w:val="365F91"/>
                <w:sz w:val="20"/>
                <w:szCs w:val="18"/>
                <w:vertAlign w:val="superscript"/>
              </w:rPr>
            </w:pPr>
            <w:r>
              <w:rPr>
                <w:bCs/>
                <w:color w:val="5A5A5A"/>
                <w:sz w:val="20"/>
                <w:szCs w:val="20"/>
                <w:lang w:val="en-US"/>
              </w:rPr>
              <w:pict>
                <v:shape id="Text Box 4" o:spid="_x0000_s1026" o:spt="202" type="#_x0000_t202" style="position:absolute;left:0pt;margin-left:3.3pt;margin-top:11.35pt;height:317.65pt;width:137.5pt;z-index:251657216;mso-width-relative:margin;mso-height-relative:margin;" fillcolor="#FFFFFF"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">
                  <v:path/>
                  <v:fill on="t" color2="#FFFFFF" focussize="0,0"/>
                  <v:stroke on="f"/>
                  <v:imagedata o:title=""/>
                  <o:lock v:ext="edit" aspectratio="f"/>
                  <v:textbox>
                    <w:txbxContent>
                      <w:p>
                        <w:pPr>
                          <w:pStyle w:val="19"/>
                          <w:numPr>
                            <w:ilvl w:val="0"/>
                            <w:numId w:val="1"/>
                          </w:numPr>
                          <w:spacing w:after="0" w:line="240" w:lineRule="auto"/>
                          <w:ind w:left="426"/>
                          <w:contextualSpacing w:val="0"/>
                          <w:rPr>
                            <w:rFonts w:hint="default" w:ascii="Times New Roman" w:hAnsi="Times New Roman"/>
                            <w:sz w:val="18"/>
                            <w:szCs w:val="20"/>
                          </w:rPr>
                        </w:pPr>
                        <w:r>
                          <w:rPr>
                            <w:rFonts w:hint="default" w:ascii="Times New Roman" w:hAnsi="Times New Roman"/>
                            <w:sz w:val="18"/>
                            <w:szCs w:val="20"/>
                          </w:rPr>
                          <w:t>D</w:t>
                        </w:r>
                        <w:r>
                          <w:rPr>
                            <w:rFonts w:hint="default" w:ascii="Times New Roman" w:hAnsi="Times New Roman"/>
                            <w:sz w:val="18"/>
                            <w:szCs w:val="20"/>
                            <w:lang w:val="fr-FR"/>
                          </w:rPr>
                          <w:t>é</w:t>
                        </w:r>
                        <w:r>
                          <w:rPr>
                            <w:rFonts w:hint="default" w:ascii="Times New Roman" w:hAnsi="Times New Roman"/>
                            <w:sz w:val="18"/>
                            <w:szCs w:val="20"/>
                          </w:rPr>
                          <w:t>part</w:t>
                        </w:r>
                        <w:r>
                          <w:rPr>
                            <w:rFonts w:hint="default" w:ascii="Times New Roman" w:hAnsi="Times New Roman"/>
                            <w:sz w:val="18"/>
                            <w:szCs w:val="20"/>
                            <w:lang w:val="fr-FR"/>
                          </w:rPr>
                          <w:t>e</w:t>
                        </w:r>
                        <w:r>
                          <w:rPr>
                            <w:rFonts w:hint="default" w:ascii="Times New Roman" w:hAnsi="Times New Roman"/>
                            <w:sz w:val="18"/>
                            <w:szCs w:val="20"/>
                          </w:rPr>
                          <w:t>ment de chirurgie, Faculté de Médecine et des Sciences Pharmaceutiques, Université de Douala, Cameroun</w:t>
                        </w:r>
                      </w:p>
                      <w:p>
                        <w:pPr>
                          <w:pStyle w:val="19"/>
                          <w:numPr>
                            <w:ilvl w:val="0"/>
                            <w:numId w:val="1"/>
                          </w:numPr>
                          <w:spacing w:after="0" w:line="240" w:lineRule="auto"/>
                          <w:ind w:left="426"/>
                          <w:contextualSpacing w:val="0"/>
                          <w:rPr>
                            <w:rFonts w:ascii="Times New Roman" w:hAnsi="Times New Roman"/>
                            <w:sz w:val="18"/>
                            <w:szCs w:val="20"/>
                          </w:rPr>
                        </w:pPr>
                        <w:r>
                          <w:rPr>
                            <w:rFonts w:hint="default" w:ascii="Times New Roman" w:hAnsi="Times New Roman"/>
                            <w:sz w:val="18"/>
                            <w:szCs w:val="20"/>
                          </w:rPr>
                          <w:t>D</w:t>
                        </w:r>
                        <w:r>
                          <w:rPr>
                            <w:rFonts w:hint="default" w:ascii="Times New Roman" w:hAnsi="Times New Roman"/>
                            <w:sz w:val="18"/>
                            <w:szCs w:val="20"/>
                            <w:lang w:val="fr-FR"/>
                          </w:rPr>
                          <w:t>é</w:t>
                        </w:r>
                        <w:r>
                          <w:rPr>
                            <w:rFonts w:hint="default" w:ascii="Times New Roman" w:hAnsi="Times New Roman"/>
                            <w:sz w:val="18"/>
                            <w:szCs w:val="20"/>
                          </w:rPr>
                          <w:t>part</w:t>
                        </w:r>
                        <w:r>
                          <w:rPr>
                            <w:rFonts w:hint="default" w:ascii="Times New Roman" w:hAnsi="Times New Roman"/>
                            <w:sz w:val="18"/>
                            <w:szCs w:val="20"/>
                            <w:lang w:val="fr-FR"/>
                          </w:rPr>
                          <w:t>e</w:t>
                        </w:r>
                        <w:r>
                          <w:rPr>
                            <w:rFonts w:hint="default" w:ascii="Times New Roman" w:hAnsi="Times New Roman"/>
                            <w:sz w:val="18"/>
                            <w:szCs w:val="20"/>
                          </w:rPr>
                          <w:t>ment de chirurgie, Faculté de Médecine et des Sciences Biom</w:t>
                        </w:r>
                        <w:r>
                          <w:rPr>
                            <w:rFonts w:hint="default" w:ascii="Times New Roman" w:hAnsi="Times New Roman"/>
                            <w:sz w:val="18"/>
                            <w:szCs w:val="20"/>
                            <w:lang w:val="fr-FR"/>
                          </w:rPr>
                          <w:t>é</w:t>
                        </w:r>
                        <w:r>
                          <w:rPr>
                            <w:rFonts w:hint="default" w:ascii="Times New Roman" w:hAnsi="Times New Roman"/>
                            <w:sz w:val="18"/>
                            <w:szCs w:val="20"/>
                          </w:rPr>
                          <w:t>dicales, Université de Yaoundé I, Camerou</w:t>
                        </w:r>
                        <w:r>
                          <w:rPr>
                            <w:rFonts w:hint="default" w:ascii="Times New Roman" w:hAnsi="Times New Roman"/>
                            <w:sz w:val="18"/>
                            <w:szCs w:val="20"/>
                            <w:lang w:val="fr-FR"/>
                          </w:rPr>
                          <w:t>n</w:t>
                        </w:r>
                      </w:p>
                      <w:p>
                        <w:pPr>
                          <w:pStyle w:val="19"/>
                          <w:numPr>
                            <w:ilvl w:val="0"/>
                            <w:numId w:val="1"/>
                          </w:numPr>
                          <w:spacing w:after="0" w:line="240" w:lineRule="auto"/>
                          <w:ind w:left="426"/>
                          <w:contextualSpacing w:val="0"/>
                          <w:rPr>
                            <w:rFonts w:ascii="Times New Roman" w:hAnsi="Times New Roman"/>
                            <w:sz w:val="18"/>
                            <w:szCs w:val="20"/>
                          </w:rPr>
                        </w:pPr>
                        <w:r>
                          <w:rPr>
                            <w:rFonts w:hint="default" w:ascii="Times New Roman" w:hAnsi="Times New Roman"/>
                            <w:sz w:val="18"/>
                            <w:szCs w:val="20"/>
                          </w:rPr>
                          <w:t>D</w:t>
                        </w:r>
                        <w:r>
                          <w:rPr>
                            <w:rFonts w:hint="default" w:ascii="Times New Roman" w:hAnsi="Times New Roman"/>
                            <w:sz w:val="18"/>
                            <w:szCs w:val="20"/>
                            <w:lang w:val="fr-FR"/>
                          </w:rPr>
                          <w:t>é</w:t>
                        </w:r>
                        <w:r>
                          <w:rPr>
                            <w:rFonts w:hint="default" w:ascii="Times New Roman" w:hAnsi="Times New Roman"/>
                            <w:sz w:val="18"/>
                            <w:szCs w:val="20"/>
                          </w:rPr>
                          <w:t>part</w:t>
                        </w:r>
                        <w:r>
                          <w:rPr>
                            <w:rFonts w:hint="default" w:ascii="Times New Roman" w:hAnsi="Times New Roman"/>
                            <w:sz w:val="18"/>
                            <w:szCs w:val="20"/>
                            <w:lang w:val="fr-FR"/>
                          </w:rPr>
                          <w:t>e</w:t>
                        </w:r>
                        <w:r>
                          <w:rPr>
                            <w:rFonts w:hint="default" w:ascii="Times New Roman" w:hAnsi="Times New Roman"/>
                            <w:sz w:val="18"/>
                            <w:szCs w:val="20"/>
                          </w:rPr>
                          <w:t>ment de chirurgie, Faculté des Sciences de la santé, Université de Buéa; Cameroun</w:t>
                        </w:r>
                      </w:p>
                      <w:p>
                        <w:pPr>
                          <w:spacing w:after="0" w:line="240" w:lineRule="auto"/>
                          <w:ind w:left="426"/>
                          <w:rPr>
                            <w:rFonts w:ascii="Times New Roman" w:hAnsi="Times New Roman"/>
                            <w:sz w:val="18"/>
                            <w:szCs w:val="20"/>
                          </w:rPr>
                        </w:pPr>
                      </w:p>
                      <w:p>
                        <w:pPr>
                          <w:spacing w:after="0" w:line="240" w:lineRule="auto"/>
                          <w:ind w:left="426"/>
                          <w:rPr>
                            <w:rFonts w:hint="default" w:ascii="Times New Roman" w:hAnsi="Times New Roman"/>
                            <w:sz w:val="18"/>
                            <w:szCs w:val="20"/>
                            <w:lang w:val="fr-FR"/>
                          </w:rPr>
                        </w:pPr>
                        <w:r>
                          <w:rPr>
                            <w:rFonts w:ascii="Times New Roman" w:hAnsi="Times New Roman"/>
                            <w:b/>
                            <w:sz w:val="18"/>
                            <w:szCs w:val="20"/>
                          </w:rPr>
                          <w:t>Auteur correspondan</w:t>
                        </w:r>
                        <w:r>
                          <w:rPr>
                            <w:rFonts w:ascii="Times New Roman" w:hAnsi="Times New Roman"/>
                            <w:sz w:val="18"/>
                            <w:szCs w:val="20"/>
                          </w:rPr>
                          <w:t xml:space="preserve">t : Dr </w:t>
                        </w:r>
                        <w:r>
                          <w:rPr>
                            <w:rFonts w:hint="default" w:ascii="Times New Roman" w:hAnsi="Times New Roman"/>
                            <w:sz w:val="18"/>
                            <w:szCs w:val="20"/>
                            <w:lang w:val="fr-FR"/>
                          </w:rPr>
                          <w:t>BOMBAH Freddy Mertens</w:t>
                        </w:r>
                      </w:p>
                      <w:p>
                        <w:pPr>
                          <w:spacing w:after="0" w:line="240" w:lineRule="auto"/>
                          <w:ind w:left="426"/>
                          <w:rPr>
                            <w:rFonts w:ascii="Times New Roman" w:hAnsi="Times New Roman"/>
                            <w:sz w:val="18"/>
                            <w:szCs w:val="20"/>
                          </w:rPr>
                        </w:pPr>
                        <w:r>
                          <w:rPr>
                            <w:rFonts w:ascii="Times New Roman" w:hAnsi="Times New Roman"/>
                            <w:sz w:val="18"/>
                            <w:szCs w:val="20"/>
                          </w:rPr>
                          <w:t xml:space="preserve">Adresse e-mail : </w:t>
                        </w:r>
                        <w:r>
                          <w:rPr>
                            <w:rFonts w:ascii="Times New Roman" w:hAnsi="Times New Roman"/>
                            <w:sz w:val="18"/>
                            <w:szCs w:val="20"/>
                          </w:rPr>
                          <w:fldChar w:fldCharType="begin"/>
                        </w:r>
                        <w:r>
                          <w:rPr>
                            <w:rFonts w:ascii="Times New Roman" w:hAnsi="Times New Roman"/>
                            <w:sz w:val="18"/>
                            <w:szCs w:val="20"/>
                          </w:rPr>
                          <w:instrText xml:space="preserve"> HYPERLINK "mailto:bombahstick@hotmail.fr" </w:instrText>
                        </w:r>
                        <w:r>
                          <w:rPr>
                            <w:rFonts w:ascii="Times New Roman" w:hAnsi="Times New Roman"/>
                            <w:sz w:val="18"/>
                            <w:szCs w:val="20"/>
                          </w:rPr>
                          <w:fldChar w:fldCharType="separate"/>
                        </w:r>
                        <w:r>
                          <w:rPr>
                            <w:rFonts w:ascii="Times New Roman" w:hAnsi="Times New Roman"/>
                            <w:sz w:val="18"/>
                            <w:szCs w:val="20"/>
                            <w:lang w:val="en-US"/>
                          </w:rPr>
                          <w:t>bombahstick@hotmail.fr</w:t>
                        </w:r>
                        <w:r>
                          <w:rPr>
                            <w:rFonts w:ascii="Times New Roman" w:hAnsi="Times New Roman"/>
                            <w:sz w:val="18"/>
                            <w:szCs w:val="20"/>
                            <w:lang w:val="en-US"/>
                          </w:rPr>
                          <w:fldChar w:fldCharType="end"/>
                        </w:r>
                      </w:p>
                      <w:p>
                        <w:pPr>
                          <w:spacing w:after="0" w:line="240" w:lineRule="auto"/>
                          <w:ind w:left="426"/>
                          <w:rPr>
                            <w:rFonts w:ascii="Times New Roman" w:hAnsi="Times New Roman"/>
                            <w:sz w:val="18"/>
                            <w:szCs w:val="20"/>
                          </w:rPr>
                        </w:pPr>
                        <w:r>
                          <w:rPr>
                            <w:rFonts w:ascii="Times New Roman" w:hAnsi="Times New Roman"/>
                            <w:sz w:val="18"/>
                            <w:szCs w:val="20"/>
                          </w:rPr>
                          <w:t xml:space="preserve">Boite postale : </w:t>
                        </w:r>
                      </w:p>
                      <w:p>
                        <w:pPr>
                          <w:spacing w:after="0" w:line="240" w:lineRule="auto"/>
                          <w:rPr>
                            <w:rFonts w:hint="default" w:ascii="Times New Roman" w:hAnsi="Times New Roman"/>
                            <w:sz w:val="18"/>
                            <w:szCs w:val="20"/>
                          </w:rPr>
                        </w:pPr>
                        <w:r>
                          <w:rPr>
                            <w:rFonts w:ascii="Times New Roman" w:hAnsi="Times New Roman"/>
                            <w:b/>
                            <w:sz w:val="18"/>
                            <w:szCs w:val="20"/>
                          </w:rPr>
                          <w:t xml:space="preserve">Mots-clés </w:t>
                        </w:r>
                        <w:r>
                          <w:rPr>
                            <w:rFonts w:ascii="Times New Roman" w:hAnsi="Times New Roman"/>
                            <w:sz w:val="18"/>
                            <w:szCs w:val="20"/>
                          </w:rPr>
                          <w:t>: plaies pénétrantes</w:t>
                        </w:r>
                        <w:r>
                          <w:rPr>
                            <w:rFonts w:hint="default" w:ascii="Times New Roman" w:hAnsi="Times New Roman"/>
                            <w:sz w:val="18"/>
                            <w:szCs w:val="20"/>
                            <w:lang w:val="fr-FR"/>
                          </w:rPr>
                          <w:t xml:space="preserve"> -</w:t>
                        </w:r>
                        <w:r>
                          <w:rPr>
                            <w:rFonts w:ascii="Times New Roman" w:hAnsi="Times New Roman"/>
                            <w:sz w:val="18"/>
                            <w:szCs w:val="20"/>
                          </w:rPr>
                          <w:t xml:space="preserve"> abdomen</w:t>
                        </w:r>
                      </w:p>
                      <w:p>
                        <w:pPr>
                          <w:spacing w:after="0" w:line="240" w:lineRule="auto"/>
                          <w:rPr>
                            <w:rFonts w:ascii="Times New Roman" w:hAnsi="Times New Roman"/>
                            <w:sz w:val="20"/>
                            <w:szCs w:val="20"/>
                            <w:lang w:val="en-US"/>
                          </w:rPr>
                        </w:pPr>
                        <w:r>
                          <w:rPr>
                            <w:rFonts w:ascii="Times New Roman" w:hAnsi="Times New Roman"/>
                            <w:b/>
                            <w:sz w:val="18"/>
                            <w:szCs w:val="20"/>
                            <w:lang w:val="en-US"/>
                          </w:rPr>
                          <w:t>Keywords</w:t>
                        </w:r>
                        <w:r>
                          <w:rPr>
                            <w:rFonts w:ascii="Times New Roman" w:hAnsi="Times New Roman"/>
                            <w:sz w:val="18"/>
                            <w:szCs w:val="20"/>
                            <w:lang w:val="en-US"/>
                          </w:rPr>
                          <w:t>: penetrating wounds - abdomen</w:t>
                        </w:r>
                      </w:p>
                    </w:txbxContent>
                  </v:textbox>
                </v:shape>
              </w:pict>
            </w:r>
          </w:p>
        </w:tc>
        <w:tc>
          <w:tcPr>
            <w:tcW w:w="7088" w:type="dxa"/>
            <w:shd w:val="clear" w:color="auto" w:fill="D3DFEE"/>
          </w:tcPr>
          <w:p>
            <w:pPr>
              <w:spacing w:after="0" w:line="240" w:lineRule="auto"/>
              <w:ind w:left="34"/>
              <w:jc w:val="both"/>
              <w:rPr>
                <w:rFonts w:ascii="Times New Roman" w:hAnsi="Times New Roman"/>
                <w:b/>
                <w:bCs/>
                <w:iCs/>
                <w:sz w:val="20"/>
                <w:szCs w:val="18"/>
              </w:rPr>
            </w:pPr>
            <w:r>
              <w:rPr>
                <w:rFonts w:ascii="Times New Roman" w:hAnsi="Times New Roman"/>
                <w:b/>
                <w:bCs/>
                <w:iCs/>
                <w:sz w:val="20"/>
                <w:szCs w:val="18"/>
              </w:rPr>
              <w:t>ABSTRACT</w:t>
            </w:r>
          </w:p>
        </w:tc>
      </w:tr>
      <w:tr>
        <w:tblPrEx>
          <w:tblLayout w:type="fixed"/>
          <w:tblCellMar>
            <w:top w:w="0" w:type="dxa"/>
            <w:left w:w="108" w:type="dxa"/>
            <w:bottom w:w="0" w:type="dxa"/>
            <w:right w:w="108" w:type="dxa"/>
          </w:tblCellMar>
        </w:tblPrEx>
        <w:trPr>
          <w:trHeight w:val="2930" w:hRule="atLeast"/>
        </w:trPr>
        <w:tc>
          <w:tcPr>
            <w:tcW w:w="3085" w:type="dxa"/>
            <w:vMerge w:val="continue"/>
          </w:tcPr>
          <w:p>
            <w:pPr>
              <w:rPr>
                <w:b/>
                <w:bCs/>
                <w:color w:val="365F91"/>
                <w:sz w:val="20"/>
                <w:szCs w:val="18"/>
                <w:vertAlign w:val="superscript"/>
              </w:rPr>
            </w:pPr>
          </w:p>
        </w:tc>
        <w:tc>
          <w:tcPr>
            <w:tcW w:w="7088" w:type="dxa"/>
          </w:tcPr>
          <w:p>
            <w:pPr>
              <w:spacing w:after="0" w:line="240" w:lineRule="auto"/>
              <w:jc w:val="both"/>
              <w:rPr>
                <w:rFonts w:ascii="Times New Roman" w:hAnsi="Times New Roman"/>
                <w:sz w:val="20"/>
                <w:szCs w:val="18"/>
                <w:lang w:val="en-US" w:bidi="fr-FR"/>
              </w:rPr>
            </w:pPr>
          </w:p>
        </w:tc>
      </w:tr>
      <w:tr>
        <w:tblPrEx>
          <w:tblLayout w:type="fixed"/>
          <w:tblCellMar>
            <w:top w:w="0" w:type="dxa"/>
            <w:left w:w="108" w:type="dxa"/>
            <w:bottom w:w="0" w:type="dxa"/>
            <w:right w:w="108" w:type="dxa"/>
          </w:tblCellMar>
        </w:tblPrEx>
        <w:trPr>
          <w:trHeight w:val="184" w:hRule="atLeast"/>
        </w:trPr>
        <w:tc>
          <w:tcPr>
            <w:tcW w:w="3085" w:type="dxa"/>
            <w:vMerge w:val="restart"/>
            <w:shd w:val="clear" w:color="auto" w:fill="D3DFEE"/>
          </w:tcPr>
          <w:p>
            <w:pPr>
              <w:rPr>
                <w:b/>
                <w:bCs/>
                <w:color w:val="365F91"/>
                <w:sz w:val="20"/>
                <w:szCs w:val="18"/>
                <w:vertAlign w:val="superscript"/>
                <w:lang w:val="en-US"/>
              </w:rPr>
            </w:pPr>
          </w:p>
        </w:tc>
        <w:tc>
          <w:tcPr>
            <w:tcW w:w="7088" w:type="dxa"/>
            <w:shd w:val="clear" w:color="auto" w:fill="D3DFEE"/>
          </w:tcPr>
          <w:p>
            <w:pPr>
              <w:spacing w:after="0" w:line="240" w:lineRule="auto"/>
              <w:ind w:left="34"/>
              <w:jc w:val="both"/>
              <w:rPr>
                <w:rFonts w:ascii="Times New Roman" w:hAnsi="Times New Roman"/>
                <w:b/>
                <w:bCs/>
                <w:iCs/>
                <w:sz w:val="20"/>
                <w:szCs w:val="18"/>
              </w:rPr>
            </w:pPr>
            <w:r>
              <w:rPr>
                <w:rFonts w:ascii="Times New Roman" w:hAnsi="Times New Roman"/>
                <w:b/>
                <w:bCs/>
                <w:iCs/>
                <w:sz w:val="20"/>
                <w:szCs w:val="18"/>
              </w:rPr>
              <w:t>RÉSUMÉ</w:t>
            </w:r>
          </w:p>
        </w:tc>
      </w:tr>
      <w:tr>
        <w:tblPrEx>
          <w:tblLayout w:type="fixed"/>
          <w:tblCellMar>
            <w:top w:w="0" w:type="dxa"/>
            <w:left w:w="108" w:type="dxa"/>
            <w:bottom w:w="0" w:type="dxa"/>
            <w:right w:w="108" w:type="dxa"/>
          </w:tblCellMar>
        </w:tblPrEx>
        <w:trPr>
          <w:trHeight w:val="2649" w:hRule="atLeast"/>
        </w:trPr>
        <w:tc>
          <w:tcPr>
            <w:tcW w:w="3085" w:type="dxa"/>
            <w:vMerge w:val="continue"/>
          </w:tcPr>
          <w:p>
            <w:pPr>
              <w:rPr>
                <w:b/>
                <w:bCs/>
                <w:color w:val="365F91"/>
                <w:sz w:val="20"/>
                <w:szCs w:val="18"/>
                <w:vertAlign w:val="superscript"/>
              </w:rPr>
            </w:pPr>
          </w:p>
        </w:tc>
        <w:tc>
          <w:tcPr>
            <w:tcW w:w="7088" w:type="dxa"/>
          </w:tcPr>
          <w:p>
            <w:pPr>
              <w:keepNext w:val="0"/>
              <w:keepLines w:val="0"/>
              <w:pageBreakBefore w:val="0"/>
              <w:widowControl/>
              <w:kinsoku/>
              <w:wordWrap/>
              <w:overflowPunct/>
              <w:topLinePunct w:val="0"/>
              <w:bidi w:val="0"/>
              <w:snapToGrid/>
              <w:spacing w:after="0" w:line="240" w:lineRule="auto"/>
              <w:jc w:val="both"/>
              <w:textAlignment w:val="auto"/>
              <w:rPr>
                <w:rFonts w:ascii="Times New Roman" w:hAnsi="Times New Roman"/>
                <w:strike/>
                <w:sz w:val="20"/>
                <w:szCs w:val="18"/>
              </w:rPr>
            </w:pPr>
            <w:r>
              <w:rPr>
                <w:rFonts w:hint="default" w:ascii="Times New Roman" w:hAnsi="Times New Roman" w:cs="Times New Roman"/>
                <w:b/>
                <w:bCs/>
                <w:sz w:val="18"/>
                <w:szCs w:val="18"/>
                <w:u w:val="none"/>
                <w:lang w:val="fr-FR"/>
              </w:rPr>
              <w:t>Objectif.</w:t>
            </w:r>
            <w:r>
              <w:rPr>
                <w:rFonts w:hint="default" w:ascii="Times New Roman" w:hAnsi="Times New Roman" w:cs="Times New Roman"/>
                <w:sz w:val="18"/>
                <w:szCs w:val="18"/>
                <w:u w:val="none"/>
                <w:lang w:val="fr-FR"/>
              </w:rPr>
              <w:t xml:space="preserve"> Déterminer le profil épidémiologique, clinique, radiographique, thérapeutique et pronostique des plaies pénétrantes de l’abdomen à l’hôpital Laquintinie de Douala</w:t>
            </w:r>
            <w:r>
              <w:rPr>
                <w:rFonts w:hint="default" w:ascii="Times New Roman" w:hAnsi="Times New Roman" w:cs="Times New Roman"/>
                <w:sz w:val="18"/>
                <w:szCs w:val="18"/>
              </w:rPr>
              <w:t>.</w:t>
            </w:r>
            <w:r>
              <w:rPr>
                <w:rFonts w:hint="default" w:ascii="Times New Roman" w:hAnsi="Times New Roman" w:cs="Times New Roman"/>
                <w:sz w:val="18"/>
                <w:szCs w:val="18"/>
                <w:lang w:val="fr-FR"/>
              </w:rPr>
              <w:t xml:space="preserve"> </w:t>
            </w:r>
            <w:r>
              <w:rPr>
                <w:rFonts w:hint="default" w:ascii="Times New Roman" w:hAnsi="Times New Roman" w:cs="Times New Roman"/>
                <w:b/>
                <w:bCs/>
                <w:sz w:val="18"/>
                <w:szCs w:val="18"/>
                <w:u w:val="none"/>
              </w:rPr>
              <w:t>Patients et méthodes</w:t>
            </w:r>
            <w:r>
              <w:rPr>
                <w:rFonts w:hint="default" w:ascii="Times New Roman" w:hAnsi="Times New Roman" w:cs="Times New Roman"/>
                <w:b/>
                <w:bCs/>
                <w:sz w:val="18"/>
                <w:szCs w:val="18"/>
                <w:u w:val="none"/>
                <w:lang w:val="fr-FR"/>
              </w:rPr>
              <w:t>.</w:t>
            </w:r>
            <w:r>
              <w:rPr>
                <w:rFonts w:hint="default" w:ascii="Times New Roman" w:hAnsi="Times New Roman" w:cs="Times New Roman"/>
                <w:sz w:val="18"/>
                <w:szCs w:val="18"/>
                <w:u w:val="none"/>
                <w:lang w:val="fr-FR"/>
              </w:rPr>
              <w:t xml:space="preserve"> Il s’agit d’une étude prospective de 37 cas de plaies pénétrantes de l’abdomen vus du 01er Décembre 2014 au 30 Avril 2015, soit cinq (5) mois dans le service de chirurgie générale de l’hôpital LAQUINTINIE de Douala. Pour chaque dossier ont été notés: l’âge et le sexe, les circonstances et l’agent de l’agression, la topographie de la porte d’entrée, les éléments du diagnostic de pénétration, le traitement et ses suites.</w:t>
            </w:r>
            <w:r>
              <w:rPr>
                <w:rFonts w:hint="default" w:ascii="Times New Roman" w:hAnsi="Times New Roman" w:cs="Times New Roman"/>
                <w:sz w:val="18"/>
                <w:szCs w:val="18"/>
              </w:rPr>
              <w:t xml:space="preserve"> </w:t>
            </w:r>
            <w:r>
              <w:rPr>
                <w:rFonts w:hint="default" w:ascii="Times New Roman" w:hAnsi="Times New Roman" w:cs="Times New Roman"/>
                <w:b/>
                <w:bCs/>
                <w:sz w:val="18"/>
                <w:szCs w:val="18"/>
                <w:u w:val="none"/>
              </w:rPr>
              <w:t>Résultats</w:t>
            </w:r>
            <w:r>
              <w:rPr>
                <w:rFonts w:hint="default" w:ascii="Times New Roman" w:hAnsi="Times New Roman" w:cs="Times New Roman"/>
                <w:b/>
                <w:bCs/>
                <w:sz w:val="18"/>
                <w:szCs w:val="18"/>
                <w:u w:val="none"/>
                <w:lang w:val="fr-FR"/>
              </w:rPr>
              <w:t>.</w:t>
            </w:r>
            <w:r>
              <w:rPr>
                <w:rFonts w:hint="default" w:ascii="Times New Roman" w:hAnsi="Times New Roman" w:cs="Times New Roman"/>
                <w:sz w:val="18"/>
                <w:szCs w:val="18"/>
                <w:u w:val="none"/>
                <w:lang w:val="fr-FR"/>
              </w:rPr>
              <w:t xml:space="preserve"> La plupart des blessés étaient de sexe masculin (89,2%) et âgés de 20 à 40 ans (62,1%). L’agent causal était l’arme blanche dans 94,6% des cas. La lésion intra-abdominale était cliniquement évidente dans 54,5% des cas, devant l’existence d’un choc hémorragique, d’un hémopéritoine ou d’une péritonite. Les plaies par armes à feu ont occasionné plus fréquemment des lésions abdominales multiviscérales ainsi que des lésions extra thoraciques associées. Compte tenu de ressources humaines et matérielles dans le service, l’attitude est l’abstentionnisme sélectif qui vise à opérer seulement les blessés porteurs de lésions viscérales évidentes, sous réserve d’une surveillance «armée» des autres. Le taux de 16,2% de laparotomie blanche reste élevé par rapport aux objectifs des promoteurs qui est à moins de 10% . La morbidité et la mortalité respectivement 29,7% et 8,1% pourrait être réduite par l’amélioration des mesures de réanimation. </w:t>
            </w:r>
            <w:r>
              <w:rPr>
                <w:rFonts w:hint="default" w:ascii="Times New Roman" w:hAnsi="Times New Roman" w:cs="Times New Roman"/>
                <w:b/>
                <w:bCs/>
                <w:sz w:val="18"/>
                <w:szCs w:val="18"/>
                <w:u w:val="none"/>
              </w:rPr>
              <w:t>Conclusion</w:t>
            </w:r>
            <w:r>
              <w:rPr>
                <w:rFonts w:hint="default" w:ascii="Times New Roman" w:hAnsi="Times New Roman" w:cs="Times New Roman"/>
                <w:b/>
                <w:bCs/>
                <w:sz w:val="18"/>
                <w:szCs w:val="18"/>
                <w:u w:val="none"/>
                <w:lang w:val="fr-FR"/>
              </w:rPr>
              <w:t>.</w:t>
            </w:r>
            <w:r>
              <w:rPr>
                <w:rFonts w:hint="default" w:ascii="Times New Roman" w:hAnsi="Times New Roman" w:cs="Times New Roman"/>
                <w:sz w:val="18"/>
                <w:szCs w:val="18"/>
                <w:u w:val="none"/>
                <w:lang w:val="fr-FR"/>
              </w:rPr>
              <w:t xml:space="preserve"> Les PPA sont en augmentation à Douala. Malgré l’insuffisance des ressources humaines et matérielles l’attitude de laparotomie sélective y est pratiquée</w:t>
            </w:r>
            <w:bookmarkStart w:id="0" w:name="_GoBack"/>
            <w:bookmarkEnd w:id="0"/>
            <w:r>
              <w:rPr>
                <w:rFonts w:hint="default" w:ascii="Times New Roman" w:hAnsi="Times New Roman" w:cs="Times New Roman"/>
                <w:sz w:val="18"/>
                <w:szCs w:val="18"/>
                <w:u w:val="none"/>
                <w:lang w:val="fr-FR"/>
              </w:rPr>
              <w:t>. Le développement des moyens diagnostiques plus précis (et scanner et IRM) rendra possible, par une meilleure sélection des blesses, la diminution du taux des laparotomies inutiles</w:t>
            </w:r>
            <w:r>
              <w:rPr>
                <w:rFonts w:hint="default" w:ascii="Times New Roman" w:hAnsi="Times New Roman" w:cs="Times New Roman"/>
                <w:sz w:val="18"/>
                <w:szCs w:val="18"/>
              </w:rPr>
              <w:t>.</w:t>
            </w:r>
          </w:p>
        </w:tc>
      </w:tr>
    </w:tbl>
    <w:p>
      <w:pPr>
        <w:spacing w:after="0" w:line="240" w:lineRule="auto"/>
        <w:jc w:val="both"/>
        <w:rPr>
          <w:rFonts w:ascii="Times New Roman" w:hAnsi="Times New Roman"/>
          <w:b/>
          <w:sz w:val="20"/>
          <w:szCs w:val="20"/>
          <w:u w:val="single"/>
        </w:rPr>
        <w:sectPr>
          <w:headerReference r:id="rId3" w:type="default"/>
          <w:footerReference r:id="rId4" w:type="default"/>
          <w:pgSz w:w="11850" w:h="16783"/>
          <w:pgMar w:top="1134" w:right="850" w:bottom="1417" w:left="1134" w:header="708" w:footer="708" w:gutter="0"/>
          <w:cols w:space="708" w:num="1"/>
          <w:docGrid w:linePitch="360" w:charSpace="0"/>
        </w:sectPr>
      </w:pPr>
    </w:p>
    <w:p>
      <w:pPr>
        <w:spacing w:after="0" w:line="240" w:lineRule="auto"/>
        <w:jc w:val="both"/>
        <w:rPr>
          <w:rFonts w:ascii="Times New Roman" w:hAnsi="Times New Roman"/>
          <w:b/>
          <w:sz w:val="20"/>
          <w:szCs w:val="20"/>
          <w:u w:val="single"/>
        </w:rPr>
      </w:pPr>
    </w:p>
    <w:p>
      <w:pPr>
        <w:spacing w:after="0" w:line="240" w:lineRule="auto"/>
        <w:jc w:val="both"/>
        <w:rPr>
          <w:rFonts w:ascii="Times New Roman" w:hAnsi="Times New Roman"/>
          <w:b/>
          <w:sz w:val="20"/>
          <w:szCs w:val="20"/>
          <w:u w:val="single"/>
        </w:rPr>
        <w:sectPr>
          <w:type w:val="continuous"/>
          <w:pgSz w:w="11850" w:h="16783"/>
          <w:pgMar w:top="1134" w:right="850" w:bottom="1417" w:left="1134" w:header="708" w:footer="708" w:gutter="0"/>
          <w:cols w:space="708" w:num="1"/>
          <w:docGrid w:linePitch="360" w:charSpace="0"/>
        </w:sectPr>
      </w:pPr>
    </w:p>
    <w:p>
      <w:pPr>
        <w:spacing w:before="120" w:after="40" w:line="240" w:lineRule="auto"/>
        <w:jc w:val="both"/>
        <w:rPr>
          <w:rFonts w:hint="default" w:ascii="Times New Roman" w:hAnsi="Times New Roman"/>
          <w:b/>
          <w:sz w:val="20"/>
          <w:szCs w:val="20"/>
          <w:lang w:val="fr-FR"/>
        </w:rPr>
        <w:sectPr>
          <w:type w:val="continuous"/>
          <w:pgSz w:w="11850" w:h="16783"/>
          <w:pgMar w:top="1134" w:right="850" w:bottom="1417" w:left="1134" w:header="708" w:footer="708" w:gutter="0"/>
          <w:cols w:equalWidth="0" w:num="2">
            <w:col w:w="4720" w:space="425"/>
            <w:col w:w="4720"/>
          </w:cols>
          <w:docGrid w:linePitch="360" w:charSpace="0"/>
        </w:sectPr>
      </w:pPr>
      <w:r>
        <w:rPr>
          <w:rFonts w:ascii="Times New Roman" w:hAnsi="Times New Roman"/>
          <w:b/>
          <w:sz w:val="20"/>
          <w:szCs w:val="20"/>
        </w:rPr>
        <w:t>INTRODUCTIO</w:t>
      </w:r>
      <w:r>
        <w:rPr>
          <w:rFonts w:hint="default" w:ascii="Times New Roman" w:hAnsi="Times New Roman"/>
          <w:b/>
          <w:sz w:val="20"/>
          <w:szCs w:val="20"/>
          <w:lang w:val="fr-FR"/>
        </w:rPr>
        <w:t>N</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b w:val="0"/>
          <w:bCs w:val="0"/>
          <w:i w:val="0"/>
          <w:iCs w:val="0"/>
          <w:sz w:val="20"/>
          <w:szCs w:val="20"/>
        </w:rPr>
      </w:pPr>
      <w:r>
        <w:rPr>
          <w:rFonts w:ascii="Times New Roman" w:hAnsi="Times New Roman" w:cs="Times New Roman"/>
          <w:b w:val="0"/>
          <w:bCs w:val="0"/>
          <w:i w:val="0"/>
          <w:iCs w:val="0"/>
          <w:sz w:val="20"/>
          <w:szCs w:val="20"/>
        </w:rPr>
        <w:t>Les traumatismes abdominaux ont une forte corr</w:t>
      </w:r>
      <w:r>
        <w:rPr>
          <w:rFonts w:hint="default" w:ascii="Times New Roman" w:hAnsi="Times New Roman" w:cs="Times New Roman"/>
          <w:b w:val="0"/>
          <w:bCs w:val="0"/>
          <w:i w:val="0"/>
          <w:iCs w:val="0"/>
          <w:sz w:val="20"/>
          <w:szCs w:val="20"/>
          <w:lang w:val="fr-FR"/>
        </w:rPr>
        <w:t>é</w:t>
      </w:r>
      <w:r>
        <w:rPr>
          <w:rFonts w:ascii="Times New Roman" w:hAnsi="Times New Roman" w:cs="Times New Roman"/>
          <w:b w:val="0"/>
          <w:bCs w:val="0"/>
          <w:i w:val="0"/>
          <w:iCs w:val="0"/>
          <w:sz w:val="20"/>
          <w:szCs w:val="20"/>
        </w:rPr>
        <w:t xml:space="preserve">lation avec le taux </w:t>
      </w:r>
      <w:r>
        <w:rPr>
          <w:rFonts w:ascii="Times New Roman" w:hAnsi="Times New Roman" w:cs="Times New Roman"/>
          <w:b w:val="0"/>
          <w:bCs w:val="0"/>
          <w:i w:val="0"/>
          <w:iCs w:val="0"/>
          <w:sz w:val="20"/>
          <w:szCs w:val="20"/>
          <w:lang w:val="fr-FR"/>
        </w:rPr>
        <w:t>agression</w:t>
      </w:r>
      <w:r>
        <w:rPr>
          <w:rFonts w:ascii="Times New Roman" w:hAnsi="Times New Roman" w:cs="Times New Roman"/>
          <w:b w:val="0"/>
          <w:bCs w:val="0"/>
          <w:i w:val="0"/>
          <w:iCs w:val="0"/>
          <w:sz w:val="20"/>
          <w:szCs w:val="20"/>
        </w:rPr>
        <w:t>, l’acc</w:t>
      </w:r>
      <w:r>
        <w:rPr>
          <w:rFonts w:hint="default" w:ascii="Times New Roman" w:hAnsi="Times New Roman" w:cs="Times New Roman"/>
          <w:b w:val="0"/>
          <w:bCs w:val="0"/>
          <w:i w:val="0"/>
          <w:iCs w:val="0"/>
          <w:sz w:val="20"/>
          <w:szCs w:val="20"/>
          <w:lang w:val="fr-FR"/>
        </w:rPr>
        <w:t>è</w:t>
      </w:r>
      <w:r>
        <w:rPr>
          <w:rFonts w:ascii="Times New Roman" w:hAnsi="Times New Roman" w:cs="Times New Roman"/>
          <w:b w:val="0"/>
          <w:bCs w:val="0"/>
          <w:i w:val="0"/>
          <w:iCs w:val="0"/>
          <w:sz w:val="20"/>
          <w:szCs w:val="20"/>
        </w:rPr>
        <w:t xml:space="preserve">s facile aux armes et la crise économique </w:t>
      </w:r>
      <w:r>
        <w:rPr>
          <w:rFonts w:ascii="Times New Roman" w:hAnsi="Times New Roman" w:cs="Times New Roman"/>
          <w:b w:val="0"/>
          <w:bCs w:val="0"/>
          <w:i w:val="0"/>
          <w:iCs w:val="0"/>
          <w:sz w:val="20"/>
          <w:szCs w:val="20"/>
          <w:lang w:val="en-US"/>
        </w:rPr>
        <w:fldChar w:fldCharType="begin"/>
      </w:r>
      <w:r>
        <w:rPr>
          <w:rFonts w:ascii="Times New Roman" w:hAnsi="Times New Roman" w:cs="Times New Roman"/>
          <w:b w:val="0"/>
          <w:bCs w:val="0"/>
          <w:i w:val="0"/>
          <w:iCs w:val="0"/>
          <w:sz w:val="20"/>
          <w:szCs w:val="20"/>
        </w:rPr>
        <w:instrText xml:space="preserve"> ADDIN ZOTERO_ITEM CSL_CITATION {"citationID":"ftaVkjq9","properties":{"formattedCitation":"(1)","plainCitation":"(1)","noteIndex":0},"citationItems":[{"id":440,"uris":["http://zotero.org/users/5416333/items/RCMYWURN"],"uri":["http://zotero.org/users/5416333/items/RCMYWURN"],"itemData":{"id":440,"type":"thesis","title":"Les traumatismes de l'abdomen","publisher":"Université de béjaia","genre":"Thesis","source":"bibliomedecine.univ-bejaia.dz","abstract":"Les traumatismes de l’abdomen sont une pathologie de plus en plus fréquente dans la pratique quotidienne aux urgences, cela est probablement dû à l’augmentation du nombre d’accidents de la circulation vu l’extension du parc automobile et le non-respect du code de la route. \nNous avons mené une étude rétrospective secondairement prospective ayant porté sur les traumatismes de l’abdomen fermés ou ouverts, isolés ou associés. Ont été inclus dans notre étude les patients ayant un dossier médical, hospitalisés au service de chirurgie viscérale et d’anesthésie réanimation du CHU KHELIL AMRANE sur une période de deux ans et quatre mois allant du 1 er janvier 2016 au 30 avril 2018, et ont été exclus les patients de moins de 15 et 3mois et les patients n’ayant pas un dossier médical exploitable. \nOn a colligé 64 cas, 92,2% de sexe masculin, 7,8% de sexe féminin, la tranche d’âge la plus touchée est de 15 à 30ans avec un âge moyen de 34,4 ans……………","URL":"http://172.17.1.105:8080/handle/123456789/11400","language":"fr","author":[{"family":"Benabbas","given":"Hassiba"},{"family":"Benachour","given":"Kenza"}],"issued":{"date-parts":[["2018",7,1]]},"accessed":{"date-parts":[["2019",1,18]]}}}],"schema":"https://github.com/citation-style-language/schema/raw/master/csl-citation.json"} </w:instrText>
      </w:r>
      <w:r>
        <w:rPr>
          <w:rFonts w:ascii="Times New Roman" w:hAnsi="Times New Roman" w:cs="Times New Roman"/>
          <w:b w:val="0"/>
          <w:bCs w:val="0"/>
          <w:i w:val="0"/>
          <w:iCs w:val="0"/>
          <w:sz w:val="20"/>
          <w:szCs w:val="20"/>
          <w:lang w:val="en-US"/>
        </w:rPr>
        <w:fldChar w:fldCharType="separate"/>
      </w:r>
      <w:r>
        <w:rPr>
          <w:rFonts w:ascii="Times New Roman" w:hAnsi="Times New Roman" w:cs="Times New Roman"/>
          <w:b w:val="0"/>
          <w:bCs w:val="0"/>
          <w:i w:val="0"/>
          <w:iCs w:val="0"/>
          <w:sz w:val="20"/>
          <w:szCs w:val="20"/>
        </w:rPr>
        <w:t>(1)</w:t>
      </w:r>
      <w:r>
        <w:rPr>
          <w:rFonts w:ascii="Times New Roman" w:hAnsi="Times New Roman" w:cs="Times New Roman"/>
          <w:b w:val="0"/>
          <w:bCs w:val="0"/>
          <w:i w:val="0"/>
          <w:iCs w:val="0"/>
          <w:sz w:val="20"/>
          <w:szCs w:val="20"/>
          <w:lang w:val="en-US"/>
        </w:rPr>
        <w:fldChar w:fldCharType="end"/>
      </w:r>
      <w:r>
        <w:rPr>
          <w:rFonts w:ascii="Times New Roman" w:hAnsi="Times New Roman" w:cs="Times New Roman"/>
          <w:b w:val="0"/>
          <w:bCs w:val="0"/>
          <w:i w:val="0"/>
          <w:iCs w:val="0"/>
          <w:sz w:val="20"/>
          <w:szCs w:val="20"/>
        </w:rPr>
        <w:t>. Ils se résument en deux entités cliniques: les traumatismes fermés et les traumatismes ouverts. Les traumatismes ouverts ou plaies se caractérisent par l’effraction du péritoine, on parlera alors de plaies pénétrantes de l’abdomen</w:t>
      </w:r>
      <w:r>
        <w:rPr>
          <w:rFonts w:hint="default" w:ascii="Times New Roman" w:hAnsi="Times New Roman" w:cs="Times New Roman"/>
          <w:b w:val="0"/>
          <w:bCs w:val="0"/>
          <w:i w:val="0"/>
          <w:iCs w:val="0"/>
          <w:sz w:val="20"/>
          <w:szCs w:val="20"/>
          <w:lang w:val="fr-FR"/>
        </w:rPr>
        <w:t xml:space="preserve"> </w:t>
      </w:r>
      <w:r>
        <w:rPr>
          <w:rFonts w:ascii="Times New Roman" w:hAnsi="Times New Roman" w:cs="Times New Roman"/>
          <w:b w:val="0"/>
          <w:bCs w:val="0"/>
          <w:i w:val="0"/>
          <w:iCs w:val="0"/>
          <w:sz w:val="20"/>
          <w:szCs w:val="20"/>
        </w:rPr>
        <w:t xml:space="preserve">(PPA) </w:t>
      </w:r>
      <w:r>
        <w:rPr>
          <w:rFonts w:ascii="Times New Roman" w:hAnsi="Times New Roman" w:cs="Times New Roman"/>
          <w:b w:val="0"/>
          <w:bCs w:val="0"/>
          <w:i w:val="0"/>
          <w:iCs w:val="0"/>
          <w:sz w:val="20"/>
          <w:szCs w:val="20"/>
          <w:lang w:val="en-US"/>
        </w:rPr>
        <w:fldChar w:fldCharType="begin"/>
      </w:r>
      <w:r>
        <w:rPr>
          <w:rFonts w:ascii="Times New Roman" w:hAnsi="Times New Roman" w:cs="Times New Roman"/>
          <w:b w:val="0"/>
          <w:bCs w:val="0"/>
          <w:i w:val="0"/>
          <w:iCs w:val="0"/>
          <w:sz w:val="20"/>
          <w:szCs w:val="20"/>
        </w:rPr>
        <w:instrText xml:space="preserve"> ADDIN ZOTERO_ITEM CSL_CITATION {"citationID":"0Huvpilq","properties":{"formattedCitation":"(2)","plainCitation":"(2)","noteIndex":0},"citationItems":[{"id":447,"uris":["http://zotero.org/users/5416333/items/BNLQA6UI"],"uri":["http://zotero.org/users/5416333/items/BNLQA6UI"],"itemData":{"id":447,"type":"article-journal","title":"Prise en charge des traumatismes pénétrants de l’abdomen : des spécificités à connaître","container-title":"Annales Françaises d'Anesthésie et de Réanimation","page":"104-111","volume":"32","issue":"2","source":"ScienceDirect","abstract":"Résumé\nLes traumatismes pénétrants sont rares en France et causés essentiellement par des armes blanches. Celles-ci sont moins vulnérantes que les armes à feu (létalité et nombre de lésions viscérales moindres). L’évaluation clinique initiale est la pierre angulaire de la prise en charge hospitalière. Elle reste toujours une priorité et dicte la conduite thérapeutique initiale, chirurgicale d’emblée ou non. Les indications chirurgicales urgentes sont le choc hémorragique, l’éviscération et la péritonite. Le patient morituri est conduit immédiatement au bloc opératoire pour une laparotomie ou une thoracotomie de sauvetage. Le patient instable bénéficie de la réalisation d’une échographie et d’une radiographie pulmonaire avant une chirurgie de type laparotomie écourtée (damage co</w:instrText>
      </w:r>
      <w:r>
        <w:rPr>
          <w:rFonts w:ascii="Times New Roman" w:hAnsi="Times New Roman" w:cs="Times New Roman"/>
          <w:b w:val="0"/>
          <w:bCs w:val="0"/>
          <w:i w:val="0"/>
          <w:iCs w:val="0"/>
          <w:sz w:val="20"/>
          <w:szCs w:val="20"/>
          <w:lang w:val="en-US"/>
        </w:rPr>
        <w:instrText xml:space="preserve">ntrol surgery). Le patient stable est exploré par tomodensitométrie et peut dans certains cas bénéficier d’une stratégie non opératoire. La mortalité hospitalière reste élevée, initialement due aux complications hémorragiques puis secondairement aux complications infectieuses. Une chirurgie précoce et adaptée limite la mortalité, mais aussi la morbidité des traumatismes pénétrants de l’abdomen. Une stratégie non opératoire n’est envisageable que chez des patients sélectionnés, dans un centre équipé et entraîné à la prise en charge de tels blessés, avec une surveillance continue par un personnel expérimenté.\nPenetrating traumas are rare in France and mainly due to stabbing. Knives are less lethal than firearms. The initia</w:instrText>
      </w:r>
      <w:r>
        <w:rPr>
          <w:rFonts w:ascii="Times New Roman" w:hAnsi="Times New Roman" w:cs="Times New Roman"/>
          <w:b w:val="0"/>
          <w:bCs w:val="0"/>
          <w:i w:val="0"/>
          <w:iCs w:val="0"/>
          <w:sz w:val="20"/>
          <w:szCs w:val="20"/>
        </w:rPr>
        <w:instrText xml:space="preserve">l clinical assessment is the cornerstone of hospital care. It remains a priority and can quickly lead to a surgical treatment first. Urgent surgical indications are hemorrhagic shock, evisceration and peritonitis. Dying patients should be immediately taken to the operating room for rescue laparotomy or thoracotomy. Ultrasonography and chest radiography are performed before damage control surgery for hemodynamic unstable critical patients. Stable patients are scanned by CT and in some cases may benefit from non-operative strategy. Mortality remains high, initially due to bleeding complications and secondarily to infectious complications. Early and appropriate surgery can reduce morbidity and mortality. Non-operative strategy is only possible in selected patients in trained trauma centers and with intensive supervision by experienced staff.","DOI":"10.1016/j.annfar.2012.12.006","ISSN":"0750-7658","shortTitle":"Prise en charge des traumatismes pénétrants de l’abdomen","journalAbbreviation":"Annales Françaises d'Anesthésie et de Réanimation","author":[{"family":"Hoffmann","given":"C."},{"family":"Goudard","given":"Y."},{"family":"Falzone","given":"E."},{"family":"Leclerc","given":"T."},{"family":"Planchet","given":"M."},{"family":"Cazes","given":"N."},{"family":"Pons","given":"F."},{"family":"Lenoir","given":"B."},{"family":"Debien","given":"B."}],"issued":{"date-parts":[["2013",2,1]]}}}],"schema":"https://github.com/citation-style-language/schema/raw/master/csl-citation.json"} </w:instrText>
      </w:r>
      <w:r>
        <w:rPr>
          <w:rFonts w:ascii="Times New Roman" w:hAnsi="Times New Roman" w:cs="Times New Roman"/>
          <w:b w:val="0"/>
          <w:bCs w:val="0"/>
          <w:i w:val="0"/>
          <w:iCs w:val="0"/>
          <w:sz w:val="20"/>
          <w:szCs w:val="20"/>
          <w:lang w:val="en-US"/>
        </w:rPr>
        <w:fldChar w:fldCharType="separate"/>
      </w:r>
      <w:r>
        <w:rPr>
          <w:rFonts w:ascii="Times New Roman" w:hAnsi="Times New Roman" w:cs="Times New Roman"/>
          <w:b w:val="0"/>
          <w:bCs w:val="0"/>
          <w:i w:val="0"/>
          <w:iCs w:val="0"/>
          <w:sz w:val="20"/>
          <w:szCs w:val="20"/>
        </w:rPr>
        <w:t>(2)</w:t>
      </w:r>
      <w:r>
        <w:rPr>
          <w:rFonts w:ascii="Times New Roman" w:hAnsi="Times New Roman" w:cs="Times New Roman"/>
          <w:b w:val="0"/>
          <w:bCs w:val="0"/>
          <w:i w:val="0"/>
          <w:iCs w:val="0"/>
          <w:sz w:val="20"/>
          <w:szCs w:val="20"/>
          <w:lang w:val="en-US"/>
        </w:rPr>
        <w:fldChar w:fldCharType="end"/>
      </w:r>
      <w:r>
        <w:rPr>
          <w:rFonts w:ascii="Times New Roman" w:hAnsi="Times New Roman" w:cs="Times New Roman"/>
          <w:b w:val="0"/>
          <w:bCs w:val="0"/>
          <w:i w:val="0"/>
          <w:iCs w:val="0"/>
          <w:sz w:val="20"/>
          <w:szCs w:val="20"/>
        </w:rPr>
        <w:t xml:space="preserve"> ou de plaies non pén</w:t>
      </w:r>
      <w:r>
        <w:rPr>
          <w:rFonts w:hint="default" w:ascii="Times New Roman" w:hAnsi="Times New Roman" w:cs="Times New Roman"/>
          <w:b w:val="0"/>
          <w:bCs w:val="0"/>
          <w:i w:val="0"/>
          <w:iCs w:val="0"/>
          <w:sz w:val="20"/>
          <w:szCs w:val="20"/>
          <w:lang w:val="fr-FR"/>
        </w:rPr>
        <w:t>é</w:t>
      </w:r>
      <w:r>
        <w:rPr>
          <w:rFonts w:ascii="Times New Roman" w:hAnsi="Times New Roman" w:cs="Times New Roman"/>
          <w:b w:val="0"/>
          <w:bCs w:val="0"/>
          <w:i w:val="0"/>
          <w:iCs w:val="0"/>
          <w:sz w:val="20"/>
          <w:szCs w:val="20"/>
        </w:rPr>
        <w:t>trantes de l’abdomen du fait que le p</w:t>
      </w:r>
      <w:r>
        <w:rPr>
          <w:rFonts w:hint="default" w:ascii="Times New Roman" w:hAnsi="Times New Roman" w:cs="Times New Roman"/>
          <w:b w:val="0"/>
          <w:bCs w:val="0"/>
          <w:i w:val="0"/>
          <w:iCs w:val="0"/>
          <w:sz w:val="20"/>
          <w:szCs w:val="20"/>
          <w:lang w:val="fr-FR"/>
        </w:rPr>
        <w:t>é</w:t>
      </w:r>
      <w:r>
        <w:rPr>
          <w:rFonts w:ascii="Times New Roman" w:hAnsi="Times New Roman" w:cs="Times New Roman"/>
          <w:b w:val="0"/>
          <w:bCs w:val="0"/>
          <w:i w:val="0"/>
          <w:iCs w:val="0"/>
          <w:sz w:val="20"/>
          <w:szCs w:val="20"/>
        </w:rPr>
        <w:t>ritoine soit lésé ou non. Une telle diversité rend la prise en charge des PPA difficile, m</w:t>
      </w:r>
      <w:r>
        <w:rPr>
          <w:rFonts w:hint="default" w:ascii="Times New Roman" w:hAnsi="Times New Roman" w:cs="Times New Roman"/>
          <w:b w:val="0"/>
          <w:bCs w:val="0"/>
          <w:i w:val="0"/>
          <w:iCs w:val="0"/>
          <w:sz w:val="20"/>
          <w:szCs w:val="20"/>
          <w:lang w:val="fr-FR"/>
        </w:rPr>
        <w:t>ê</w:t>
      </w:r>
      <w:r>
        <w:rPr>
          <w:rFonts w:ascii="Times New Roman" w:hAnsi="Times New Roman" w:cs="Times New Roman"/>
          <w:b w:val="0"/>
          <w:bCs w:val="0"/>
          <w:i w:val="0"/>
          <w:iCs w:val="0"/>
          <w:sz w:val="20"/>
          <w:szCs w:val="20"/>
        </w:rPr>
        <w:t>me si les avancés de la r</w:t>
      </w:r>
      <w:r>
        <w:rPr>
          <w:rFonts w:hint="default" w:ascii="Times New Roman" w:hAnsi="Times New Roman" w:cs="Times New Roman"/>
          <w:b w:val="0"/>
          <w:bCs w:val="0"/>
          <w:i w:val="0"/>
          <w:iCs w:val="0"/>
          <w:sz w:val="20"/>
          <w:szCs w:val="20"/>
          <w:lang w:val="fr-FR"/>
        </w:rPr>
        <w:t>é</w:t>
      </w:r>
      <w:r>
        <w:rPr>
          <w:rFonts w:ascii="Times New Roman" w:hAnsi="Times New Roman" w:cs="Times New Roman"/>
          <w:b w:val="0"/>
          <w:bCs w:val="0"/>
          <w:i w:val="0"/>
          <w:iCs w:val="0"/>
          <w:sz w:val="20"/>
          <w:szCs w:val="20"/>
        </w:rPr>
        <w:t>animation, le raffinement des proc</w:t>
      </w:r>
      <w:r>
        <w:rPr>
          <w:rFonts w:hint="default" w:ascii="Times New Roman" w:hAnsi="Times New Roman" w:cs="Times New Roman"/>
          <w:b w:val="0"/>
          <w:bCs w:val="0"/>
          <w:i w:val="0"/>
          <w:iCs w:val="0"/>
          <w:sz w:val="20"/>
          <w:szCs w:val="20"/>
          <w:lang w:val="fr-FR"/>
        </w:rPr>
        <w:t>é</w:t>
      </w:r>
      <w:r>
        <w:rPr>
          <w:rFonts w:ascii="Times New Roman" w:hAnsi="Times New Roman" w:cs="Times New Roman"/>
          <w:b w:val="0"/>
          <w:bCs w:val="0"/>
          <w:i w:val="0"/>
          <w:iCs w:val="0"/>
          <w:sz w:val="20"/>
          <w:szCs w:val="20"/>
        </w:rPr>
        <w:t>dures de diagnostic et des études d’imagerie médicale ont amélioré  le taux de survie</w:t>
      </w:r>
      <w:r>
        <w:rPr>
          <w:rFonts w:ascii="Times New Roman" w:hAnsi="Times New Roman" w:cs="Times New Roman"/>
          <w:b w:val="0"/>
          <w:bCs w:val="0"/>
          <w:i w:val="0"/>
          <w:iCs w:val="0"/>
          <w:sz w:val="20"/>
          <w:szCs w:val="20"/>
          <w:lang w:val="en-US"/>
        </w:rPr>
        <w:fldChar w:fldCharType="begin"/>
      </w:r>
      <w:r>
        <w:rPr>
          <w:rFonts w:ascii="Times New Roman" w:hAnsi="Times New Roman" w:cs="Times New Roman"/>
          <w:b w:val="0"/>
          <w:bCs w:val="0"/>
          <w:i w:val="0"/>
          <w:iCs w:val="0"/>
          <w:sz w:val="20"/>
          <w:szCs w:val="20"/>
        </w:rPr>
        <w:instrText xml:space="preserve"> ADDIN ZOTERO_ITEM CSL_CITATION {"citationID":"f3U5Enkp","properties":{"formattedCitation":"(3)","plainCitation":"(3)","noteIndex":0},"citationItems":[{"id":450,"uris":["http://zotero.org/users/5416333/items/RYXDYMFL"],"uri":["http://zotero.org/users/5416333/items/RYXDYMFL"],"itemData":{"id":450,"type":"article-journal","title":"Penetrating Abdominal Trauma: Practice Essentials, Background, Anatomy","source":"eMedicine","abstract":"Penetrating abdominal trauma typically involves the violation of the abdominal cavity by a gunshot wound (GSW) or stab wound. The management of penetrating abdominal trauma has evolved greatly over the last century.","URL":"https://emedicine.medscape.com/article/2036859-overview#a2","shortTitle":"Penetrating Abdominal Trauma","issued":{"date-parts":[["2018",3,13]]},"accessed":{"date-parts":[["2019",1,18]]}}}],"schema":"https://github.com/citation-style-language/schema/raw/master/csl-citation.json"} </w:instrText>
      </w:r>
      <w:r>
        <w:rPr>
          <w:rFonts w:ascii="Times New Roman" w:hAnsi="Times New Roman" w:cs="Times New Roman"/>
          <w:b w:val="0"/>
          <w:bCs w:val="0"/>
          <w:i w:val="0"/>
          <w:iCs w:val="0"/>
          <w:sz w:val="20"/>
          <w:szCs w:val="20"/>
          <w:lang w:val="en-US"/>
        </w:rPr>
        <w:fldChar w:fldCharType="separate"/>
      </w:r>
      <w:r>
        <w:rPr>
          <w:rFonts w:ascii="Times New Roman" w:hAnsi="Times New Roman" w:cs="Times New Roman"/>
          <w:b w:val="0"/>
          <w:bCs w:val="0"/>
          <w:i w:val="0"/>
          <w:iCs w:val="0"/>
          <w:sz w:val="20"/>
          <w:szCs w:val="20"/>
        </w:rPr>
        <w:t>(3)</w:t>
      </w:r>
      <w:r>
        <w:rPr>
          <w:rFonts w:ascii="Times New Roman" w:hAnsi="Times New Roman" w:cs="Times New Roman"/>
          <w:b w:val="0"/>
          <w:bCs w:val="0"/>
          <w:i w:val="0"/>
          <w:iCs w:val="0"/>
          <w:sz w:val="20"/>
          <w:szCs w:val="20"/>
          <w:lang w:val="en-US"/>
        </w:rPr>
        <w:fldChar w:fldCharType="end"/>
      </w:r>
      <w:r>
        <w:rPr>
          <w:rFonts w:ascii="Times New Roman" w:hAnsi="Times New Roman" w:cs="Times New Roman"/>
          <w:b w:val="0"/>
          <w:bCs w:val="0"/>
          <w:i w:val="0"/>
          <w:iCs w:val="0"/>
          <w:sz w:val="20"/>
          <w:szCs w:val="20"/>
        </w:rPr>
        <w:t>.</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 w:val="0"/>
          <w:bCs w:val="0"/>
          <w:i w:val="0"/>
          <w:iCs w:val="0"/>
          <w:sz w:val="20"/>
          <w:szCs w:val="20"/>
          <w:lang w:val="fr-FR"/>
        </w:rPr>
      </w:pPr>
      <w:r>
        <w:rPr>
          <w:rFonts w:ascii="Times New Roman" w:hAnsi="Times New Roman" w:cs="Times New Roman"/>
          <w:b w:val="0"/>
          <w:bCs w:val="0"/>
          <w:i w:val="0"/>
          <w:iCs w:val="0"/>
          <w:sz w:val="20"/>
          <w:szCs w:val="20"/>
        </w:rPr>
        <w:t>Les PPA sont de plus en plus récurrentes dans le monde, elles sont particulièrement élevées l</w:t>
      </w:r>
      <w:r>
        <w:rPr>
          <w:rFonts w:hint="default" w:ascii="Times New Roman" w:hAnsi="Times New Roman" w:cs="Times New Roman"/>
          <w:b w:val="0"/>
          <w:bCs w:val="0"/>
          <w:i w:val="0"/>
          <w:iCs w:val="0"/>
          <w:sz w:val="20"/>
          <w:szCs w:val="20"/>
          <w:lang w:val="fr-FR"/>
        </w:rPr>
        <w:t>à</w:t>
      </w:r>
      <w:r>
        <w:rPr>
          <w:rFonts w:ascii="Times New Roman" w:hAnsi="Times New Roman" w:cs="Times New Roman"/>
          <w:b w:val="0"/>
          <w:bCs w:val="0"/>
          <w:i w:val="0"/>
          <w:iCs w:val="0"/>
          <w:sz w:val="20"/>
          <w:szCs w:val="20"/>
        </w:rPr>
        <w:t xml:space="preserve"> où il y</w:t>
      </w:r>
      <w:r>
        <w:rPr>
          <w:rFonts w:hint="default" w:ascii="Times New Roman" w:hAnsi="Times New Roman" w:cs="Times New Roman"/>
          <w:b w:val="0"/>
          <w:bCs w:val="0"/>
          <w:i w:val="0"/>
          <w:iCs w:val="0"/>
          <w:sz w:val="20"/>
          <w:szCs w:val="20"/>
          <w:lang w:val="fr-FR"/>
        </w:rPr>
        <w:t xml:space="preserve"> </w:t>
      </w:r>
      <w:r>
        <w:rPr>
          <w:rFonts w:ascii="Times New Roman" w:hAnsi="Times New Roman" w:cs="Times New Roman"/>
          <w:b w:val="0"/>
          <w:bCs w:val="0"/>
          <w:i w:val="0"/>
          <w:iCs w:val="0"/>
          <w:sz w:val="20"/>
          <w:szCs w:val="20"/>
        </w:rPr>
        <w:t xml:space="preserve">a un accès facile aux armes et en milieu des conflits militaires. Aux </w:t>
      </w:r>
      <w:r>
        <w:rPr>
          <w:rFonts w:ascii="Times New Roman" w:hAnsi="Times New Roman" w:cs="Times New Roman"/>
          <w:b w:val="0"/>
          <w:bCs w:val="0"/>
          <w:i w:val="0"/>
          <w:iCs w:val="0"/>
          <w:sz w:val="20"/>
          <w:szCs w:val="20"/>
          <w:lang w:val="fr-FR"/>
        </w:rPr>
        <w:t>États</w:t>
      </w:r>
      <w:r>
        <w:rPr>
          <w:rFonts w:ascii="Times New Roman" w:hAnsi="Times New Roman" w:cs="Times New Roman"/>
          <w:b w:val="0"/>
          <w:bCs w:val="0"/>
          <w:i w:val="0"/>
          <w:iCs w:val="0"/>
          <w:sz w:val="20"/>
          <w:szCs w:val="20"/>
        </w:rPr>
        <w:t xml:space="preserve"> unis, les PPA touchent environ 35% des patients admis dans les centres de traumatologie en milieu urbain et 1 à 12% de ceux admis dans des centres de banlieue ou ruraux</w:t>
      </w:r>
      <w:r>
        <w:rPr>
          <w:rFonts w:ascii="Times New Roman" w:hAnsi="Times New Roman" w:cs="Times New Roman"/>
          <w:b w:val="0"/>
          <w:bCs w:val="0"/>
          <w:i w:val="0"/>
          <w:iCs w:val="0"/>
          <w:sz w:val="20"/>
          <w:szCs w:val="20"/>
          <w:lang w:val="en-US"/>
        </w:rPr>
        <w:fldChar w:fldCharType="begin"/>
      </w:r>
      <w:r>
        <w:rPr>
          <w:rFonts w:ascii="Times New Roman" w:hAnsi="Times New Roman" w:cs="Times New Roman"/>
          <w:b w:val="0"/>
          <w:bCs w:val="0"/>
          <w:i w:val="0"/>
          <w:iCs w:val="0"/>
          <w:sz w:val="20"/>
          <w:szCs w:val="20"/>
        </w:rPr>
        <w:instrText xml:space="preserve"> ADDIN ZOTERO_ITEM CSL_CITATION {"citationID":"zPTH6XDk","properties":{"formattedCitation":"(4)","plainCitation":"(4)","noteIndex":0},"citationItems":[{"id":452,"uris":["http://zotero.org/users/5416333/items/HUAEKV3T"],"uri":["http://zotero.org/users/5416333/items/HUAEKV3T"],"itemData":{"id":452,"type":"book","title":"Penetrating Abdominal Trauma","publisher":"StatPearls Publishing","source":"www.ncbi.nlm.nih.gov","abstract":"Penetrating abdominal trauma is seen in many countries. The most common cause is a stab or gunshot. The most common organs injured are the small bowel (50%), large bowel (40%), liver (30%), and intra-abdominal vascular (25%). When the injury is close range, there is more kinetic energy than those injuries sustained from a distance. Even though most gunshot wounds typically have a linear projection, the high-energy wounds are associated with unpredictable injuries. There may also be secondary missile injuries from bone or bullet fragments. Stab wounds that penetrate the abdominal wall are difficult to assess. Occult injuries can be missed, resulting in delayed complications that can add to the morbidity.[1][2][3]","URL":"https://www.ncbi.nlm.nih.gov/books/NBK459123/","note":"PMID: 29083811","language":"en","author":[{"family":"Bhimji","given":"Steve S."},{"family":"Burns","given":"Bracken"}],"issued":{"date-parts":[["2018",10,27]]},"accessed":{"date-parts":[["2019",1,18]]}}}],"schema":"https://github.com/citation-style-language/schema/raw/master/csl-citation.json"} </w:instrText>
      </w:r>
      <w:r>
        <w:rPr>
          <w:rFonts w:ascii="Times New Roman" w:hAnsi="Times New Roman" w:cs="Times New Roman"/>
          <w:b w:val="0"/>
          <w:bCs w:val="0"/>
          <w:i w:val="0"/>
          <w:iCs w:val="0"/>
          <w:sz w:val="20"/>
          <w:szCs w:val="20"/>
          <w:lang w:val="en-US"/>
        </w:rPr>
        <w:fldChar w:fldCharType="separate"/>
      </w:r>
      <w:r>
        <w:rPr>
          <w:rFonts w:ascii="Times New Roman" w:hAnsi="Times New Roman" w:cs="Times New Roman"/>
          <w:b w:val="0"/>
          <w:bCs w:val="0"/>
          <w:i w:val="0"/>
          <w:iCs w:val="0"/>
          <w:sz w:val="20"/>
          <w:szCs w:val="20"/>
        </w:rPr>
        <w:t>(4)</w:t>
      </w:r>
      <w:r>
        <w:rPr>
          <w:rFonts w:ascii="Times New Roman" w:hAnsi="Times New Roman" w:cs="Times New Roman"/>
          <w:b w:val="0"/>
          <w:bCs w:val="0"/>
          <w:i w:val="0"/>
          <w:iCs w:val="0"/>
          <w:sz w:val="20"/>
          <w:szCs w:val="20"/>
          <w:lang w:val="en-US"/>
        </w:rPr>
        <w:fldChar w:fldCharType="end"/>
      </w:r>
      <w:r>
        <w:rPr>
          <w:rFonts w:ascii="Times New Roman" w:hAnsi="Times New Roman" w:cs="Times New Roman"/>
          <w:b w:val="0"/>
          <w:bCs w:val="0"/>
          <w:i w:val="0"/>
          <w:iCs w:val="0"/>
          <w:sz w:val="20"/>
          <w:szCs w:val="20"/>
        </w:rPr>
        <w:t>. En Europe, u</w:t>
      </w:r>
      <w:r>
        <w:rPr>
          <w:rFonts w:ascii="Times New Roman" w:hAnsi="Times New Roman" w:eastAsia="Times New Roman" w:cs="Times New Roman"/>
          <w:b w:val="0"/>
          <w:bCs w:val="0"/>
          <w:i w:val="0"/>
          <w:iCs w:val="0"/>
          <w:sz w:val="20"/>
          <w:szCs w:val="20"/>
        </w:rPr>
        <w:t>ne étude épidémiologique française a colligé, sur une période de 10 ans, 22 000 plaies par armes à feu et armes blanches</w:t>
      </w:r>
      <w:r>
        <w:rPr>
          <w:rFonts w:ascii="Times New Roman" w:hAnsi="Times New Roman" w:eastAsia="Times New Roman" w:cs="Times New Roman"/>
          <w:b w:val="0"/>
          <w:bCs w:val="0"/>
          <w:i w:val="0"/>
          <w:iCs w:val="0"/>
          <w:sz w:val="20"/>
          <w:szCs w:val="20"/>
        </w:rPr>
        <w:fldChar w:fldCharType="begin"/>
      </w:r>
      <w:r>
        <w:rPr>
          <w:rFonts w:ascii="Times New Roman" w:hAnsi="Times New Roman" w:eastAsia="Times New Roman" w:cs="Times New Roman"/>
          <w:b w:val="0"/>
          <w:bCs w:val="0"/>
          <w:i w:val="0"/>
          <w:iCs w:val="0"/>
          <w:sz w:val="20"/>
          <w:szCs w:val="20"/>
        </w:rPr>
        <w:instrText xml:space="preserve"> ADDIN ZOTERO_ITEM CSL_CITATION {"citationID":"W4E7HaMj","properties":{"formattedCitation":"(5)","plainCitation":"(5)","noteIndex":0},"citationItems":[{"id":455,"uris":["http://zotero.org/users/5416333/items/I9GR8FC9"],"uri":["http://zotero.org/users/5416333/items/I9GR8FC9"],"itemData":{"id":455,"type":"article-newspaper","title":"Debien B, Lenoir B. Traumatismes balistiques du thorax. In : Sfar, editor.  Conférences d’actualisation. Congrès national d’anesthésie et de  réanimation. Paris : Elsevier ; 2004. p. 515-32."}}],"schema":"https://github.com/citation-style-language/schema/raw/master/csl-citation.json"} </w:instrText>
      </w:r>
      <w:r>
        <w:rPr>
          <w:rFonts w:ascii="Times New Roman" w:hAnsi="Times New Roman" w:eastAsia="Times New Roman" w:cs="Times New Roman"/>
          <w:b w:val="0"/>
          <w:bCs w:val="0"/>
          <w:i w:val="0"/>
          <w:iCs w:val="0"/>
          <w:sz w:val="20"/>
          <w:szCs w:val="20"/>
        </w:rPr>
        <w:fldChar w:fldCharType="separate"/>
      </w:r>
      <w:r>
        <w:rPr>
          <w:rFonts w:ascii="Times New Roman" w:hAnsi="Times New Roman" w:cs="Times New Roman"/>
          <w:b w:val="0"/>
          <w:bCs w:val="0"/>
          <w:i w:val="0"/>
          <w:iCs w:val="0"/>
          <w:sz w:val="20"/>
          <w:szCs w:val="20"/>
        </w:rPr>
        <w:t>(5)</w:t>
      </w:r>
      <w:r>
        <w:rPr>
          <w:rFonts w:ascii="Times New Roman" w:hAnsi="Times New Roman" w:eastAsia="Times New Roman" w:cs="Times New Roman"/>
          <w:b w:val="0"/>
          <w:bCs w:val="0"/>
          <w:i w:val="0"/>
          <w:iCs w:val="0"/>
          <w:sz w:val="20"/>
          <w:szCs w:val="20"/>
        </w:rPr>
        <w:fldChar w:fldCharType="end"/>
      </w:r>
      <w:r>
        <w:rPr>
          <w:rFonts w:hint="default" w:ascii="Times New Roman" w:hAnsi="Times New Roman" w:eastAsia="Times New Roman" w:cs="Times New Roman"/>
          <w:b w:val="0"/>
          <w:bCs w:val="0"/>
          <w:i w:val="0"/>
          <w:iCs w:val="0"/>
          <w:sz w:val="20"/>
          <w:szCs w:val="20"/>
          <w:lang w:val="fr-FR"/>
        </w:rPr>
        <w:t>.</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 w:val="0"/>
          <w:bCs w:val="0"/>
          <w:i w:val="0"/>
          <w:iCs w:val="0"/>
          <w:sz w:val="20"/>
          <w:szCs w:val="20"/>
          <w:lang w:val="fr-FR"/>
        </w:rPr>
      </w:pPr>
      <w:r>
        <w:rPr>
          <w:rFonts w:hint="default" w:ascii="Times New Roman" w:hAnsi="Times New Roman" w:eastAsia="Times New Roman" w:cs="Times New Roman"/>
          <w:b w:val="0"/>
          <w:bCs w:val="0"/>
          <w:i w:val="0"/>
          <w:iCs w:val="0"/>
          <w:sz w:val="20"/>
          <w:szCs w:val="20"/>
          <w:lang w:val="fr-FR"/>
        </w:rPr>
        <w:t xml:space="preserve">Elle retrouvait les PPA dans 13% de traumatismes par AF et dans 34% des traumatismes par arme blanche. En Afrique les fréquences des PPA sont très élevées avec une incidence de 29,7% en 2018 en Algérie </w:t>
      </w:r>
      <w:r>
        <w:rPr>
          <w:rFonts w:hint="default" w:ascii="Times New Roman" w:hAnsi="Times New Roman" w:eastAsia="Times New Roman" w:cs="Times New Roman"/>
          <w:b w:val="0"/>
          <w:bCs w:val="0"/>
          <w:i w:val="0"/>
          <w:iCs w:val="0"/>
          <w:sz w:val="20"/>
          <w:szCs w:val="20"/>
          <w:lang w:val="fr-FR"/>
        </w:rPr>
        <w:fldChar w:fldCharType="begin"/>
      </w:r>
      <w:r>
        <w:rPr>
          <w:rFonts w:hint="default" w:ascii="Times New Roman" w:hAnsi="Times New Roman" w:eastAsia="Times New Roman" w:cs="Times New Roman"/>
          <w:b w:val="0"/>
          <w:bCs w:val="0"/>
          <w:i w:val="0"/>
          <w:iCs w:val="0"/>
          <w:sz w:val="20"/>
          <w:szCs w:val="20"/>
          <w:lang w:val="fr-FR"/>
        </w:rPr>
        <w:instrText xml:space="preserve"> ADDIN ZOTERO_ITEM CSL_CITATION {"citationID":"OPqbr09L","properties":{"formattedCitation":"(1)","plainCitation":"(1)","noteIndex":0},"citationItems":[{"id":440,"uris":["http://zotero.org/users/5416333/items/RCMYWURN"],"uri":["http://zotero.org/users/5416333/items/RCMYWURN"],"itemData":{"id":440,"type":"thesis","title":"Les traumatismes de l'abdomen","publisher":"Université de béjaia","genre":"Thesis","source":"bibliomedecine.univ-bejaia.dz","abstract":"Les traumatismes de l’abdomen sont une pathologie de plus en plus fréquente dans la pratique quotidienne aux urgences, cela est probablement dû à l’augmentation du nombre d’accidents de la circulation vu l’extension du parc automobile et le non-respect du code de la route. \nNous avons mené une étude rétrospective secondairement prospective ayant porté sur les traumatismes de l’abdomen fermés ou ouverts, isolés ou associés. Ont été inclus dans notre étude les patients ayant un dossier médical, hospitalisés au service de chirurgie viscérale et d’anesthésie réanimation du CHU KHELIL AMRANE sur une période de deux ans et quatre mois allant du 1 er janvier 2016 au 30 avril 2018, et ont été exclus les patients de moins de 15 et 3mois et les patients n’ayant pas un dossier médical exploitable. \nOn a colligé 64 cas, 92,2% de sexe masculin, 7,8% de sexe féminin, la tranche d’âge la plus touchée est de 15 à 30ans avec un âge moyen de 34,4 ans……………","URL":"http://172.17.1.105:8080/handle/123456789/11400","language":"fr","author":[{"family":"Benabbas","given":"Hassiba"},{"family":"Benachour","given":"Kenza"}],"issued":{"date-parts":[["2018",7,1]]},"accessed":{"date-parts":[["2019",1,18]]}}}],"schema":"https://github.com/citation-style-language/schema/raw/master/csl-citation.json"} </w:instrText>
      </w:r>
      <w:r>
        <w:rPr>
          <w:rFonts w:hint="default" w:ascii="Times New Roman" w:hAnsi="Times New Roman" w:eastAsia="Times New Roman" w:cs="Times New Roman"/>
          <w:b w:val="0"/>
          <w:bCs w:val="0"/>
          <w:i w:val="0"/>
          <w:iCs w:val="0"/>
          <w:sz w:val="20"/>
          <w:szCs w:val="20"/>
          <w:lang w:val="fr-FR"/>
        </w:rPr>
        <w:fldChar w:fldCharType="separate"/>
      </w:r>
      <w:r>
        <w:rPr>
          <w:rFonts w:hint="default" w:ascii="Times New Roman" w:hAnsi="Times New Roman" w:eastAsia="Times New Roman" w:cs="Times New Roman"/>
          <w:b w:val="0"/>
          <w:bCs w:val="0"/>
          <w:i w:val="0"/>
          <w:iCs w:val="0"/>
          <w:sz w:val="20"/>
          <w:szCs w:val="20"/>
          <w:lang w:val="fr-FR"/>
        </w:rPr>
        <w:t>(1)</w:t>
      </w:r>
      <w:r>
        <w:rPr>
          <w:rFonts w:hint="default" w:ascii="Times New Roman" w:hAnsi="Times New Roman" w:eastAsia="Times New Roman" w:cs="Times New Roman"/>
          <w:b w:val="0"/>
          <w:bCs w:val="0"/>
          <w:i w:val="0"/>
          <w:iCs w:val="0"/>
          <w:sz w:val="20"/>
          <w:szCs w:val="20"/>
          <w:lang w:val="fr-FR"/>
        </w:rPr>
        <w:fldChar w:fldCharType="end"/>
      </w:r>
      <w:r>
        <w:rPr>
          <w:rFonts w:hint="default" w:ascii="Times New Roman" w:hAnsi="Times New Roman" w:eastAsia="Times New Roman" w:cs="Times New Roman"/>
          <w:b w:val="0"/>
          <w:bCs w:val="0"/>
          <w:i w:val="0"/>
          <w:iCs w:val="0"/>
          <w:sz w:val="20"/>
          <w:szCs w:val="20"/>
          <w:lang w:val="fr-FR"/>
        </w:rPr>
        <w:t xml:space="preserve"> et 22,7% au Tchad en 2016 </w:t>
      </w:r>
      <w:r>
        <w:rPr>
          <w:rFonts w:hint="default" w:ascii="Times New Roman" w:hAnsi="Times New Roman" w:eastAsia="Times New Roman" w:cs="Times New Roman"/>
          <w:b w:val="0"/>
          <w:bCs w:val="0"/>
          <w:i w:val="0"/>
          <w:iCs w:val="0"/>
          <w:sz w:val="20"/>
          <w:szCs w:val="20"/>
          <w:lang w:val="fr-FR"/>
        </w:rPr>
        <w:fldChar w:fldCharType="begin"/>
      </w:r>
      <w:r>
        <w:rPr>
          <w:rFonts w:hint="default" w:ascii="Times New Roman" w:hAnsi="Times New Roman" w:eastAsia="Times New Roman" w:cs="Times New Roman"/>
          <w:b w:val="0"/>
          <w:bCs w:val="0"/>
          <w:i w:val="0"/>
          <w:iCs w:val="0"/>
          <w:sz w:val="20"/>
          <w:szCs w:val="20"/>
          <w:lang w:val="fr-FR"/>
        </w:rPr>
        <w:instrText xml:space="preserve"> ADDIN ZOTERO_ITEM CSL_CITATION {"citationID":"F9DdJZa8","properties":{"formattedCitation":"(6)","plainCitation":"(6)","noteIndex":0},"citationItems":[{"id":573,"uris":["http://zotero.org/users/5416333/items/NCA4RUGT"],"uri":["http://zotero.org/users/5416333/items/NCA4RUGT"],"itemData":{"id":573,"type":"article-journal","title":"Les Plaies Penetrantes Par Armes Blanches Et A Feu A N’djamena, Tchad: Une Epidemie Silencieuse ?","container-title":"European Scientific Journal, ESJ","page":"180","volume":"12","issue":"9","source":"eujournal.org","abstract":"Aim: the aim of this study was to report the experience of the General Hospital of National Reference in N'djamena (Chad) in the management of penetrating wounds. Patients and methods: This was a prospective study ranging from 01/07/2013 to 30/06/2014. Were included all patients undergoing penetrating stab or firearm wound. The studied variables were: age, sex, and type of trauma, prehospital delay, transport, and the treatment. The length of hospital stay, morbidity and mortality were also studied. Results: the series included 129 patients: 120 men (93%) and 9 women (7%). penetrating trauma constituted 22.7% of the 569 surgical emergency admissions. They were caused by a knife and a gun in respectively 112 (77.5%) and 17 (13.2%) patients. Brawls and assaults were the cause of trauma in 78 cases, respectively (60.5%) and 47 cases (36.4%). The cause was accidental in 4 cases (3.1%). The most used wounding agent was the knife in 100 cases (77.5%), followed by firearms in 17 cases (13.2%) and other sharp objects in 12 cases (9.3%). The admission average time was 3,7h. Patients arrived mostly by public transport. Penetrating wounds were respectively 67 cases in thoracic, 50 cases in abdominal and in 2 intracerebral cases. Treating chest wounds included: in 50.7% of cases right thoracic drain, 46.3% of left thoracic drain and 3% of bilateral thoracic drain. For abdominal penetrating wounds laparotomy was the rule. Surgical treatment in these cases: 6 gastric sutures, 25 sutures and 4 resection of the small intestine, and 10 sutures, plus 2 resections of the colon, 3 negative laparotomies. Similarly, the diaphragm, the liver, and spleen injuries had proper treatment. Elsewhere, two intra brain knives were extracted. The average stay was 8.9 days. Morbidity was 6.2% and mortality 3.1%. Conclusion: penetrating trauma is a real public health problem in N'Djamena related to brawls and aggressions. Knife is the most used agent.","DOI":"10.19044/esj.2016.v12n9p180","ISSN":"18577431","shortTitle":"Les Plaies Penetrantes Par Armes Blanches Et A Feu A N’djamena, Tchad","language":"en","author":[{"family":"O","given":"Choua"},{"family":"K","given":"Rimtebaye"},{"family":"M","given":"Adam Adami"},{"family":"G","given":"Bekoutou"},{"family":"A","given":"Anour M."}],"issued":{"date-parts":[["2016",3,30]]}}}],"schema":"https://github.com/citation-style-language/schema/raw/master/csl-citation.json"} </w:instrText>
      </w:r>
      <w:r>
        <w:rPr>
          <w:rFonts w:hint="default" w:ascii="Times New Roman" w:hAnsi="Times New Roman" w:eastAsia="Times New Roman" w:cs="Times New Roman"/>
          <w:b w:val="0"/>
          <w:bCs w:val="0"/>
          <w:i w:val="0"/>
          <w:iCs w:val="0"/>
          <w:sz w:val="20"/>
          <w:szCs w:val="20"/>
          <w:lang w:val="fr-FR"/>
        </w:rPr>
        <w:fldChar w:fldCharType="separate"/>
      </w:r>
      <w:r>
        <w:rPr>
          <w:rFonts w:hint="default" w:ascii="Times New Roman" w:hAnsi="Times New Roman" w:eastAsia="Times New Roman" w:cs="Times New Roman"/>
          <w:b w:val="0"/>
          <w:bCs w:val="0"/>
          <w:i w:val="0"/>
          <w:iCs w:val="0"/>
          <w:sz w:val="20"/>
          <w:szCs w:val="20"/>
          <w:lang w:val="fr-FR"/>
        </w:rPr>
        <w:t>(6)</w:t>
      </w:r>
      <w:r>
        <w:rPr>
          <w:rFonts w:hint="default" w:ascii="Times New Roman" w:hAnsi="Times New Roman" w:eastAsia="Times New Roman" w:cs="Times New Roman"/>
          <w:b w:val="0"/>
          <w:bCs w:val="0"/>
          <w:i w:val="0"/>
          <w:iCs w:val="0"/>
          <w:sz w:val="20"/>
          <w:szCs w:val="20"/>
          <w:lang w:val="fr-FR"/>
        </w:rPr>
        <w:fldChar w:fldCharType="end"/>
      </w:r>
      <w:r>
        <w:rPr>
          <w:rFonts w:hint="default" w:ascii="Times New Roman" w:hAnsi="Times New Roman" w:eastAsia="Times New Roman" w:cs="Times New Roman"/>
          <w:b w:val="0"/>
          <w:bCs w:val="0"/>
          <w:i w:val="0"/>
          <w:iCs w:val="0"/>
          <w:sz w:val="20"/>
          <w:szCs w:val="20"/>
          <w:lang w:val="fr-FR"/>
        </w:rPr>
        <w:t xml:space="preserve">. Dans 90% de cas les sujets atteints par les PPA sont des hommes </w:t>
      </w:r>
      <w:r>
        <w:rPr>
          <w:rFonts w:hint="default" w:ascii="Times New Roman" w:hAnsi="Times New Roman" w:eastAsia="Times New Roman" w:cs="Times New Roman"/>
          <w:b w:val="0"/>
          <w:bCs w:val="0"/>
          <w:i w:val="0"/>
          <w:iCs w:val="0"/>
          <w:sz w:val="20"/>
          <w:szCs w:val="20"/>
          <w:lang w:val="fr-FR"/>
        </w:rPr>
        <w:fldChar w:fldCharType="begin"/>
      </w:r>
      <w:r>
        <w:rPr>
          <w:rFonts w:hint="default" w:ascii="Times New Roman" w:hAnsi="Times New Roman" w:eastAsia="Times New Roman" w:cs="Times New Roman"/>
          <w:b w:val="0"/>
          <w:bCs w:val="0"/>
          <w:i w:val="0"/>
          <w:iCs w:val="0"/>
          <w:sz w:val="20"/>
          <w:szCs w:val="20"/>
          <w:lang w:val="fr-FR"/>
        </w:rPr>
        <w:instrText xml:space="preserve"> ADDIN ZOTERO_ITEM CSL_CITATION {"citationID":"Z4thIExx","properties":{"formattedCitation":"(4)","plainCitation":"(4)","noteIndex":0},"citationItems":[{"id":452,"uris":["http://zotero.org/users/5416333/items/HUAEKV3T"],"uri":["http://zotero.org/users/5416333/items/HUAEKV3T"],"itemData":{"id":452,"type":"book","title":"Penetrating Abdominal Trauma","publisher":"StatPearls Publishing","source":"www.ncbi.nlm.nih.gov","abstract":"Penetrating abdominal trauma is seen in many countries. The most common cause is a stab or gunshot. The most common organs injured are the small bowel (50%), large bowel (40%), liver (30%), and intra-abdominal vascular (25%). When the injury is close range, there is more kinetic energy than those injuries sustained from a distance. Even though most gunshot wounds typically have a linear projection, the high-energy wounds are associated with unpredictable injuries. There may also be secondary missile injuries from bone or bullet fragments. Stab wounds that penetrate the abdominal wall are difficult to assess. Occult injuries can be missed, resulting in delayed complications that can add to the morbidity.[1][2][3]","URL":"https://www.ncbi.nlm.nih.gov/books/NBK459123/","note":"PMID: 29083811","language":"en","author":[{"family":"Bhimji","given":"Steve S."},{"family":"Burns","given":"Bracken"}],"issued":{"date-parts":[["2018",10,27]]},"accessed":{"date-parts":[["2019",1,18]]}}}],"schema":"https://github.com/citation-style-language/schema/raw/master/csl-citation.json"} </w:instrText>
      </w:r>
      <w:r>
        <w:rPr>
          <w:rFonts w:hint="default" w:ascii="Times New Roman" w:hAnsi="Times New Roman" w:eastAsia="Times New Roman" w:cs="Times New Roman"/>
          <w:b w:val="0"/>
          <w:bCs w:val="0"/>
          <w:i w:val="0"/>
          <w:iCs w:val="0"/>
          <w:sz w:val="20"/>
          <w:szCs w:val="20"/>
          <w:lang w:val="fr-FR"/>
        </w:rPr>
        <w:fldChar w:fldCharType="separate"/>
      </w:r>
      <w:r>
        <w:rPr>
          <w:rFonts w:hint="default" w:ascii="Times New Roman" w:hAnsi="Times New Roman" w:eastAsia="Times New Roman" w:cs="Times New Roman"/>
          <w:b w:val="0"/>
          <w:bCs w:val="0"/>
          <w:i w:val="0"/>
          <w:iCs w:val="0"/>
          <w:sz w:val="20"/>
          <w:szCs w:val="20"/>
          <w:lang w:val="fr-FR"/>
        </w:rPr>
        <w:t>(4)</w:t>
      </w:r>
      <w:r>
        <w:rPr>
          <w:rFonts w:hint="default" w:ascii="Times New Roman" w:hAnsi="Times New Roman" w:eastAsia="Times New Roman" w:cs="Times New Roman"/>
          <w:b w:val="0"/>
          <w:bCs w:val="0"/>
          <w:i w:val="0"/>
          <w:iCs w:val="0"/>
          <w:sz w:val="20"/>
          <w:szCs w:val="20"/>
          <w:lang w:val="fr-FR"/>
        </w:rPr>
        <w:fldChar w:fldCharType="end"/>
      </w:r>
      <w:r>
        <w:rPr>
          <w:rFonts w:hint="default" w:ascii="Times New Roman" w:hAnsi="Times New Roman" w:eastAsia="Times New Roman" w:cs="Times New Roman"/>
          <w:b w:val="0"/>
          <w:bCs w:val="0"/>
          <w:i w:val="0"/>
          <w:iCs w:val="0"/>
          <w:sz w:val="20"/>
          <w:szCs w:val="20"/>
          <w:lang w:val="fr-FR"/>
        </w:rPr>
        <w:t xml:space="preserve"> et les blessures issue de PPA sont les principales causes de décès chez les patients âgés de 1 à 44 ans atteints de PPA </w:t>
      </w:r>
      <w:r>
        <w:rPr>
          <w:rFonts w:hint="default" w:ascii="Times New Roman" w:hAnsi="Times New Roman" w:eastAsia="Times New Roman" w:cs="Times New Roman"/>
          <w:b w:val="0"/>
          <w:bCs w:val="0"/>
          <w:i w:val="0"/>
          <w:iCs w:val="0"/>
          <w:sz w:val="20"/>
          <w:szCs w:val="20"/>
          <w:lang w:val="fr-FR"/>
        </w:rPr>
        <w:fldChar w:fldCharType="begin"/>
      </w:r>
      <w:r>
        <w:rPr>
          <w:rFonts w:hint="default" w:ascii="Times New Roman" w:hAnsi="Times New Roman" w:eastAsia="Times New Roman" w:cs="Times New Roman"/>
          <w:b w:val="0"/>
          <w:bCs w:val="0"/>
          <w:i w:val="0"/>
          <w:iCs w:val="0"/>
          <w:sz w:val="20"/>
          <w:szCs w:val="20"/>
          <w:lang w:val="fr-FR"/>
        </w:rPr>
        <w:instrText xml:space="preserve"> ADDIN ZOTERO_ITEM CSL_CITATION {"citationID":"q8XzTOcA","properties":{"formattedCitation":"(3)","plainCitation":"(3)","noteIndex":0},"citationItems":[{"id":450,"uris":["http://zotero.org/users/5416333/items/RYXDYMFL"],"uri":["http://zotero.org/users/5416333/items/RYXDYMFL"],"itemData":{"id":450,"type":"article-journal","title":"Penetrating Abdominal Trauma: Practice Essentials, Background, Anatomy","source":"eMedicine","abstract":"Penetrating abdominal trauma typically involves the violation of the abdominal cavity by a gunshot wound (GSW) or stab wound. The management of penetrating abdominal trauma has evolved greatly over the last century.","URL":"https://emedicine.medscape.com/article/2036859-overview#a2","shortTitle":"Penetrating Abdominal Trauma","issued":{"date-parts":[["2018",3,13]]},"accessed":{"date-parts":[["2019",1,18]]}}}],"schema":"https://github.com/citation-style-language/schema/raw/master/csl-citation.json"} </w:instrText>
      </w:r>
      <w:r>
        <w:rPr>
          <w:rFonts w:hint="default" w:ascii="Times New Roman" w:hAnsi="Times New Roman" w:eastAsia="Times New Roman" w:cs="Times New Roman"/>
          <w:b w:val="0"/>
          <w:bCs w:val="0"/>
          <w:i w:val="0"/>
          <w:iCs w:val="0"/>
          <w:sz w:val="20"/>
          <w:szCs w:val="20"/>
          <w:lang w:val="fr-FR"/>
        </w:rPr>
        <w:fldChar w:fldCharType="separate"/>
      </w:r>
      <w:r>
        <w:rPr>
          <w:rFonts w:hint="default" w:ascii="Times New Roman" w:hAnsi="Times New Roman" w:eastAsia="Times New Roman" w:cs="Times New Roman"/>
          <w:b w:val="0"/>
          <w:bCs w:val="0"/>
          <w:i w:val="0"/>
          <w:iCs w:val="0"/>
          <w:sz w:val="20"/>
          <w:szCs w:val="20"/>
          <w:lang w:val="fr-FR"/>
        </w:rPr>
        <w:t>(3)</w:t>
      </w:r>
      <w:r>
        <w:rPr>
          <w:rFonts w:hint="default" w:ascii="Times New Roman" w:hAnsi="Times New Roman" w:eastAsia="Times New Roman" w:cs="Times New Roman"/>
          <w:b w:val="0"/>
          <w:bCs w:val="0"/>
          <w:i w:val="0"/>
          <w:iCs w:val="0"/>
          <w:sz w:val="20"/>
          <w:szCs w:val="20"/>
          <w:lang w:val="fr-FR"/>
        </w:rPr>
        <w:fldChar w:fldCharType="end"/>
      </w:r>
      <w:r>
        <w:rPr>
          <w:rFonts w:hint="default" w:ascii="Times New Roman" w:hAnsi="Times New Roman" w:eastAsia="Times New Roman" w:cs="Times New Roman"/>
          <w:b w:val="0"/>
          <w:bCs w:val="0"/>
          <w:i w:val="0"/>
          <w:iCs w:val="0"/>
          <w:sz w:val="20"/>
          <w:szCs w:val="20"/>
          <w:lang w:val="fr-FR"/>
        </w:rPr>
        <w:t>.</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 w:val="0"/>
          <w:bCs w:val="0"/>
          <w:i w:val="0"/>
          <w:iCs w:val="0"/>
          <w:sz w:val="20"/>
          <w:szCs w:val="20"/>
          <w:lang w:val="fr-FR"/>
        </w:rPr>
      </w:pPr>
      <w:r>
        <w:rPr>
          <w:rFonts w:hint="default" w:ascii="Times New Roman" w:hAnsi="Times New Roman" w:eastAsia="Times New Roman" w:cs="Times New Roman"/>
          <w:b w:val="0"/>
          <w:bCs w:val="0"/>
          <w:i w:val="0"/>
          <w:iCs w:val="0"/>
          <w:sz w:val="20"/>
          <w:szCs w:val="20"/>
          <w:lang w:val="fr-FR"/>
        </w:rPr>
        <w:t>La prise en charge des PPA est souvent fonction de l’agent causal et de l’état hémodynamique du patient à l’arrivée dans les structures hospitalières. En général les PPA par AF nécessitent une exploration chirurgicale tandis que les blessures par arme blanche sont associées à une incidence plus faible de blessures intra-abdominales.</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 w:val="0"/>
          <w:bCs w:val="0"/>
          <w:i w:val="0"/>
          <w:iCs w:val="0"/>
          <w:sz w:val="20"/>
          <w:szCs w:val="20"/>
          <w:lang w:val="fr-FR"/>
        </w:rPr>
      </w:pPr>
      <w:r>
        <w:rPr>
          <w:rFonts w:hint="default" w:ascii="Times New Roman" w:hAnsi="Times New Roman" w:eastAsia="Times New Roman" w:cs="Times New Roman"/>
          <w:b w:val="0"/>
          <w:bCs w:val="0"/>
          <w:i w:val="0"/>
          <w:iCs w:val="0"/>
          <w:sz w:val="20"/>
          <w:szCs w:val="20"/>
          <w:lang w:val="fr-FR"/>
        </w:rPr>
        <w:t xml:space="preserve">Le test de diagnostic de choix est un scanner à triple contraste </w:t>
      </w:r>
      <w:r>
        <w:rPr>
          <w:rFonts w:hint="default" w:ascii="Times New Roman" w:hAnsi="Times New Roman" w:eastAsia="Times New Roman" w:cs="Times New Roman"/>
          <w:b w:val="0"/>
          <w:bCs w:val="0"/>
          <w:i w:val="0"/>
          <w:iCs w:val="0"/>
          <w:sz w:val="20"/>
          <w:szCs w:val="20"/>
          <w:lang w:val="fr-FR"/>
        </w:rPr>
        <w:fldChar w:fldCharType="begin"/>
      </w:r>
      <w:r>
        <w:rPr>
          <w:rFonts w:hint="default" w:ascii="Times New Roman" w:hAnsi="Times New Roman" w:eastAsia="Times New Roman" w:cs="Times New Roman"/>
          <w:b w:val="0"/>
          <w:bCs w:val="0"/>
          <w:i w:val="0"/>
          <w:iCs w:val="0"/>
          <w:sz w:val="20"/>
          <w:szCs w:val="20"/>
          <w:lang w:val="fr-FR"/>
        </w:rPr>
        <w:instrText xml:space="preserve"> ADDIN ZOTERO_ITEM CSL_CITATION {"citationID":"8gQYnhxE","properties":{"formattedCitation":"(4)","plainCitation":"(4)","noteIndex":0},"citationItems":[{"id":452,"uris":["http://zotero.org/users/5416333/items/HUAEKV3T"],"uri":["http://zotero.org/users/5416333/items/HUAEKV3T"],"itemData":{"id":452,"type":"book","title":"Penetrating Abdominal Trauma","publisher":"StatPearls Publishing","source":"www.ncbi.nlm.nih.gov","abstract":"Penetrating abdominal trauma is seen in many countries. The most common cause is a stab or gunshot. The most common organs injured are the small bowel (50%), large bowel (40%), liver (30%), and intra-abdominal vascular (25%). When the injury is close range, there is more kinetic energy than those injuries sustained from a distance. Even though most gunshot wounds typically have a linear projection, the high-energy wounds are associated with unpredictable injuries. There may also be secondary missile injuries from bone or bullet fragments. Stab wounds that penetrate the abdominal wall are difficult to assess. Occult injuries can be missed, resulting in delayed complications that can add to the morbidity.[1][2][3]","URL":"https://www.ncbi.nlm.nih.gov/books/NBK459123/","note":"PMID: 29083811","language":"en","author":[{"family":"Bhimji","given":"Steve S."},{"family":"Burns","given":"Bracken"}],"issued":{"date-parts":[["2018",10,27]]},"accessed":{"date-parts":[["2019",1,18]]}}}],"schema":"https://github.com/citation-style-language/schema/raw/master/csl-citation.json"} </w:instrText>
      </w:r>
      <w:r>
        <w:rPr>
          <w:rFonts w:hint="default" w:ascii="Times New Roman" w:hAnsi="Times New Roman" w:eastAsia="Times New Roman" w:cs="Times New Roman"/>
          <w:b w:val="0"/>
          <w:bCs w:val="0"/>
          <w:i w:val="0"/>
          <w:iCs w:val="0"/>
          <w:sz w:val="20"/>
          <w:szCs w:val="20"/>
          <w:lang w:val="fr-FR"/>
        </w:rPr>
        <w:fldChar w:fldCharType="separate"/>
      </w:r>
      <w:r>
        <w:rPr>
          <w:rFonts w:hint="default" w:ascii="Times New Roman" w:hAnsi="Times New Roman" w:eastAsia="Times New Roman" w:cs="Times New Roman"/>
          <w:b w:val="0"/>
          <w:bCs w:val="0"/>
          <w:i w:val="0"/>
          <w:iCs w:val="0"/>
          <w:sz w:val="20"/>
          <w:szCs w:val="20"/>
          <w:lang w:val="fr-FR"/>
        </w:rPr>
        <w:t>(4)</w:t>
      </w:r>
      <w:r>
        <w:rPr>
          <w:rFonts w:hint="default" w:ascii="Times New Roman" w:hAnsi="Times New Roman" w:eastAsia="Times New Roman" w:cs="Times New Roman"/>
          <w:b w:val="0"/>
          <w:bCs w:val="0"/>
          <w:i w:val="0"/>
          <w:iCs w:val="0"/>
          <w:sz w:val="20"/>
          <w:szCs w:val="20"/>
          <w:lang w:val="fr-FR"/>
        </w:rPr>
        <w:fldChar w:fldCharType="end"/>
      </w:r>
      <w:r>
        <w:rPr>
          <w:rFonts w:hint="default" w:ascii="Times New Roman" w:hAnsi="Times New Roman" w:eastAsia="Times New Roman" w:cs="Times New Roman"/>
          <w:b w:val="0"/>
          <w:bCs w:val="0"/>
          <w:i w:val="0"/>
          <w:iCs w:val="0"/>
          <w:sz w:val="20"/>
          <w:szCs w:val="20"/>
          <w:lang w:val="fr-FR"/>
        </w:rPr>
        <w:t xml:space="preserve"> toutefois il existe d’autres examens diagnostics comme la ponction lavage du péritoine (PLP) et l’échographie FAST qui présentent souvent des faux négatifs.</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 w:val="0"/>
          <w:bCs w:val="0"/>
          <w:i w:val="0"/>
          <w:iCs w:val="0"/>
          <w:sz w:val="20"/>
          <w:szCs w:val="20"/>
          <w:lang w:val="fr-FR"/>
        </w:rPr>
      </w:pPr>
      <w:r>
        <w:rPr>
          <w:rFonts w:hint="default" w:ascii="Times New Roman" w:hAnsi="Times New Roman" w:eastAsia="Times New Roman" w:cs="Times New Roman"/>
          <w:b w:val="0"/>
          <w:bCs w:val="0"/>
          <w:i w:val="0"/>
          <w:iCs w:val="0"/>
          <w:sz w:val="20"/>
          <w:szCs w:val="20"/>
          <w:lang w:val="fr-FR"/>
        </w:rPr>
        <w:t>Après une évaluation complète la majorité des patients bénéficie d’une laparotomie exploratrice</w:t>
      </w:r>
      <w:r>
        <w:rPr>
          <w:rFonts w:hint="default" w:ascii="Times New Roman" w:hAnsi="Times New Roman" w:eastAsia="Times New Roman" w:cs="Times New Roman"/>
          <w:b w:val="0"/>
          <w:bCs w:val="0"/>
          <w:i w:val="0"/>
          <w:iCs w:val="0"/>
          <w:sz w:val="20"/>
          <w:szCs w:val="20"/>
          <w:lang w:val="fr-FR"/>
        </w:rPr>
        <w:fldChar w:fldCharType="begin"/>
      </w:r>
      <w:r>
        <w:rPr>
          <w:rFonts w:hint="default" w:ascii="Times New Roman" w:hAnsi="Times New Roman" w:eastAsia="Times New Roman" w:cs="Times New Roman"/>
          <w:b w:val="0"/>
          <w:bCs w:val="0"/>
          <w:i w:val="0"/>
          <w:iCs w:val="0"/>
          <w:sz w:val="20"/>
          <w:szCs w:val="20"/>
          <w:lang w:val="fr-FR"/>
        </w:rPr>
        <w:instrText xml:space="preserve"> ADDIN ZOTERO_ITEM CSL_CITATION {"citationID":"ueEwmC9S","properties":{"formattedCitation":"(4)","plainCitation":"(4)","noteIndex":0},"citationItems":[{"id":452,"uris":["http://zotero.org/users/5416333/items/HUAEKV3T"],"uri":["http://zotero.org/users/5416333/items/HUAEKV3T"],"itemData":{"id":452,"type":"book","title":"Penetrating Abdominal Trauma","publisher":"StatPearls Publishing","source":"www.ncbi.nlm.nih.gov","abstract":"Penetrating abdominal trauma is seen in many countries. The most common cause is a stab or gunshot. The most common organs injured are the small bowel (50%), large bowel (40%), liver (30%), and intra-abdominal vascular (25%). When the injury is close range, there is more kinetic energy than those injuries sustained from a distance. Even though most gunshot wounds typically have a linear projection, the high-energy wounds are associated with unpredictable injuries. There may also be secondary missile injuries from bone or bullet fragments. Stab wounds that penetrate the abdominal wall are difficult to assess. Occult injuries can be missed, resulting in delayed complications that can add to the morbidity.[1][2][3]","URL":"https://www.ncbi.nlm.nih.gov/books/NBK459123/","note":"PMID: 29083811","language":"en","author":[{"family":"Bhimji","given":"Steve S."},{"family":"Burns","given":"Bracken"}],"issued":{"date-parts":[["2018",10,27]]},"accessed":{"date-parts":[["2019",1,18]]}}}],"schema":"https://github.com/citation-style-language/schema/raw/master/csl-citation.json"} </w:instrText>
      </w:r>
      <w:r>
        <w:rPr>
          <w:rFonts w:hint="default" w:ascii="Times New Roman" w:hAnsi="Times New Roman" w:eastAsia="Times New Roman" w:cs="Times New Roman"/>
          <w:b w:val="0"/>
          <w:bCs w:val="0"/>
          <w:i w:val="0"/>
          <w:iCs w:val="0"/>
          <w:sz w:val="20"/>
          <w:szCs w:val="20"/>
          <w:lang w:val="fr-FR"/>
        </w:rPr>
        <w:fldChar w:fldCharType="separate"/>
      </w:r>
      <w:r>
        <w:rPr>
          <w:rFonts w:hint="default" w:ascii="Times New Roman" w:hAnsi="Times New Roman" w:eastAsia="Times New Roman" w:cs="Times New Roman"/>
          <w:b w:val="0"/>
          <w:bCs w:val="0"/>
          <w:i w:val="0"/>
          <w:iCs w:val="0"/>
          <w:sz w:val="20"/>
          <w:szCs w:val="20"/>
          <w:lang w:val="fr-FR"/>
        </w:rPr>
        <w:t>(4)</w:t>
      </w:r>
      <w:r>
        <w:rPr>
          <w:rFonts w:hint="default" w:ascii="Times New Roman" w:hAnsi="Times New Roman" w:eastAsia="Times New Roman" w:cs="Times New Roman"/>
          <w:b w:val="0"/>
          <w:bCs w:val="0"/>
          <w:i w:val="0"/>
          <w:iCs w:val="0"/>
          <w:sz w:val="20"/>
          <w:szCs w:val="20"/>
          <w:lang w:val="fr-FR"/>
        </w:rPr>
        <w:fldChar w:fldCharType="end"/>
      </w:r>
      <w:r>
        <w:rPr>
          <w:rFonts w:hint="default" w:ascii="Times New Roman" w:hAnsi="Times New Roman" w:eastAsia="Times New Roman" w:cs="Times New Roman"/>
          <w:b w:val="0"/>
          <w:bCs w:val="0"/>
          <w:i w:val="0"/>
          <w:iCs w:val="0"/>
          <w:sz w:val="20"/>
          <w:szCs w:val="20"/>
          <w:lang w:val="fr-FR"/>
        </w:rPr>
        <w:t xml:space="preserve"> qui au fil des années est remplacée par une laparoscopie diagnostic et thérapeutique </w:t>
      </w:r>
      <w:r>
        <w:rPr>
          <w:rFonts w:hint="default" w:ascii="Times New Roman" w:hAnsi="Times New Roman" w:eastAsia="Times New Roman" w:cs="Times New Roman"/>
          <w:b w:val="0"/>
          <w:bCs w:val="0"/>
          <w:i w:val="0"/>
          <w:iCs w:val="0"/>
          <w:sz w:val="20"/>
          <w:szCs w:val="20"/>
          <w:lang w:val="fr-FR"/>
        </w:rPr>
        <w:fldChar w:fldCharType="begin"/>
      </w:r>
      <w:r>
        <w:rPr>
          <w:rFonts w:hint="default" w:ascii="Times New Roman" w:hAnsi="Times New Roman" w:eastAsia="Times New Roman" w:cs="Times New Roman"/>
          <w:b w:val="0"/>
          <w:bCs w:val="0"/>
          <w:i w:val="0"/>
          <w:iCs w:val="0"/>
          <w:sz w:val="20"/>
          <w:szCs w:val="20"/>
          <w:lang w:val="fr-FR"/>
        </w:rPr>
        <w:instrText xml:space="preserve"> ADDIN ZOTERO_ITEM CSL_CITATION {"citationID":"pvHRP68e","properties":{"formattedCitation":"(7)","plainCitation":"(7)","noteIndex":0},"citationItems":[{"id":482,"uris":["http://zotero.org/users/5416333/items/FLWAMG8D"],"uri":["http://zotero.org/users/5416333/items/FLWAMG8D"],"itemData":{"id":482,"type":"article-journal","title":"Management Guidelines for Penetrating Abdominal Trauma","container-title":"World Journal of Surgery","page":"1373-1380","volume":"39","issue":"6","source":"Springer Link","abstract":"IntroductionThe optimal management of patients with penetrating abdominal injuries has been debated for decades, since mandatory laparotomy (LAP) gave way to the concept of “selective conservatism.”Materials and MethodsA comprehensive literature review was performed and summarized.ResultsA proposed management guideline for patients with penetrating abdominal trauma was created.ConclusionIndications for immediate laparotomy (LAP) include hemodynamic instability, evisceration, peritonitis, or impalement. Selective nonoperative management of stable, asymptomatic patients has been demonstrated to be safe. Adjunctive diagnostic testing—ultrasonography, computed tomography, local wound exploration, diagnostic peritoneal lavage, laparoscopy—is often used in an attempt to identify significant injuries requiring operative management. However, prospective studies indicate that these tests frequently lead to nontherapeutic LAP, and are not cost-effective.","DOI":"10.1007/s00268-014-2793-7","ISSN":"1432-2323","journalAbbreviation":"World J Surg","language":"en","author":[{"family":"Biffl","given":"Walter L."},{"family":"Leppaniemi","given":"Ari"}],"issued":{"date-parts":[["2015",6,1]]}}}],"schema":"https://github.com/citation-style-language/schema/raw/master/csl-citation.json"} </w:instrText>
      </w:r>
      <w:r>
        <w:rPr>
          <w:rFonts w:hint="default" w:ascii="Times New Roman" w:hAnsi="Times New Roman" w:eastAsia="Times New Roman" w:cs="Times New Roman"/>
          <w:b w:val="0"/>
          <w:bCs w:val="0"/>
          <w:i w:val="0"/>
          <w:iCs w:val="0"/>
          <w:sz w:val="20"/>
          <w:szCs w:val="20"/>
          <w:lang w:val="fr-FR"/>
        </w:rPr>
        <w:fldChar w:fldCharType="separate"/>
      </w:r>
      <w:r>
        <w:rPr>
          <w:rFonts w:hint="default" w:ascii="Times New Roman" w:hAnsi="Times New Roman" w:eastAsia="Times New Roman" w:cs="Times New Roman"/>
          <w:b w:val="0"/>
          <w:bCs w:val="0"/>
          <w:i w:val="0"/>
          <w:iCs w:val="0"/>
          <w:sz w:val="20"/>
          <w:szCs w:val="20"/>
          <w:lang w:val="fr-FR"/>
        </w:rPr>
        <w:t>(7)</w:t>
      </w:r>
      <w:r>
        <w:rPr>
          <w:rFonts w:hint="default" w:ascii="Times New Roman" w:hAnsi="Times New Roman" w:eastAsia="Times New Roman" w:cs="Times New Roman"/>
          <w:b w:val="0"/>
          <w:bCs w:val="0"/>
          <w:i w:val="0"/>
          <w:iCs w:val="0"/>
          <w:sz w:val="20"/>
          <w:szCs w:val="20"/>
          <w:lang w:val="fr-FR"/>
        </w:rPr>
        <w:fldChar w:fldCharType="end"/>
      </w:r>
      <w:r>
        <w:rPr>
          <w:rFonts w:hint="default" w:ascii="Times New Roman" w:hAnsi="Times New Roman" w:eastAsia="Times New Roman" w:cs="Times New Roman"/>
          <w:b w:val="0"/>
          <w:bCs w:val="0"/>
          <w:i w:val="0"/>
          <w:iCs w:val="0"/>
          <w:sz w:val="20"/>
          <w:szCs w:val="20"/>
          <w:lang w:val="fr-FR"/>
        </w:rPr>
        <w:t>.</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 w:val="0"/>
          <w:bCs w:val="0"/>
          <w:i w:val="0"/>
          <w:iCs w:val="0"/>
          <w:sz w:val="20"/>
          <w:szCs w:val="20"/>
          <w:lang w:val="fr-FR"/>
        </w:rPr>
      </w:pPr>
      <w:r>
        <w:rPr>
          <w:rFonts w:hint="default" w:ascii="Times New Roman" w:hAnsi="Times New Roman" w:eastAsia="Times New Roman" w:cs="Times New Roman"/>
          <w:b w:val="0"/>
          <w:bCs w:val="0"/>
          <w:i w:val="0"/>
          <w:iCs w:val="0"/>
          <w:sz w:val="20"/>
          <w:szCs w:val="20"/>
          <w:lang w:val="fr-FR"/>
        </w:rPr>
        <w:t xml:space="preserve">Le pronostic des PPA dépend de plusieurs facteurs: le délai de la prise en charge, une atteinte vasculaire, le nombre d’organes lésés et le plateau technique de la structure hospitalière </w:t>
      </w:r>
      <w:r>
        <w:rPr>
          <w:rFonts w:hint="default" w:ascii="Times New Roman" w:hAnsi="Times New Roman" w:eastAsia="Times New Roman" w:cs="Times New Roman"/>
          <w:b w:val="0"/>
          <w:bCs w:val="0"/>
          <w:i w:val="0"/>
          <w:iCs w:val="0"/>
          <w:sz w:val="20"/>
          <w:szCs w:val="20"/>
          <w:lang w:val="fr-FR"/>
        </w:rPr>
        <w:fldChar w:fldCharType="begin"/>
      </w:r>
      <w:r>
        <w:rPr>
          <w:rFonts w:hint="default" w:ascii="Times New Roman" w:hAnsi="Times New Roman" w:eastAsia="Times New Roman" w:cs="Times New Roman"/>
          <w:b w:val="0"/>
          <w:bCs w:val="0"/>
          <w:i w:val="0"/>
          <w:iCs w:val="0"/>
          <w:sz w:val="20"/>
          <w:szCs w:val="20"/>
          <w:lang w:val="fr-FR"/>
        </w:rPr>
        <w:instrText xml:space="preserve"> ADDIN ZOTERO_ITEM CSL_CITATION {"citationID":"BcFPndCg","properties":{"formattedCitation":"(8)","plainCitation":"(8)","noteIndex":0},"citationItems":[{"id":485,"uris":["http://zotero.org/users/5416333/items/S4R2ARQS"],"uri":["http://zotero.org/users/5416333/items/S4R2ARQS"],"itemData":{"id":485,"type":"article-journal","title":"Trauma fatalities: time and location of hospital deaths","container-title":"Journal of the American College of Surgeons","page":"20-26","volume":"198","issue":"1","source":"PubMed","abstract":"BACKGROUND: Analysis of the epidemiology, temporal distribution, and place of traumatic hospital deaths can be a useful tool in identifying areas for research, education, and allocation of resources.\nSTUDY DESIGN: Trauma registry-based study of all traumatic hospital deaths at a Level I urban trauma center during the period 1993 to 2002. The time and hospital location where deaths occurred were analyzed according to mechanism of injury, age, Glasgow Coma Score, and body areas with severe injury (Abbreviated Injury Scale [AIS] &gt;/= 4). Logistic regression analysis was used to identify risk factors associated with death at various times after admission.\nRESULTS: During the study period there were 2,648 hospital trauma deaths. The most common body area with critical injuries (AIS &gt;/= 4) was the head (43%), followed by the chest (28%) and the abdomen (19%). Overall, 37% of victims had no vital signs present on admission. Chest AIS &gt;/= 4, penetrating trauma, and age greater than 60 years were significant risk factors associated with no vital signs on admission. Patients with severe chest trauma (AIS &gt;/= 4) reaching the hospital alive were significantly more likely to die within the first 60 minutes than were patients with severe abdominal or head injuries (17% versus 11% versus 7%). In patients reaching the hospital alive, the time and place of death varied according to mechanism of injury and injured body area. Deaths caused by severe head trauma peaked at 6 to 24 hours, and deaths caused by severe chest or abdominal trauma peaked at 1 to 6 hours after admission.\nCONCLUSIONS: The temporal distribution and location of trauma deaths are influenced by the mechanism of injury, age, and the injured body area. These findings may help in focusing research, education, and resource allocation in a more targeted manner to reduce trauma deaths.","DOI":"10.1016/j.jamcollsurg.2003.09.003","ISSN":"1072-7515","note":"PMID: 14698307","shortTitle":"Trauma fatalities","journalAbbreviation":"J. Am. Coll. Surg.","language":"eng","author":[{"family":"Demetriades","given":"Demetrios"},{"family":"Murray","given":"James"},{"family":"Charalambides","given":"Kiriakos"},{"family":"Alo","given":"Kathy"},{"family":"Velmahos","given":"George"},{"family":"Rhee","given":"Peter"},{"family":"Chan","given":"Linda"}],"issued":{"date-parts":[["2004",1]]}}}],"schema":"https://github.com/citation-style-language/schema/raw/master/csl-citation.json"} </w:instrText>
      </w:r>
      <w:r>
        <w:rPr>
          <w:rFonts w:hint="default" w:ascii="Times New Roman" w:hAnsi="Times New Roman" w:eastAsia="Times New Roman" w:cs="Times New Roman"/>
          <w:b w:val="0"/>
          <w:bCs w:val="0"/>
          <w:i w:val="0"/>
          <w:iCs w:val="0"/>
          <w:sz w:val="20"/>
          <w:szCs w:val="20"/>
          <w:lang w:val="fr-FR"/>
        </w:rPr>
        <w:fldChar w:fldCharType="separate"/>
      </w:r>
      <w:r>
        <w:rPr>
          <w:rFonts w:hint="default" w:ascii="Times New Roman" w:hAnsi="Times New Roman" w:eastAsia="Times New Roman" w:cs="Times New Roman"/>
          <w:b w:val="0"/>
          <w:bCs w:val="0"/>
          <w:i w:val="0"/>
          <w:iCs w:val="0"/>
          <w:sz w:val="20"/>
          <w:szCs w:val="20"/>
          <w:lang w:val="fr-FR"/>
        </w:rPr>
        <w:t>(8)</w:t>
      </w:r>
      <w:r>
        <w:rPr>
          <w:rFonts w:hint="default" w:ascii="Times New Roman" w:hAnsi="Times New Roman" w:eastAsia="Times New Roman" w:cs="Times New Roman"/>
          <w:b w:val="0"/>
          <w:bCs w:val="0"/>
          <w:i w:val="0"/>
          <w:iCs w:val="0"/>
          <w:sz w:val="20"/>
          <w:szCs w:val="20"/>
          <w:lang w:val="fr-FR"/>
        </w:rPr>
        <w:fldChar w:fldCharType="end"/>
      </w:r>
      <w:r>
        <w:rPr>
          <w:rFonts w:hint="default" w:ascii="Times New Roman" w:hAnsi="Times New Roman" w:eastAsia="Times New Roman" w:cs="Times New Roman"/>
          <w:b w:val="0"/>
          <w:bCs w:val="0"/>
          <w:i w:val="0"/>
          <w:iCs w:val="0"/>
          <w:sz w:val="20"/>
          <w:szCs w:val="20"/>
          <w:lang w:val="fr-FR"/>
        </w:rPr>
        <w:t xml:space="preserve">. En effet 80% des décès surviennent dans les 24 heures d'admission et 66,7% si il y’a une lésion vasculaire abdominale associée </w:t>
      </w:r>
      <w:r>
        <w:rPr>
          <w:rFonts w:hint="default" w:ascii="Times New Roman" w:hAnsi="Times New Roman" w:eastAsia="Times New Roman" w:cs="Times New Roman"/>
          <w:b w:val="0"/>
          <w:bCs w:val="0"/>
          <w:i w:val="0"/>
          <w:iCs w:val="0"/>
          <w:sz w:val="20"/>
          <w:szCs w:val="20"/>
          <w:lang w:val="fr-FR"/>
        </w:rPr>
        <w:fldChar w:fldCharType="begin"/>
      </w:r>
      <w:r>
        <w:rPr>
          <w:rFonts w:hint="default" w:ascii="Times New Roman" w:hAnsi="Times New Roman" w:eastAsia="Times New Roman" w:cs="Times New Roman"/>
          <w:b w:val="0"/>
          <w:bCs w:val="0"/>
          <w:i w:val="0"/>
          <w:iCs w:val="0"/>
          <w:sz w:val="20"/>
          <w:szCs w:val="20"/>
          <w:lang w:val="fr-FR"/>
        </w:rPr>
        <w:instrText xml:space="preserve"> ADDIN ZOTERO_ITEM CSL_CITATION {"citationID":"UPZWEpAF","properties":{"formattedCitation":"(8)","plainCitation":"(8)","noteIndex":0},"citationItems":[{"id":485,"uris":["http://zotero.org/users/5416333/items/S4R2ARQS"],"uri":["http://zotero.org/users/5416333/items/S4R2ARQS"],"itemData":{"id":485,"type":"article-journal","title":"Trauma fatalities: time and location of hospital deaths","container-title":"Journal of the American College of Surgeons","page":"20-26","volume":"198","issue":"1","source":"PubMed","abstract":"BACKGROUND: Analysis of the epidemiology, temporal distribution, and place of traumatic hospital deaths can be a useful tool in identifying areas for research, education, and allocation of resources.\nSTUDY DESIGN: Trauma registry-based study of all traumatic hospital deaths at a Level I urban trauma center during the period 1993 to 2002. The time and hospital location where deaths occurred were analyzed according to mechanism of injury, age, Glasgow Coma Score, and body areas with severe injury (Abbreviated Injury Scale [AIS] &gt;/= 4). Logistic regression analysis was used to identify risk factors associated with death at various times after admission.\nRESULTS: During the study period there were 2,648 hospital trauma deaths. The most common body area with critical injuries (AIS &gt;/= 4) was the head (43%), followed by the chest (28%) and the abdomen (19%). Overall, 37% of victims had no vital signs present on admission. Chest AIS &gt;/= 4, penetrating trauma, and age greater than 60 years were significant risk factors associated with no vital signs on admission. Patients with severe chest trauma (AIS &gt;/= 4) reaching the hospital alive were significantly more likely to die within the first 60 minutes than were patients with severe abdominal or head injuries (17% versus 11% versus 7%). In patients reaching the hospital alive, the time and place of death varied according to mechanism of injury and injured body area. Deaths caused by severe head trauma peaked at 6 to 24 hours, and deaths caused by severe chest or abdominal trauma peaked at 1 to 6 hours after admission.\nCONCLUSIONS: The temporal distribution and location of trauma deaths are influenced by the mechanism of injury, age, and the injured body area. These findings may help in focusing research, education, and resource allocation in a more targeted manner to reduce trauma deaths.","DOI":"10.1016/j.jamcollsurg.2003.09.003","ISSN":"1072-7515","note":"PMID: 14698307","shortTitle":"Trauma fatalities","journalAbbreviation":"J. Am. Coll. Surg.","language":"eng","author":[{"family":"Demetriades","given":"Demetrios"},{"family":"Murray","given":"James"},{"family":"Charalambides","given":"Kiriakos"},{"family":"Alo","given":"Kathy"},{"family":"Velmahos","given":"George"},{"family":"Rhee","given":"Peter"},{"family":"Chan","given":"Linda"}],"issued":{"date-parts":[["2004",1]]}}}],"schema":"https://github.com/citation-style-language/schema/raw/master/csl-citation.json"} </w:instrText>
      </w:r>
      <w:r>
        <w:rPr>
          <w:rFonts w:hint="default" w:ascii="Times New Roman" w:hAnsi="Times New Roman" w:eastAsia="Times New Roman" w:cs="Times New Roman"/>
          <w:b w:val="0"/>
          <w:bCs w:val="0"/>
          <w:i w:val="0"/>
          <w:iCs w:val="0"/>
          <w:sz w:val="20"/>
          <w:szCs w:val="20"/>
          <w:lang w:val="fr-FR"/>
        </w:rPr>
        <w:fldChar w:fldCharType="separate"/>
      </w:r>
      <w:r>
        <w:rPr>
          <w:rFonts w:hint="default" w:ascii="Times New Roman" w:hAnsi="Times New Roman" w:eastAsia="Times New Roman" w:cs="Times New Roman"/>
          <w:b w:val="0"/>
          <w:bCs w:val="0"/>
          <w:i w:val="0"/>
          <w:iCs w:val="0"/>
          <w:sz w:val="20"/>
          <w:szCs w:val="20"/>
          <w:lang w:val="fr-FR"/>
        </w:rPr>
        <w:t>(8)</w:t>
      </w:r>
      <w:r>
        <w:rPr>
          <w:rFonts w:hint="default" w:ascii="Times New Roman" w:hAnsi="Times New Roman" w:eastAsia="Times New Roman" w:cs="Times New Roman"/>
          <w:b w:val="0"/>
          <w:bCs w:val="0"/>
          <w:i w:val="0"/>
          <w:iCs w:val="0"/>
          <w:sz w:val="20"/>
          <w:szCs w:val="20"/>
          <w:lang w:val="fr-FR"/>
        </w:rPr>
        <w:fldChar w:fldCharType="end"/>
      </w:r>
      <w:r>
        <w:rPr>
          <w:rFonts w:hint="default" w:ascii="Times New Roman" w:hAnsi="Times New Roman" w:eastAsia="Times New Roman" w:cs="Times New Roman"/>
          <w:b w:val="0"/>
          <w:bCs w:val="0"/>
          <w:i w:val="0"/>
          <w:iCs w:val="0"/>
          <w:sz w:val="20"/>
          <w:szCs w:val="20"/>
          <w:lang w:val="fr-FR"/>
        </w:rPr>
        <w:t xml:space="preserve">. Le taux de mortalité moyen pour tous les patients souffrants de PPA est d’environ 5% </w:t>
      </w:r>
      <w:r>
        <w:rPr>
          <w:rFonts w:hint="default" w:ascii="Times New Roman" w:hAnsi="Times New Roman" w:eastAsia="Times New Roman" w:cs="Times New Roman"/>
          <w:b w:val="0"/>
          <w:bCs w:val="0"/>
          <w:i w:val="0"/>
          <w:iCs w:val="0"/>
          <w:sz w:val="20"/>
          <w:szCs w:val="20"/>
          <w:lang w:val="fr-FR"/>
        </w:rPr>
        <w:fldChar w:fldCharType="begin"/>
      </w:r>
      <w:r>
        <w:rPr>
          <w:rFonts w:hint="default" w:ascii="Times New Roman" w:hAnsi="Times New Roman" w:eastAsia="Times New Roman" w:cs="Times New Roman"/>
          <w:b w:val="0"/>
          <w:bCs w:val="0"/>
          <w:i w:val="0"/>
          <w:iCs w:val="0"/>
          <w:sz w:val="20"/>
          <w:szCs w:val="20"/>
          <w:lang w:val="fr-FR"/>
        </w:rPr>
        <w:instrText xml:space="preserve"> ADDIN ZOTERO_ITEM CSL_CITATION {"citationID":"Exn0PJHA","properties":{"formattedCitation":"(8)","plainCitation":"(8)","noteIndex":0},"citationItems":[{"id":485,"uris":["http://zotero.org/users/5416333/items/S4R2ARQS"],"uri":["http://zotero.org/users/5416333/items/S4R2ARQS"],"itemData":{"id":485,"type":"article-journal","title":"Trauma fatalities: time and location of hospital deaths","container-title":"Journal of the American College of Surgeons","page":"20-26","volume":"198","issue":"1","source":"PubMed","abstract":"BACKGROUND: Analysis of the epidemiology, temporal distribution, and place of traumatic hospital deaths can be a useful tool in identifying areas for research, education, and allocation of resources.\nSTUDY DESIGN: Trauma registry-based study of all traumatic hospital deaths at a Level I urban trauma center during the period 1993 to 2002. The time and hospital location where deaths occurred were analyzed according to mechanism of injury, age, Glasgow Coma Score, and body areas with severe injury (Abbreviated Injury Scale [AIS] &gt;/= 4). Logistic regression analysis was used to identify risk factors associated with death at various times after admission.\nRESULTS: During the study period there were 2,648 hospital trauma deaths. The most common body area with critical injuries (AIS &gt;/= 4) was the head (43%), followed by the chest (28%) and the abdomen (19%). Overall, 37% of victims had no vital signs present on admission. Chest AIS &gt;/= 4, penetrating trauma, and age greater than 60 years were significant risk factors associated with no vital signs on admission. Patients with severe chest trauma (AIS &gt;/= 4) reaching the hospital alive were significantly more likely to die within the first 60 minutes than were patients with severe abdominal or head injuries (17% versus 11% versus 7%). In patients reaching the hospital alive, the time and place of death varied according to mechanism of injury and injured body area. Deaths caused by severe head trauma peaked at 6 to 24 hours, and deaths caused by severe chest or abdominal trauma peaked at 1 to 6 hours after admission.\nCONCLUSIONS: The temporal distribution and location of trauma deaths are influenced by the mechanism of injury, age, and the injured body area. These findings may help in focusing research, education, and resource allocation in a more targeted manner to reduce trauma deaths.","DOI":"10.1016/j.jamcollsurg.2003.09.003","ISSN":"1072-7515","note":"PMID: 14698307","shortTitle":"Trauma fatalities","journalAbbreviation":"J. Am. Coll. Surg.","language":"eng","author":[{"family":"Demetriades","given":"Demetrios"},{"family":"Murray","given":"James"},{"family":"Charalambides","given":"Kiriakos"},{"family":"Alo","given":"Kathy"},{"family":"Velmahos","given":"George"},{"family":"Rhee","given":"Peter"},{"family":"Chan","given":"Linda"}],"issued":{"date-parts":[["2004",1]]}}}],"schema":"https://github.com/citation-style-language/schema/raw/master/csl-citation.json"} </w:instrText>
      </w:r>
      <w:r>
        <w:rPr>
          <w:rFonts w:hint="default" w:ascii="Times New Roman" w:hAnsi="Times New Roman" w:eastAsia="Times New Roman" w:cs="Times New Roman"/>
          <w:b w:val="0"/>
          <w:bCs w:val="0"/>
          <w:i w:val="0"/>
          <w:iCs w:val="0"/>
          <w:sz w:val="20"/>
          <w:szCs w:val="20"/>
          <w:lang w:val="fr-FR"/>
        </w:rPr>
        <w:fldChar w:fldCharType="separate"/>
      </w:r>
      <w:r>
        <w:rPr>
          <w:rFonts w:hint="default" w:ascii="Times New Roman" w:hAnsi="Times New Roman" w:eastAsia="Times New Roman" w:cs="Times New Roman"/>
          <w:b w:val="0"/>
          <w:bCs w:val="0"/>
          <w:i w:val="0"/>
          <w:iCs w:val="0"/>
          <w:sz w:val="20"/>
          <w:szCs w:val="20"/>
          <w:lang w:val="fr-FR"/>
        </w:rPr>
        <w:t>(8)</w:t>
      </w:r>
      <w:r>
        <w:rPr>
          <w:rFonts w:hint="default" w:ascii="Times New Roman" w:hAnsi="Times New Roman" w:eastAsia="Times New Roman" w:cs="Times New Roman"/>
          <w:b w:val="0"/>
          <w:bCs w:val="0"/>
          <w:i w:val="0"/>
          <w:iCs w:val="0"/>
          <w:sz w:val="20"/>
          <w:szCs w:val="20"/>
          <w:lang w:val="fr-FR"/>
        </w:rPr>
        <w:fldChar w:fldCharType="end"/>
      </w:r>
      <w:r>
        <w:rPr>
          <w:rFonts w:hint="default" w:ascii="Times New Roman" w:hAnsi="Times New Roman" w:eastAsia="Times New Roman" w:cs="Times New Roman"/>
          <w:b w:val="0"/>
          <w:bCs w:val="0"/>
          <w:i w:val="0"/>
          <w:iCs w:val="0"/>
          <w:sz w:val="20"/>
          <w:szCs w:val="20"/>
          <w:lang w:val="fr-FR"/>
        </w:rPr>
        <w:t xml:space="preserve"> avec un taux de survie globale de 86,8% après une laparatomie </w:t>
      </w:r>
      <w:r>
        <w:rPr>
          <w:rFonts w:hint="default" w:ascii="Times New Roman" w:hAnsi="Times New Roman" w:eastAsia="Times New Roman" w:cs="Times New Roman"/>
          <w:b w:val="0"/>
          <w:bCs w:val="0"/>
          <w:i w:val="0"/>
          <w:iCs w:val="0"/>
          <w:sz w:val="20"/>
          <w:szCs w:val="20"/>
          <w:lang w:val="fr-FR"/>
        </w:rPr>
        <w:fldChar w:fldCharType="begin"/>
      </w:r>
      <w:r>
        <w:rPr>
          <w:rFonts w:hint="default" w:ascii="Times New Roman" w:hAnsi="Times New Roman" w:eastAsia="Times New Roman" w:cs="Times New Roman"/>
          <w:b w:val="0"/>
          <w:bCs w:val="0"/>
          <w:i w:val="0"/>
          <w:iCs w:val="0"/>
          <w:sz w:val="20"/>
          <w:szCs w:val="20"/>
          <w:lang w:val="fr-FR"/>
        </w:rPr>
        <w:instrText xml:space="preserve"> ADDIN ZOTERO_ITEM CSL_CITATION {"citationID":"oCjtxTxc","properties":{"formattedCitation":"(9)","plainCitation":"(9)","noteIndex":0},"citationItems":[{"id":488,"uris":["http://zotero.org/users/5416333/items/XG8BXWSL"],"uri":["http://zotero.org/users/5416333/items/XG8BXWSL"],"itemData":{"id":488,"type":"article-journal","title":"Changing patterns in the management of penetrating abdominal trauma: the more things change, the more they stay the same","container-title":"The Journal of Trauma","page":"1095-1108; discussion 1108-1110","volume":"55","issue":"6","source":"PubMed","abstract":"BACKGROUND: Damage control surgery (DCS) and treatment of abdominal compartment syndrome have had major impacts on care of the severely injured. The objective of this study was to see whether advances in critical care, DCS, and recognition of abdominal compartment syndrome have improved survival from penetrating abdominal injury (PAI).\nMETHODS: The care of 250 consecutive patients requiring laparotomy for PAI (1997-2000) was reviewed retrospectively. Organ injury patterns, survival, and use of DCS and its impact on outcome were compared with a similar experience reported in 1988.\nRESULTS: Two hundred fifty patients had a positive laparotomy for PAI. Twenty-seven (10.8%) required abdominal packing and 45 (17.9%) did not have fascial closure. Seven (2.8%) required emergency department thoracotomy and 21 (8.4%) required operating room thoracotomy. Two hundred seventeen (86.8%) survived overall. Small bowel (47.2%), colon (36.4%), and liver (34.4%) were most often injured. Mortality was associated with the number of organs injured (odds ratio, 1.98; 95% confidence interval, 1.65-2.37; p &lt; 0.001). Vascular injury was a risk factor for mortality (p &lt; 0.001), as was need for DCS (p &lt; 0.001), emergency department thoracotomy (p &lt; 0.001), and operating room thoracotomy (p &lt; 0.001). Seventy-nine percent of deaths occurred within 24 hours from refractory hemorrhagic shock. DCS was used in 17.9% (n = 45) versus 7.0% (n = 21) in 1988, with a higher survival rate (73.3% vs. 23.8%, p &lt; 0.001). DCS was associated with significant morbidity including sepsis (42.4%, p &lt; 0.001), intra-abdominal abscess (18.2%, p = 0.009), and gastrointestinal fistula (18.2%, p &lt; 0.001).\nCONCLUSION: Penetrating abdominal organ injury patterns and survival from PAI have remained similar over the past decade. Death from refractory hemorrhagic shock in the first 24 hours remains the most common cause of mortality. DCS and the open abdomen are being used more frequently with improved survival but result in significant morbidity.","DOI":"10.1097/01.TA.0000101067.52018.42","ISSN":"0022-5282","note":"PMID: 14676657","shortTitle":"Changing patterns in the management of penetrating abdominal trauma","journalAbbreviation":"J Trauma","language":"eng","author":[{"family":"Nicholas","given":"Jeffrey M."},{"family":"Rix","given":"Emily Parker"},{"family":"Easley","given":"Kerr Anthony"},{"family":"Feliciano","given":"David V."},{"family":"Cava","given":"Raymond A."},{"family":"Ingram","given":"Walter L."},{"family":"Parry","given":"Neil G."},{"family":"Rozycki","given":"Grace S."},{"family":"Salomone","given":"Jeffrey P."},{"family":"Tremblay","given":"Lorraine N."}],"issued":{"date-parts":[["2003",12]]}}}],"schema":"https://github.com/citation-style-language/schema/raw/master/csl-citation.json"} </w:instrText>
      </w:r>
      <w:r>
        <w:rPr>
          <w:rFonts w:hint="default" w:ascii="Times New Roman" w:hAnsi="Times New Roman" w:eastAsia="Times New Roman" w:cs="Times New Roman"/>
          <w:b w:val="0"/>
          <w:bCs w:val="0"/>
          <w:i w:val="0"/>
          <w:iCs w:val="0"/>
          <w:sz w:val="20"/>
          <w:szCs w:val="20"/>
          <w:lang w:val="fr-FR"/>
        </w:rPr>
        <w:fldChar w:fldCharType="separate"/>
      </w:r>
      <w:r>
        <w:rPr>
          <w:rFonts w:hint="default" w:ascii="Times New Roman" w:hAnsi="Times New Roman" w:eastAsia="Times New Roman" w:cs="Times New Roman"/>
          <w:b w:val="0"/>
          <w:bCs w:val="0"/>
          <w:i w:val="0"/>
          <w:iCs w:val="0"/>
          <w:sz w:val="20"/>
          <w:szCs w:val="20"/>
          <w:lang w:val="fr-FR"/>
        </w:rPr>
        <w:t>(9)</w:t>
      </w:r>
      <w:r>
        <w:rPr>
          <w:rFonts w:hint="default" w:ascii="Times New Roman" w:hAnsi="Times New Roman" w:eastAsia="Times New Roman" w:cs="Times New Roman"/>
          <w:b w:val="0"/>
          <w:bCs w:val="0"/>
          <w:i w:val="0"/>
          <w:iCs w:val="0"/>
          <w:sz w:val="20"/>
          <w:szCs w:val="20"/>
          <w:lang w:val="fr-FR"/>
        </w:rPr>
        <w:fldChar w:fldCharType="end"/>
      </w:r>
      <w:r>
        <w:rPr>
          <w:rFonts w:hint="default" w:ascii="Times New Roman" w:hAnsi="Times New Roman" w:eastAsia="Times New Roman" w:cs="Times New Roman"/>
          <w:b w:val="0"/>
          <w:bCs w:val="0"/>
          <w:i w:val="0"/>
          <w:iCs w:val="0"/>
          <w:sz w:val="20"/>
          <w:szCs w:val="20"/>
          <w:lang w:val="fr-FR"/>
        </w:rPr>
        <w:t xml:space="preserve">. Au Cameroun Masso et al ont retrouvé un taux de morbi-mortalité à 11,36% </w:t>
      </w:r>
      <w:r>
        <w:rPr>
          <w:rFonts w:hint="default" w:ascii="Times New Roman" w:hAnsi="Times New Roman" w:eastAsia="Times New Roman" w:cs="Times New Roman"/>
          <w:b w:val="0"/>
          <w:bCs w:val="0"/>
          <w:i w:val="0"/>
          <w:iCs w:val="0"/>
          <w:sz w:val="20"/>
          <w:szCs w:val="20"/>
          <w:lang w:val="fr-FR"/>
        </w:rPr>
        <w:fldChar w:fldCharType="begin"/>
      </w:r>
      <w:r>
        <w:rPr>
          <w:rFonts w:hint="default" w:ascii="Times New Roman" w:hAnsi="Times New Roman" w:eastAsia="Times New Roman" w:cs="Times New Roman"/>
          <w:b w:val="0"/>
          <w:bCs w:val="0"/>
          <w:i w:val="0"/>
          <w:iCs w:val="0"/>
          <w:sz w:val="20"/>
          <w:szCs w:val="20"/>
          <w:lang w:val="fr-FR"/>
        </w:rPr>
        <w:instrText xml:space="preserve"> ADDIN ZOTERO_ITEM CSL_CITATION {"citationID":"KBhCHC2B","properties":{"formattedCitation":"(10)","plainCitation":"(10)","noteIndex":0},"citationItems":[{"id":492,"uris":["http://zotero.org/users/5416333/items/C7UBBP7N"],"uri":["http://zotero.org/users/5416333/items/C7UBBP7N"],"itemData":{"id":492,"type":"article-newspaper","title":"P. MASSO-MISSE, A. ESSOMBA, M.A. SOSSO. Plaies pénétrantes  asymptomatiques de l’abdomen par arme blanche : pour une exploration  sélective. Médecine d'Afrique Noire : 1996, 43 (2)"}}],"schema":"https://github.com/citation-style-language/schema/raw/master/csl-citation.json"} </w:instrText>
      </w:r>
      <w:r>
        <w:rPr>
          <w:rFonts w:hint="default" w:ascii="Times New Roman" w:hAnsi="Times New Roman" w:eastAsia="Times New Roman" w:cs="Times New Roman"/>
          <w:b w:val="0"/>
          <w:bCs w:val="0"/>
          <w:i w:val="0"/>
          <w:iCs w:val="0"/>
          <w:sz w:val="20"/>
          <w:szCs w:val="20"/>
          <w:lang w:val="fr-FR"/>
        </w:rPr>
        <w:fldChar w:fldCharType="separate"/>
      </w:r>
      <w:r>
        <w:rPr>
          <w:rFonts w:hint="default" w:ascii="Times New Roman" w:hAnsi="Times New Roman" w:eastAsia="Times New Roman" w:cs="Times New Roman"/>
          <w:b w:val="0"/>
          <w:bCs w:val="0"/>
          <w:i w:val="0"/>
          <w:iCs w:val="0"/>
          <w:sz w:val="20"/>
          <w:szCs w:val="20"/>
          <w:lang w:val="fr-FR"/>
        </w:rPr>
        <w:t>(10)</w:t>
      </w:r>
      <w:r>
        <w:rPr>
          <w:rFonts w:hint="default" w:ascii="Times New Roman" w:hAnsi="Times New Roman" w:eastAsia="Times New Roman" w:cs="Times New Roman"/>
          <w:b w:val="0"/>
          <w:bCs w:val="0"/>
          <w:i w:val="0"/>
          <w:iCs w:val="0"/>
          <w:sz w:val="20"/>
          <w:szCs w:val="20"/>
          <w:lang w:val="fr-FR"/>
        </w:rPr>
        <w:fldChar w:fldCharType="end"/>
      </w:r>
      <w:r>
        <w:rPr>
          <w:rFonts w:hint="default" w:ascii="Times New Roman" w:hAnsi="Times New Roman" w:eastAsia="Times New Roman" w:cs="Times New Roman"/>
          <w:b w:val="0"/>
          <w:bCs w:val="0"/>
          <w:i w:val="0"/>
          <w:iCs w:val="0"/>
          <w:sz w:val="20"/>
          <w:szCs w:val="20"/>
          <w:lang w:val="fr-FR"/>
        </w:rPr>
        <w:t>.</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 w:val="0"/>
          <w:bCs w:val="0"/>
          <w:i w:val="0"/>
          <w:iCs w:val="0"/>
          <w:sz w:val="20"/>
          <w:szCs w:val="20"/>
          <w:lang w:val="fr-FR"/>
        </w:rPr>
      </w:pPr>
      <w:r>
        <w:rPr>
          <w:rFonts w:hint="default" w:ascii="Times New Roman" w:hAnsi="Times New Roman" w:eastAsia="Times New Roman" w:cs="Times New Roman"/>
          <w:b w:val="0"/>
          <w:bCs w:val="0"/>
          <w:i w:val="0"/>
          <w:iCs w:val="0"/>
          <w:sz w:val="20"/>
          <w:szCs w:val="20"/>
          <w:lang w:val="fr-FR"/>
        </w:rPr>
        <w:t>L’objectif de notre étude était de déterminer le profil épidémiologique, clinique, radiographique, thérapeutique et pronostique des plaies pénétrantes de l’abdomen à l’hôpital Laquintinie de Douala.</w:t>
      </w:r>
    </w:p>
    <w:p>
      <w:pPr>
        <w:keepNext w:val="0"/>
        <w:keepLines w:val="0"/>
        <w:pageBreakBefore w:val="0"/>
        <w:widowControl/>
        <w:kinsoku/>
        <w:wordWrap/>
        <w:overflowPunct/>
        <w:topLinePunct w:val="0"/>
        <w:autoSpaceDE/>
        <w:autoSpaceDN/>
        <w:bidi w:val="0"/>
        <w:adjustRightInd/>
        <w:snapToGrid/>
        <w:spacing w:before="120" w:after="120" w:line="240" w:lineRule="auto"/>
        <w:jc w:val="both"/>
        <w:textAlignment w:val="auto"/>
        <w:rPr>
          <w:rFonts w:hint="default" w:ascii="Times New Roman" w:hAnsi="Times New Roman" w:eastAsia="Times New Roman" w:cs="Times New Roman"/>
          <w:color w:val="000000" w:themeColor="text1"/>
          <w:sz w:val="20"/>
          <w:szCs w:val="20"/>
          <w:lang w:eastAsia="fr-FR"/>
        </w:rPr>
      </w:pPr>
      <w:r>
        <w:rPr>
          <w:rFonts w:ascii="Times New Roman" w:hAnsi="Times New Roman"/>
          <w:b/>
          <w:sz w:val="20"/>
          <w:szCs w:val="20"/>
        </w:rPr>
        <w:t>P</w:t>
      </w:r>
      <w:r>
        <w:rPr>
          <w:rFonts w:hint="default" w:ascii="Times New Roman" w:hAnsi="Times New Roman"/>
          <w:b/>
          <w:sz w:val="20"/>
          <w:szCs w:val="20"/>
          <w:lang w:val="fr-FR"/>
        </w:rPr>
        <w:t>ATIENTS</w:t>
      </w:r>
      <w:r>
        <w:rPr>
          <w:rFonts w:ascii="Times New Roman" w:hAnsi="Times New Roman"/>
          <w:b/>
          <w:sz w:val="20"/>
          <w:szCs w:val="20"/>
        </w:rPr>
        <w:t xml:space="preserve"> ET MÉTHODES</w:t>
      </w:r>
    </w:p>
    <w:p>
      <w:pPr>
        <w:keepNext w:val="0"/>
        <w:keepLines w:val="0"/>
        <w:pageBreakBefore w:val="0"/>
        <w:widowControl/>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cs="Times New Roman"/>
          <w:b w:val="0"/>
          <w:bCs/>
          <w:sz w:val="20"/>
          <w:szCs w:val="20"/>
          <w:u w:val="none"/>
        </w:rPr>
      </w:pPr>
      <w:r>
        <w:rPr>
          <w:rFonts w:hint="default" w:ascii="Times New Roman" w:hAnsi="Times New Roman" w:cs="Times New Roman"/>
          <w:b w:val="0"/>
          <w:bCs/>
          <w:sz w:val="20"/>
          <w:szCs w:val="20"/>
          <w:u w:val="none"/>
        </w:rPr>
        <w:t xml:space="preserve">Nous avons conduit une étude descriptive et prospective. Elle à été réalisée a l’hôpital Laquintinie de Douala (HDL) pendant une </w:t>
      </w:r>
      <w:r>
        <w:rPr>
          <w:rFonts w:hint="default" w:ascii="Times New Roman" w:hAnsi="Times New Roman" w:cs="Times New Roman"/>
          <w:b w:val="0"/>
          <w:bCs/>
          <w:sz w:val="20"/>
          <w:szCs w:val="20"/>
          <w:u w:val="none"/>
          <w:lang w:val="zh-CN"/>
        </w:rPr>
        <w:t>p</w:t>
      </w:r>
      <w:r>
        <w:rPr>
          <w:rFonts w:hint="default" w:ascii="Times New Roman" w:hAnsi="Times New Roman" w:cs="Times New Roman"/>
          <w:b w:val="0"/>
          <w:bCs/>
          <w:sz w:val="20"/>
          <w:szCs w:val="20"/>
          <w:u w:val="none"/>
          <w:lang w:val="fr-FR"/>
        </w:rPr>
        <w:t>é</w:t>
      </w:r>
      <w:r>
        <w:rPr>
          <w:rFonts w:hint="default" w:ascii="Times New Roman" w:hAnsi="Times New Roman" w:cs="Times New Roman"/>
          <w:b w:val="0"/>
          <w:bCs/>
          <w:sz w:val="20"/>
          <w:szCs w:val="20"/>
          <w:u w:val="none"/>
          <w:lang w:val="zh-CN"/>
        </w:rPr>
        <w:t>riode</w:t>
      </w:r>
      <w:r>
        <w:rPr>
          <w:rFonts w:hint="default" w:ascii="Times New Roman" w:hAnsi="Times New Roman" w:cs="Times New Roman"/>
          <w:b w:val="0"/>
          <w:bCs/>
          <w:sz w:val="20"/>
          <w:szCs w:val="20"/>
          <w:u w:val="none"/>
        </w:rPr>
        <w:t xml:space="preserve"> de 5mois du 1er Décembre 2014 au 30 Avril 2015.</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val="0"/>
          <w:bCs/>
          <w:sz w:val="20"/>
          <w:szCs w:val="20"/>
          <w:u w:val="none"/>
        </w:rPr>
      </w:pPr>
      <w:r>
        <w:rPr>
          <w:rFonts w:hint="default" w:ascii="Times New Roman" w:hAnsi="Times New Roman" w:cs="Times New Roman"/>
          <w:b w:val="0"/>
          <w:bCs/>
          <w:sz w:val="20"/>
          <w:szCs w:val="20"/>
          <w:u w:val="none"/>
        </w:rPr>
        <w:t>La population d’étude était constituée de patients diagnostiqués d’une plaie pénétrante de l’abdomen. L’échantillonnage était consécutif et était défini par le nombre de patients répondant aux critères d’inclusion sans distinction de race, d’ethnie  ou de sexe. Etaient inclus dans l’étude tout patient consentant ayant une PPA pendant la période d’étude. Etaient exclus tout les patients dont les informations n’étaient pas complètes ou tout patient ayant refusé de participer à l’étude.</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val="0"/>
          <w:bCs/>
          <w:sz w:val="20"/>
          <w:szCs w:val="20"/>
          <w:u w:val="none"/>
        </w:rPr>
      </w:pPr>
      <w:r>
        <w:rPr>
          <w:rFonts w:hint="default" w:ascii="Times New Roman" w:hAnsi="Times New Roman" w:cs="Times New Roman"/>
          <w:b w:val="0"/>
          <w:bCs/>
          <w:sz w:val="20"/>
          <w:szCs w:val="20"/>
          <w:u w:val="none"/>
        </w:rPr>
        <w:t>La collecte des données reposait sur les dossiers hospitaliers, les comptes rendus opératoires et les patients dont les dossiers étaient incomplets.</w:t>
      </w:r>
      <w:r>
        <w:rPr>
          <w:rFonts w:hint="default" w:ascii="Times New Roman" w:hAnsi="Times New Roman" w:cs="Times New Roman"/>
          <w:b w:val="0"/>
          <w:bCs/>
          <w:sz w:val="20"/>
          <w:szCs w:val="20"/>
          <w:u w:val="none"/>
          <w:lang w:val="fr-FR"/>
        </w:rPr>
        <w:t xml:space="preserve"> </w:t>
      </w:r>
      <w:r>
        <w:rPr>
          <w:rFonts w:hint="default" w:ascii="Times New Roman" w:hAnsi="Times New Roman" w:cs="Times New Roman"/>
          <w:b w:val="0"/>
          <w:bCs/>
          <w:sz w:val="20"/>
          <w:szCs w:val="20"/>
          <w:u w:val="none"/>
        </w:rPr>
        <w:t xml:space="preserve">Nous avons utilisé une fiche technique pré-testée pour </w:t>
      </w:r>
      <w:r>
        <w:rPr>
          <w:rFonts w:hint="default" w:ascii="Times New Roman" w:hAnsi="Times New Roman" w:cs="Times New Roman"/>
          <w:b w:val="0"/>
          <w:bCs/>
          <w:sz w:val="20"/>
          <w:szCs w:val="20"/>
          <w:u w:val="none"/>
          <w:lang w:val="fr-FR"/>
        </w:rPr>
        <w:t xml:space="preserve">la </w:t>
      </w:r>
      <w:r>
        <w:rPr>
          <w:rFonts w:hint="default" w:ascii="Times New Roman" w:hAnsi="Times New Roman" w:cs="Times New Roman"/>
          <w:b w:val="0"/>
          <w:bCs/>
          <w:sz w:val="20"/>
          <w:szCs w:val="20"/>
          <w:u w:val="none"/>
        </w:rPr>
        <w:t>collecte des données sociodémographiques, cliniques, radiologiques et thérapeutiques.</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val="0"/>
          <w:bCs/>
          <w:sz w:val="20"/>
          <w:szCs w:val="20"/>
          <w:u w:val="none"/>
        </w:rPr>
      </w:pPr>
      <w:r>
        <w:rPr>
          <w:rFonts w:hint="default" w:ascii="Times New Roman" w:hAnsi="Times New Roman" w:cs="Times New Roman"/>
          <w:b w:val="0"/>
          <w:bCs/>
          <w:sz w:val="20"/>
          <w:szCs w:val="20"/>
          <w:u w:val="none"/>
        </w:rPr>
        <w:t>Les données ont été enregistrées et analysées à l'aide de méthodes statistiques descriptives et analytiques à l'aide du logiciel Epi info 3.5.3 version 2010. Les variables quantitatives ont été exprimées en moyenne avec leur écart type. Les variables qualitatives ont été exprimées en pourcentage.</w:t>
      </w:r>
    </w:p>
    <w:p>
      <w:pPr>
        <w:keepNext w:val="0"/>
        <w:keepLines w:val="0"/>
        <w:pageBreakBefore w:val="0"/>
        <w:widowControl/>
        <w:kinsoku/>
        <w:wordWrap/>
        <w:overflowPunct/>
        <w:topLinePunct w:val="0"/>
        <w:autoSpaceDE/>
        <w:autoSpaceDN/>
        <w:bidi w:val="0"/>
        <w:adjustRightInd/>
        <w:snapToGrid/>
        <w:spacing w:after="120" w:line="240" w:lineRule="auto"/>
        <w:jc w:val="both"/>
        <w:textAlignment w:val="auto"/>
        <w:rPr>
          <w:rFonts w:hint="default" w:ascii="Times New Roman" w:hAnsi="Times New Roman" w:cs="Times New Roman"/>
          <w:b w:val="0"/>
          <w:bCs/>
          <w:sz w:val="20"/>
          <w:szCs w:val="20"/>
          <w:u w:val="none"/>
        </w:rPr>
      </w:pPr>
      <w:r>
        <w:rPr>
          <w:rFonts w:hint="default" w:ascii="Times New Roman" w:hAnsi="Times New Roman" w:cs="Times New Roman"/>
          <w:b w:val="0"/>
          <w:bCs/>
          <w:sz w:val="20"/>
          <w:szCs w:val="20"/>
          <w:u w:val="none"/>
        </w:rPr>
        <w:t>Nous avons soumis le projet de recherche pour approbation au comité d'éthique de la faculté de m</w:t>
      </w:r>
      <w:r>
        <w:rPr>
          <w:rFonts w:hint="default" w:ascii="Times New Roman" w:hAnsi="Times New Roman" w:cs="Times New Roman"/>
          <w:b w:val="0"/>
          <w:bCs/>
          <w:sz w:val="20"/>
          <w:szCs w:val="20"/>
          <w:u w:val="none"/>
          <w:lang w:val="fr-FR"/>
        </w:rPr>
        <w:t>é</w:t>
      </w:r>
      <w:r>
        <w:rPr>
          <w:rFonts w:hint="default" w:ascii="Times New Roman" w:hAnsi="Times New Roman" w:cs="Times New Roman"/>
          <w:b w:val="0"/>
          <w:bCs/>
          <w:sz w:val="20"/>
          <w:szCs w:val="20"/>
          <w:u w:val="none"/>
        </w:rPr>
        <w:t>decine et des sciences biomédicales (FMSB) de l’université de Yaoundé I (UYI). Par la suite, nous avons obtenu les autorisations de recherche des autorités administratives de HDL. Les données collectées ont été codifiées et stockées dans le strict respect de la vie privée des patients.</w:t>
      </w:r>
    </w:p>
    <w:p>
      <w:pPr>
        <w:keepNext w:val="0"/>
        <w:keepLines w:val="0"/>
        <w:pageBreakBefore w:val="0"/>
        <w:widowControl/>
        <w:kinsoku/>
        <w:wordWrap/>
        <w:overflowPunct/>
        <w:topLinePunct w:val="0"/>
        <w:autoSpaceDE/>
        <w:autoSpaceDN/>
        <w:bidi w:val="0"/>
        <w:adjustRightInd/>
        <w:snapToGrid/>
        <w:spacing w:before="120" w:after="120" w:line="240" w:lineRule="auto"/>
        <w:jc w:val="both"/>
        <w:textAlignment w:val="auto"/>
        <w:rPr>
          <w:rFonts w:hint="default" w:ascii="Times New Roman" w:hAnsi="Times New Roman" w:cs="Times New Roman"/>
          <w:b/>
          <w:sz w:val="20"/>
          <w:szCs w:val="20"/>
          <w:u w:val="none"/>
        </w:rPr>
      </w:pPr>
      <w:r>
        <w:rPr>
          <w:rFonts w:hint="default" w:ascii="Times New Roman" w:hAnsi="Times New Roman" w:cs="Times New Roman"/>
          <w:b/>
          <w:sz w:val="20"/>
          <w:szCs w:val="20"/>
          <w:u w:val="none"/>
        </w:rPr>
        <w:t>RÉSULTATS</w:t>
      </w: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r>
        <w:rPr>
          <w:rFonts w:hint="default" w:ascii="Times New Roman" w:hAnsi="Times New Roman" w:cs="Times New Roman"/>
          <w:sz w:val="20"/>
        </w:rPr>
        <w:t>Durant la période d’étude 37 patients ont été inclus. Ils présentaient tous une PPA et ont été pris en charge. Une moyenne mensuelle de 7,4 PPA a été obtenue. Deux (2) pics</w:t>
      </w:r>
      <w:r>
        <w:rPr>
          <w:rFonts w:hint="default" w:ascii="Times New Roman" w:hAnsi="Times New Roman" w:cs="Times New Roman"/>
          <w:sz w:val="20"/>
          <w:lang w:val="fr-FR"/>
        </w:rPr>
        <w:t>,</w:t>
      </w:r>
      <w:r>
        <w:rPr>
          <w:rFonts w:hint="default" w:ascii="Times New Roman" w:hAnsi="Times New Roman" w:cs="Times New Roman"/>
          <w:sz w:val="20"/>
        </w:rPr>
        <w:t xml:space="preserve"> en décembre et en février soit respectivement 12 (32,4%) et10 (27%) des </w:t>
      </w:r>
      <w:r>
        <w:rPr>
          <w:rFonts w:hint="default" w:ascii="Times New Roman" w:hAnsi="Times New Roman" w:cs="Times New Roman"/>
          <w:sz w:val="20"/>
          <w:lang w:val="fr-FR"/>
        </w:rPr>
        <w:t xml:space="preserve">cas de </w:t>
      </w:r>
      <w:r>
        <w:rPr>
          <w:rFonts w:hint="default" w:ascii="Times New Roman" w:hAnsi="Times New Roman" w:cs="Times New Roman"/>
          <w:sz w:val="20"/>
        </w:rPr>
        <w:t>PPA.</w:t>
      </w: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r>
        <w:rPr>
          <w:rFonts w:hint="default" w:ascii="Times New Roman" w:hAnsi="Times New Roman" w:cs="Times New Roman"/>
          <w:sz w:val="20"/>
        </w:rPr>
        <w:t>Pendant cette période d’étude</w:t>
      </w:r>
      <w:r>
        <w:rPr>
          <w:rFonts w:hint="default" w:ascii="Times New Roman" w:hAnsi="Times New Roman" w:cs="Times New Roman"/>
          <w:sz w:val="20"/>
          <w:lang w:val="fr-FR"/>
        </w:rPr>
        <w:t xml:space="preserve">, </w:t>
      </w:r>
      <w:r>
        <w:rPr>
          <w:rFonts w:hint="default" w:ascii="Times New Roman" w:hAnsi="Times New Roman" w:cs="Times New Roman"/>
          <w:sz w:val="20"/>
        </w:rPr>
        <w:t>26 blessés (70,3%) ont été vus moins de 6 heures après le traumatisme abdominal.</w:t>
      </w: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r>
        <w:rPr>
          <w:rFonts w:hint="default" w:ascii="Times New Roman" w:hAnsi="Times New Roman" w:cs="Times New Roman"/>
          <w:sz w:val="20"/>
        </w:rPr>
        <w:t>L’âge moyen de nos patients était de 27 ans avec des extrêmes de 2 et 68 ans. La classe d’âge la plus représentative était de 20 à 29 ans et représentait 37,8% de notre population d’étude.</w:t>
      </w: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r>
        <w:rPr>
          <w:rFonts w:hint="default" w:ascii="Times New Roman" w:hAnsi="Times New Roman" w:cs="Times New Roman"/>
          <w:sz w:val="20"/>
        </w:rPr>
        <w:t>Le sex ratio était de 8,25 (33/4) (Tableau I).</w:t>
      </w: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r>
        <w:rPr>
          <w:sz w:val="20"/>
        </w:rPr>
        <w:pict>
          <v:shape id="_x0000_s1033" o:spid="_x0000_s1033" o:spt="202" type="#_x0000_t202" style="position:absolute;left:0pt;margin-left:0.65pt;margin-top:7.55pt;height:319.45pt;width:255pt;z-index:251661312;mso-width-relative:page;mso-height-relative:page;" fillcolor="#FFFFFF" filled="t" stroked="f" coordsize="21600,21600">
            <v:path/>
            <v:fill on="t" color2="#FFFFFF" focussize="0,0"/>
            <v:stroke on="f"/>
            <v:imagedata o:title=""/>
            <o:lock v:ext="edit" aspectratio="f"/>
            <v:textbox>
              <w:txbxContent>
                <w:tbl>
                  <w:tblPr>
                    <w:tblStyle w:val="16"/>
                    <w:tblW w:w="4780" w:type="dxa"/>
                    <w:tblInd w:w="0" w:type="dxa"/>
                    <w:tblBorders>
                      <w:top w:val="single" w:color="92CDDC" w:sz="8" w:space="0"/>
                      <w:left w:val="none" w:color="auto" w:sz="0" w:space="0"/>
                      <w:bottom w:val="single" w:color="92CDDC"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75"/>
                    <w:gridCol w:w="1933"/>
                    <w:gridCol w:w="967"/>
                    <w:gridCol w:w="805"/>
                  </w:tblGrid>
                  <w:tr>
                    <w:tblPrEx>
                      <w:tblBorders>
                        <w:top w:val="single" w:color="92CDDC" w:sz="8" w:space="0"/>
                        <w:left w:val="none" w:color="auto" w:sz="0" w:space="0"/>
                        <w:bottom w:val="single" w:color="92CDDC"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1" w:hRule="atLeast"/>
                    </w:trPr>
                    <w:tc>
                      <w:tcPr>
                        <w:tcW w:w="4780" w:type="dxa"/>
                        <w:gridSpan w:val="4"/>
                        <w:shd w:val="clear" w:color="auto" w:fill="DBE5F1"/>
                      </w:tcPr>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color w:val="000000"/>
                            <w:sz w:val="18"/>
                            <w:szCs w:val="18"/>
                          </w:rPr>
                        </w:pPr>
                        <w:r>
                          <w:rPr>
                            <w:rFonts w:hint="default" w:ascii="Times New Roman" w:hAnsi="Times New Roman" w:cs="Times New Roman"/>
                            <w:b/>
                            <w:bCs/>
                            <w:color w:val="000000"/>
                            <w:sz w:val="18"/>
                            <w:szCs w:val="18"/>
                            <w:u w:val="none"/>
                          </w:rPr>
                          <w:t>Tableau I:</w:t>
                        </w:r>
                        <w:r>
                          <w:rPr>
                            <w:rFonts w:hint="default" w:ascii="Times New Roman" w:hAnsi="Times New Roman" w:cs="Times New Roman"/>
                            <w:b/>
                            <w:bCs/>
                            <w:color w:val="000000"/>
                            <w:sz w:val="18"/>
                            <w:szCs w:val="18"/>
                            <w:u w:val="none"/>
                            <w:lang w:val="fr-FR"/>
                          </w:rPr>
                          <w:t xml:space="preserve"> </w:t>
                        </w:r>
                        <w:r>
                          <w:rPr>
                            <w:rFonts w:hint="default" w:ascii="Times New Roman" w:hAnsi="Times New Roman" w:cs="Times New Roman"/>
                            <w:b/>
                            <w:bCs/>
                            <w:color w:val="000000"/>
                            <w:sz w:val="18"/>
                            <w:szCs w:val="18"/>
                            <w:lang w:val="fr-FR"/>
                          </w:rPr>
                          <w:t>Caractéristiques</w:t>
                        </w:r>
                        <w:r>
                          <w:rPr>
                            <w:rFonts w:hint="default" w:ascii="Times New Roman" w:hAnsi="Times New Roman" w:cs="Times New Roman"/>
                            <w:b/>
                            <w:bCs/>
                            <w:color w:val="000000"/>
                            <w:sz w:val="18"/>
                            <w:szCs w:val="18"/>
                          </w:rPr>
                          <w:t xml:space="preserve"> socio-démographiques</w:t>
                        </w:r>
                      </w:p>
                    </w:tc>
                  </w:tr>
                  <w:tr>
                    <w:tblPrEx>
                      <w:tblBorders>
                        <w:top w:val="single" w:color="92CDDC" w:sz="8" w:space="0"/>
                        <w:left w:val="none" w:color="auto" w:sz="0" w:space="0"/>
                        <w:bottom w:val="single" w:color="92CDDC"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9" w:hRule="atLeast"/>
                    </w:trPr>
                    <w:tc>
                      <w:tcPr>
                        <w:tcW w:w="1075" w:type="dxa"/>
                        <w:shd w:val="clear" w:color="auto" w:fill="FFFFFF"/>
                      </w:tcPr>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Variables</w:t>
                        </w:r>
                      </w:p>
                    </w:tc>
                    <w:tc>
                      <w:tcPr>
                        <w:tcW w:w="1933" w:type="dxa"/>
                        <w:shd w:val="clear" w:color="auto" w:fill="FFFFFF"/>
                      </w:tcPr>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b/>
                            <w:bCs/>
                            <w:color w:val="000000"/>
                            <w:sz w:val="18"/>
                            <w:szCs w:val="18"/>
                          </w:rPr>
                        </w:pPr>
                      </w:p>
                    </w:tc>
                    <w:tc>
                      <w:tcPr>
                        <w:tcW w:w="967" w:type="dxa"/>
                        <w:shd w:val="clear" w:color="auto" w:fill="FFFFFF"/>
                      </w:tcPr>
                      <w:p>
                        <w:pPr>
                          <w:keepNext w:val="0"/>
                          <w:keepLines w:val="0"/>
                          <w:pageBreakBefore w:val="0"/>
                          <w:widowControl/>
                          <w:kinsoku/>
                          <w:wordWrap/>
                          <w:overflowPunct/>
                          <w:topLinePunct w:val="0"/>
                          <w:bidi w:val="0"/>
                          <w:snapToGrid/>
                          <w:spacing w:after="0" w:line="240" w:lineRule="auto"/>
                          <w:jc w:val="center"/>
                          <w:textAlignment w:val="auto"/>
                          <w:rPr>
                            <w:rFonts w:hint="default" w:ascii="Times New Roman" w:hAnsi="Times New Roman" w:cs="Times New Roman"/>
                            <w:b/>
                            <w:bCs/>
                            <w:color w:val="000000"/>
                            <w:sz w:val="18"/>
                            <w:szCs w:val="18"/>
                            <w:lang w:val="fr-FR"/>
                          </w:rPr>
                        </w:pPr>
                        <w:r>
                          <w:rPr>
                            <w:rFonts w:hint="default" w:ascii="Times New Roman" w:hAnsi="Times New Roman" w:cs="Times New Roman"/>
                            <w:b/>
                            <w:bCs/>
                            <w:color w:val="000000"/>
                            <w:sz w:val="18"/>
                            <w:szCs w:val="18"/>
                            <w:lang w:val="fr-FR"/>
                          </w:rPr>
                          <w:t>n</w:t>
                        </w:r>
                      </w:p>
                    </w:tc>
                    <w:tc>
                      <w:tcPr>
                        <w:tcW w:w="805" w:type="dxa"/>
                        <w:shd w:val="clear" w:color="auto" w:fill="FFFFFF"/>
                      </w:tcPr>
                      <w:p>
                        <w:pPr>
                          <w:keepNext w:val="0"/>
                          <w:keepLines w:val="0"/>
                          <w:pageBreakBefore w:val="0"/>
                          <w:widowControl/>
                          <w:kinsoku/>
                          <w:wordWrap/>
                          <w:overflowPunct/>
                          <w:topLinePunct w:val="0"/>
                          <w:bidi w:val="0"/>
                          <w:snapToGrid/>
                          <w:spacing w:after="0" w:line="240" w:lineRule="auto"/>
                          <w:jc w:val="center"/>
                          <w:textAlignment w:val="auto"/>
                          <w:rPr>
                            <w:rFonts w:hint="default" w:ascii="Times New Roman" w:hAnsi="Times New Roman" w:cs="Times New Roman"/>
                            <w:b/>
                            <w:bCs/>
                            <w:color w:val="000000"/>
                            <w:sz w:val="18"/>
                            <w:szCs w:val="18"/>
                            <w:lang w:val="fr-FR"/>
                          </w:rPr>
                        </w:pPr>
                        <w:r>
                          <w:rPr>
                            <w:rFonts w:hint="default" w:ascii="Times New Roman" w:hAnsi="Times New Roman" w:cs="Times New Roman"/>
                            <w:b/>
                            <w:bCs/>
                            <w:color w:val="000000"/>
                            <w:sz w:val="18"/>
                            <w:szCs w:val="18"/>
                            <w:lang w:val="fr-FR"/>
                          </w:rPr>
                          <w:t>%</w:t>
                        </w:r>
                      </w:p>
                    </w:tc>
                  </w:tr>
                  <w:tr>
                    <w:tblPrEx>
                      <w:tblBorders>
                        <w:top w:val="single" w:color="92CDDC" w:sz="8" w:space="0"/>
                        <w:left w:val="none" w:color="auto" w:sz="0" w:space="0"/>
                        <w:bottom w:val="single" w:color="92CDDC"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9" w:hRule="atLeast"/>
                    </w:trPr>
                    <w:tc>
                      <w:tcPr>
                        <w:tcW w:w="4780" w:type="dxa"/>
                        <w:gridSpan w:val="4"/>
                        <w:shd w:val="clear" w:color="auto" w:fill="DBE5F1"/>
                      </w:tcPr>
                      <w:p>
                        <w:pPr>
                          <w:keepNext w:val="0"/>
                          <w:keepLines w:val="0"/>
                          <w:pageBreakBefore w:val="0"/>
                          <w:widowControl/>
                          <w:kinsoku/>
                          <w:wordWrap/>
                          <w:overflowPunct/>
                          <w:topLinePunct w:val="0"/>
                          <w:bidi w:val="0"/>
                          <w:snapToGrid/>
                          <w:spacing w:after="0" w:line="240" w:lineRule="auto"/>
                          <w:jc w:val="left"/>
                          <w:textAlignment w:val="auto"/>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Sexe</w:t>
                        </w:r>
                      </w:p>
                    </w:tc>
                  </w:tr>
                  <w:tr>
                    <w:tblPrEx>
                      <w:tblBorders>
                        <w:top w:val="single" w:color="92CDDC" w:sz="8" w:space="0"/>
                        <w:left w:val="none" w:color="auto" w:sz="0" w:space="0"/>
                        <w:bottom w:val="single" w:color="92CDDC"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9" w:hRule="atLeast"/>
                    </w:trPr>
                    <w:tc>
                      <w:tcPr>
                        <w:tcW w:w="1075" w:type="dxa"/>
                        <w:shd w:val="clear" w:color="auto" w:fill="FFFFFF"/>
                      </w:tcPr>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b/>
                            <w:bCs/>
                            <w:color w:val="000000"/>
                            <w:sz w:val="18"/>
                            <w:szCs w:val="18"/>
                          </w:rPr>
                        </w:pPr>
                      </w:p>
                    </w:tc>
                    <w:tc>
                      <w:tcPr>
                        <w:tcW w:w="1933" w:type="dxa"/>
                        <w:shd w:val="clear" w:color="auto" w:fill="FFFFFF"/>
                        <w:vAlign w:val="top"/>
                      </w:tcPr>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M</w:t>
                        </w:r>
                        <w:r>
                          <w:rPr>
                            <w:rFonts w:hint="default" w:ascii="Times New Roman" w:hAnsi="Times New Roman" w:cs="Times New Roman"/>
                            <w:b/>
                            <w:bCs/>
                            <w:color w:val="000000"/>
                            <w:sz w:val="18"/>
                            <w:szCs w:val="18"/>
                            <w:lang w:val="fr-FR"/>
                          </w:rPr>
                          <w:t>asculin</w:t>
                        </w:r>
                      </w:p>
                    </w:tc>
                    <w:tc>
                      <w:tcPr>
                        <w:tcW w:w="967" w:type="dxa"/>
                        <w:shd w:val="clear" w:color="auto" w:fill="FFFFFF"/>
                        <w:vAlign w:val="top"/>
                      </w:tcPr>
                      <w:p>
                        <w:pPr>
                          <w:spacing w:after="0" w:line="240" w:lineRule="auto"/>
                          <w:jc w:val="center"/>
                          <w:rPr>
                            <w:rFonts w:hint="default" w:ascii="Times New Roman" w:hAnsi="Times New Roman" w:cs="Times New Roman"/>
                            <w:color w:val="000000"/>
                            <w:sz w:val="18"/>
                            <w:szCs w:val="18"/>
                          </w:rPr>
                        </w:pPr>
                        <w:r>
                          <w:rPr>
                            <w:rFonts w:ascii="Times New Roman" w:hAnsi="Times New Roman" w:cs="Times New Roman"/>
                            <w:color w:val="000000" w:themeColor="text1" w:themeShade="BF"/>
                            <w:sz w:val="18"/>
                            <w:szCs w:val="18"/>
                            <w:lang w:val="en-US"/>
                          </w:rPr>
                          <w:t>33</w:t>
                        </w:r>
                      </w:p>
                    </w:tc>
                    <w:tc>
                      <w:tcPr>
                        <w:tcW w:w="805" w:type="dxa"/>
                        <w:shd w:val="clear" w:color="auto" w:fill="FFFFFF"/>
                        <w:vAlign w:val="top"/>
                      </w:tcPr>
                      <w:p>
                        <w:pPr>
                          <w:spacing w:after="0" w:line="240" w:lineRule="auto"/>
                          <w:jc w:val="center"/>
                          <w:rPr>
                            <w:rFonts w:hint="default" w:ascii="Times New Roman" w:hAnsi="Times New Roman" w:cs="Times New Roman"/>
                            <w:color w:val="000000"/>
                            <w:sz w:val="18"/>
                            <w:szCs w:val="18"/>
                          </w:rPr>
                        </w:pPr>
                        <w:r>
                          <w:rPr>
                            <w:rFonts w:ascii="Times New Roman" w:hAnsi="Times New Roman" w:cs="Times New Roman"/>
                            <w:color w:val="000000" w:themeColor="text1" w:themeShade="BF"/>
                            <w:sz w:val="18"/>
                            <w:szCs w:val="18"/>
                            <w:lang w:val="en-US"/>
                          </w:rPr>
                          <w:t>89.2</w:t>
                        </w:r>
                      </w:p>
                    </w:tc>
                  </w:tr>
                  <w:tr>
                    <w:tblPrEx>
                      <w:tblBorders>
                        <w:top w:val="single" w:color="92CDDC" w:sz="8" w:space="0"/>
                        <w:left w:val="none" w:color="auto" w:sz="0" w:space="0"/>
                        <w:bottom w:val="single" w:color="92CDDC"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1" w:hRule="atLeast"/>
                    </w:trPr>
                    <w:tc>
                      <w:tcPr>
                        <w:tcW w:w="1075" w:type="dxa"/>
                        <w:shd w:val="clear" w:color="auto" w:fill="DBE5F1"/>
                      </w:tcPr>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b/>
                            <w:bCs/>
                            <w:color w:val="000000"/>
                            <w:sz w:val="18"/>
                            <w:szCs w:val="18"/>
                          </w:rPr>
                        </w:pPr>
                      </w:p>
                    </w:tc>
                    <w:tc>
                      <w:tcPr>
                        <w:tcW w:w="1933" w:type="dxa"/>
                        <w:shd w:val="clear" w:color="auto" w:fill="DBE5F1"/>
                      </w:tcPr>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b/>
                            <w:bCs/>
                            <w:color w:val="000000"/>
                            <w:sz w:val="18"/>
                            <w:szCs w:val="18"/>
                            <w:lang w:val="fr-FR"/>
                          </w:rPr>
                        </w:pPr>
                        <w:r>
                          <w:rPr>
                            <w:rFonts w:hint="default" w:ascii="Times New Roman" w:hAnsi="Times New Roman" w:cs="Times New Roman"/>
                            <w:b/>
                            <w:bCs/>
                            <w:color w:val="000000"/>
                            <w:sz w:val="18"/>
                            <w:szCs w:val="18"/>
                          </w:rPr>
                          <w:t>F</w:t>
                        </w:r>
                        <w:r>
                          <w:rPr>
                            <w:rFonts w:hint="default" w:ascii="Times New Roman" w:hAnsi="Times New Roman" w:cs="Times New Roman"/>
                            <w:b/>
                            <w:bCs/>
                            <w:color w:val="000000"/>
                            <w:sz w:val="18"/>
                            <w:szCs w:val="18"/>
                            <w:lang w:val="fr-FR"/>
                          </w:rPr>
                          <w:t>éminin</w:t>
                        </w:r>
                      </w:p>
                    </w:tc>
                    <w:tc>
                      <w:tcPr>
                        <w:tcW w:w="967" w:type="dxa"/>
                        <w:shd w:val="clear" w:color="auto" w:fill="DBE5F1"/>
                        <w:vAlign w:val="top"/>
                      </w:tcPr>
                      <w:p>
                        <w:pPr>
                          <w:spacing w:after="0" w:line="240" w:lineRule="auto"/>
                          <w:jc w:val="center"/>
                          <w:rPr>
                            <w:rFonts w:hint="default" w:ascii="Times New Roman" w:hAnsi="Times New Roman" w:cs="Times New Roman"/>
                            <w:color w:val="000000"/>
                            <w:sz w:val="18"/>
                            <w:szCs w:val="18"/>
                          </w:rPr>
                        </w:pPr>
                        <w:r>
                          <w:rPr>
                            <w:rFonts w:ascii="Times New Roman" w:hAnsi="Times New Roman" w:cs="Times New Roman"/>
                            <w:color w:val="000000" w:themeColor="text1" w:themeShade="BF"/>
                            <w:sz w:val="18"/>
                            <w:szCs w:val="18"/>
                            <w:lang w:val="en-US"/>
                          </w:rPr>
                          <w:t>04</w:t>
                        </w:r>
                      </w:p>
                    </w:tc>
                    <w:tc>
                      <w:tcPr>
                        <w:tcW w:w="805" w:type="dxa"/>
                        <w:shd w:val="clear" w:color="auto" w:fill="DBE5F1"/>
                        <w:vAlign w:val="top"/>
                      </w:tcPr>
                      <w:p>
                        <w:pPr>
                          <w:spacing w:after="0" w:line="240" w:lineRule="auto"/>
                          <w:jc w:val="center"/>
                          <w:rPr>
                            <w:rFonts w:hint="default" w:ascii="Times New Roman" w:hAnsi="Times New Roman" w:cs="Times New Roman"/>
                            <w:color w:val="000000"/>
                            <w:sz w:val="18"/>
                            <w:szCs w:val="18"/>
                          </w:rPr>
                        </w:pPr>
                        <w:r>
                          <w:rPr>
                            <w:rFonts w:ascii="Times New Roman" w:hAnsi="Times New Roman" w:cs="Times New Roman"/>
                            <w:color w:val="000000" w:themeColor="text1" w:themeShade="BF"/>
                            <w:sz w:val="18"/>
                            <w:szCs w:val="18"/>
                            <w:lang w:val="en-US"/>
                          </w:rPr>
                          <w:t>10.8</w:t>
                        </w:r>
                      </w:p>
                    </w:tc>
                  </w:tr>
                  <w:tr>
                    <w:tblPrEx>
                      <w:tblBorders>
                        <w:top w:val="single" w:color="92CDDC" w:sz="8" w:space="0"/>
                        <w:left w:val="none" w:color="auto" w:sz="0" w:space="0"/>
                        <w:bottom w:val="single" w:color="92CDDC"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1" w:hRule="atLeast"/>
                    </w:trPr>
                    <w:tc>
                      <w:tcPr>
                        <w:tcW w:w="4780" w:type="dxa"/>
                        <w:gridSpan w:val="4"/>
                        <w:shd w:val="clear" w:color="auto" w:fill="FFFFFF"/>
                      </w:tcPr>
                      <w:p>
                        <w:pPr>
                          <w:keepNext w:val="0"/>
                          <w:keepLines w:val="0"/>
                          <w:pageBreakBefore w:val="0"/>
                          <w:widowControl/>
                          <w:kinsoku/>
                          <w:wordWrap/>
                          <w:overflowPunct/>
                          <w:topLinePunct w:val="0"/>
                          <w:bidi w:val="0"/>
                          <w:snapToGrid/>
                          <w:spacing w:after="0" w:line="240" w:lineRule="auto"/>
                          <w:jc w:val="left"/>
                          <w:textAlignment w:val="auto"/>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Tranche d’âge (ans)</w:t>
                        </w:r>
                      </w:p>
                    </w:tc>
                  </w:tr>
                  <w:tr>
                    <w:tblPrEx>
                      <w:tblBorders>
                        <w:top w:val="single" w:color="92CDDC" w:sz="8" w:space="0"/>
                        <w:left w:val="none" w:color="auto" w:sz="0" w:space="0"/>
                        <w:bottom w:val="single" w:color="92CDDC"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1" w:hRule="atLeast"/>
                    </w:trPr>
                    <w:tc>
                      <w:tcPr>
                        <w:tcW w:w="1075" w:type="dxa"/>
                        <w:shd w:val="clear" w:color="auto" w:fill="DBE5F1"/>
                      </w:tcPr>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b/>
                            <w:bCs/>
                            <w:color w:val="000000"/>
                            <w:sz w:val="18"/>
                            <w:szCs w:val="18"/>
                          </w:rPr>
                        </w:pPr>
                      </w:p>
                    </w:tc>
                    <w:tc>
                      <w:tcPr>
                        <w:tcW w:w="1933" w:type="dxa"/>
                        <w:shd w:val="clear" w:color="auto" w:fill="DBE5F1"/>
                        <w:vAlign w:val="top"/>
                      </w:tcPr>
                      <w:p>
                        <w:pPr>
                          <w:spacing w:after="0" w:line="240" w:lineRule="auto"/>
                          <w:rPr>
                            <w:rFonts w:hint="default" w:ascii="Times New Roman" w:hAnsi="Times New Roman" w:cs="Times New Roman"/>
                            <w:b/>
                            <w:bCs/>
                            <w:color w:val="000000"/>
                            <w:sz w:val="18"/>
                            <w:szCs w:val="18"/>
                            <w:lang w:val="fr-FR"/>
                          </w:rPr>
                        </w:pPr>
                        <w:r>
                          <w:rPr>
                            <w:rFonts w:ascii="Times New Roman" w:hAnsi="Times New Roman" w:cs="Times New Roman"/>
                            <w:b/>
                            <w:bCs/>
                            <w:color w:val="000000"/>
                            <w:sz w:val="18"/>
                            <w:szCs w:val="18"/>
                            <w:lang w:val="en-US"/>
                          </w:rPr>
                          <w:t>[0 – 9]</w:t>
                        </w:r>
                      </w:p>
                    </w:tc>
                    <w:tc>
                      <w:tcPr>
                        <w:tcW w:w="967" w:type="dxa"/>
                        <w:shd w:val="clear" w:color="auto" w:fill="DBE5F1"/>
                        <w:vAlign w:val="top"/>
                      </w:tcPr>
                      <w:p>
                        <w:pPr>
                          <w:spacing w:after="0" w:line="240" w:lineRule="auto"/>
                          <w:jc w:val="center"/>
                          <w:rPr>
                            <w:rFonts w:hint="default" w:ascii="Times New Roman" w:hAnsi="Times New Roman" w:cs="Times New Roman"/>
                            <w:color w:val="000000"/>
                            <w:sz w:val="18"/>
                            <w:szCs w:val="18"/>
                            <w:lang w:val="fr-FR"/>
                          </w:rPr>
                        </w:pPr>
                        <w:r>
                          <w:rPr>
                            <w:rFonts w:ascii="Times New Roman" w:hAnsi="Times New Roman" w:cs="Times New Roman"/>
                            <w:color w:val="000000"/>
                            <w:sz w:val="18"/>
                            <w:szCs w:val="18"/>
                            <w:lang w:val="en-US"/>
                          </w:rPr>
                          <w:t>2</w:t>
                        </w:r>
                      </w:p>
                    </w:tc>
                    <w:tc>
                      <w:tcPr>
                        <w:tcW w:w="805" w:type="dxa"/>
                        <w:shd w:val="clear" w:color="auto" w:fill="DBE5F1"/>
                        <w:vAlign w:val="top"/>
                      </w:tcPr>
                      <w:p>
                        <w:pPr>
                          <w:spacing w:after="0" w:line="240" w:lineRule="auto"/>
                          <w:jc w:val="center"/>
                          <w:rPr>
                            <w:rFonts w:hint="default" w:ascii="Times New Roman" w:hAnsi="Times New Roman" w:cs="Times New Roman"/>
                            <w:color w:val="000000"/>
                            <w:sz w:val="18"/>
                            <w:szCs w:val="18"/>
                            <w:lang w:val="fr-FR"/>
                          </w:rPr>
                        </w:pPr>
                        <w:r>
                          <w:rPr>
                            <w:rFonts w:ascii="Times New Roman" w:hAnsi="Times New Roman" w:cs="Times New Roman"/>
                            <w:color w:val="000000"/>
                            <w:sz w:val="18"/>
                            <w:szCs w:val="18"/>
                            <w:lang w:val="en-US"/>
                          </w:rPr>
                          <w:t>5.4</w:t>
                        </w:r>
                      </w:p>
                    </w:tc>
                  </w:tr>
                  <w:tr>
                    <w:tblPrEx>
                      <w:tblBorders>
                        <w:top w:val="single" w:color="92CDDC" w:sz="8" w:space="0"/>
                        <w:left w:val="none" w:color="auto" w:sz="0" w:space="0"/>
                        <w:bottom w:val="single" w:color="92CDDC"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0" w:hRule="atLeast"/>
                    </w:trPr>
                    <w:tc>
                      <w:tcPr>
                        <w:tcW w:w="1075" w:type="dxa"/>
                        <w:shd w:val="clear" w:color="auto" w:fill="FFFFFF"/>
                      </w:tcPr>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b/>
                            <w:bCs/>
                            <w:color w:val="000000"/>
                            <w:sz w:val="18"/>
                            <w:szCs w:val="18"/>
                          </w:rPr>
                        </w:pPr>
                      </w:p>
                    </w:tc>
                    <w:tc>
                      <w:tcPr>
                        <w:tcW w:w="1933" w:type="dxa"/>
                        <w:shd w:val="clear" w:color="auto" w:fill="FFFFFF"/>
                        <w:vAlign w:val="top"/>
                      </w:tcPr>
                      <w:p>
                        <w:pPr>
                          <w:spacing w:after="0" w:line="240" w:lineRule="auto"/>
                          <w:rPr>
                            <w:rFonts w:hint="default" w:ascii="Times New Roman" w:hAnsi="Times New Roman" w:cs="Times New Roman"/>
                            <w:b/>
                            <w:bCs/>
                            <w:color w:val="000000"/>
                            <w:sz w:val="18"/>
                            <w:szCs w:val="18"/>
                            <w:lang w:val="fr-FR"/>
                          </w:rPr>
                        </w:pPr>
                        <w:r>
                          <w:rPr>
                            <w:rFonts w:ascii="Times New Roman" w:hAnsi="Times New Roman" w:cs="Times New Roman"/>
                            <w:b/>
                            <w:bCs/>
                            <w:color w:val="000000"/>
                            <w:sz w:val="18"/>
                            <w:szCs w:val="18"/>
                            <w:lang w:val="en-US"/>
                          </w:rPr>
                          <w:t>[10 – 19]</w:t>
                        </w:r>
                      </w:p>
                    </w:tc>
                    <w:tc>
                      <w:tcPr>
                        <w:tcW w:w="967" w:type="dxa"/>
                        <w:shd w:val="clear" w:color="auto" w:fill="FFFFFF"/>
                        <w:vAlign w:val="top"/>
                      </w:tcPr>
                      <w:p>
                        <w:pPr>
                          <w:spacing w:after="0" w:line="240" w:lineRule="auto"/>
                          <w:jc w:val="center"/>
                          <w:rPr>
                            <w:rFonts w:hint="default" w:ascii="Times New Roman" w:hAnsi="Times New Roman" w:cs="Times New Roman"/>
                            <w:color w:val="000000"/>
                            <w:sz w:val="18"/>
                            <w:szCs w:val="18"/>
                          </w:rPr>
                        </w:pPr>
                        <w:r>
                          <w:rPr>
                            <w:rFonts w:ascii="Times New Roman" w:hAnsi="Times New Roman" w:cs="Times New Roman"/>
                            <w:color w:val="000000"/>
                            <w:sz w:val="18"/>
                            <w:szCs w:val="18"/>
                            <w:lang w:val="en-US"/>
                          </w:rPr>
                          <w:t>7</w:t>
                        </w:r>
                      </w:p>
                    </w:tc>
                    <w:tc>
                      <w:tcPr>
                        <w:tcW w:w="805" w:type="dxa"/>
                        <w:shd w:val="clear" w:color="auto" w:fill="FFFFFF"/>
                        <w:vAlign w:val="top"/>
                      </w:tcPr>
                      <w:p>
                        <w:pPr>
                          <w:spacing w:after="0" w:line="240" w:lineRule="auto"/>
                          <w:jc w:val="center"/>
                          <w:rPr>
                            <w:rFonts w:hint="default" w:ascii="Times New Roman" w:hAnsi="Times New Roman" w:cs="Times New Roman"/>
                            <w:color w:val="000000"/>
                            <w:sz w:val="18"/>
                            <w:szCs w:val="18"/>
                          </w:rPr>
                        </w:pPr>
                        <w:r>
                          <w:rPr>
                            <w:rFonts w:ascii="Times New Roman" w:hAnsi="Times New Roman" w:cs="Times New Roman"/>
                            <w:color w:val="000000"/>
                            <w:sz w:val="18"/>
                            <w:szCs w:val="18"/>
                            <w:lang w:val="en-US"/>
                          </w:rPr>
                          <w:t>18.9</w:t>
                        </w:r>
                      </w:p>
                    </w:tc>
                  </w:tr>
                  <w:tr>
                    <w:tblPrEx>
                      <w:tblBorders>
                        <w:top w:val="single" w:color="92CDDC" w:sz="8" w:space="0"/>
                        <w:left w:val="none" w:color="auto" w:sz="0" w:space="0"/>
                        <w:bottom w:val="single" w:color="92CDDC"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0" w:hRule="atLeast"/>
                    </w:trPr>
                    <w:tc>
                      <w:tcPr>
                        <w:tcW w:w="1075" w:type="dxa"/>
                        <w:shd w:val="clear" w:color="auto" w:fill="FFFFFF"/>
                      </w:tcPr>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b/>
                            <w:bCs/>
                            <w:color w:val="000000"/>
                            <w:sz w:val="18"/>
                            <w:szCs w:val="18"/>
                          </w:rPr>
                        </w:pPr>
                      </w:p>
                    </w:tc>
                    <w:tc>
                      <w:tcPr>
                        <w:tcW w:w="1933" w:type="dxa"/>
                        <w:shd w:val="clear" w:color="auto" w:fill="FFFFFF"/>
                        <w:vAlign w:val="top"/>
                      </w:tcPr>
                      <w:p>
                        <w:pPr>
                          <w:spacing w:after="0" w:line="240" w:lineRule="auto"/>
                          <w:rPr>
                            <w:rFonts w:hint="default" w:ascii="Times New Roman" w:hAnsi="Times New Roman" w:cs="Times New Roman"/>
                            <w:b/>
                            <w:bCs/>
                            <w:color w:val="000000"/>
                            <w:sz w:val="18"/>
                            <w:szCs w:val="18"/>
                            <w:lang w:val="fr-FR"/>
                          </w:rPr>
                        </w:pPr>
                        <w:r>
                          <w:rPr>
                            <w:rFonts w:ascii="Times New Roman" w:hAnsi="Times New Roman" w:cs="Times New Roman"/>
                            <w:b/>
                            <w:bCs/>
                            <w:color w:val="000000"/>
                            <w:sz w:val="18"/>
                            <w:szCs w:val="18"/>
                            <w:lang w:val="en-US"/>
                          </w:rPr>
                          <w:t>[20 – 29]</w:t>
                        </w:r>
                      </w:p>
                    </w:tc>
                    <w:tc>
                      <w:tcPr>
                        <w:tcW w:w="967" w:type="dxa"/>
                        <w:shd w:val="clear" w:color="auto" w:fill="FFFFFF"/>
                        <w:vAlign w:val="top"/>
                      </w:tcPr>
                      <w:p>
                        <w:pPr>
                          <w:spacing w:after="0" w:line="240" w:lineRule="auto"/>
                          <w:jc w:val="center"/>
                          <w:rPr>
                            <w:rFonts w:hint="default" w:ascii="Times New Roman" w:hAnsi="Times New Roman" w:cs="Times New Roman"/>
                            <w:color w:val="000000"/>
                            <w:sz w:val="18"/>
                            <w:szCs w:val="18"/>
                          </w:rPr>
                        </w:pPr>
                        <w:r>
                          <w:rPr>
                            <w:rFonts w:ascii="Times New Roman" w:hAnsi="Times New Roman" w:cs="Times New Roman"/>
                            <w:color w:val="000000"/>
                            <w:sz w:val="18"/>
                            <w:szCs w:val="18"/>
                            <w:lang w:val="en-US"/>
                          </w:rPr>
                          <w:t>14</w:t>
                        </w:r>
                      </w:p>
                    </w:tc>
                    <w:tc>
                      <w:tcPr>
                        <w:tcW w:w="805" w:type="dxa"/>
                        <w:shd w:val="clear" w:color="auto" w:fill="FFFFFF"/>
                        <w:vAlign w:val="top"/>
                      </w:tcPr>
                      <w:p>
                        <w:pPr>
                          <w:spacing w:after="0" w:line="240" w:lineRule="auto"/>
                          <w:jc w:val="center"/>
                          <w:rPr>
                            <w:rFonts w:hint="default" w:ascii="Times New Roman" w:hAnsi="Times New Roman" w:cs="Times New Roman"/>
                            <w:color w:val="000000"/>
                            <w:sz w:val="18"/>
                            <w:szCs w:val="18"/>
                          </w:rPr>
                        </w:pPr>
                        <w:r>
                          <w:rPr>
                            <w:rFonts w:ascii="Times New Roman" w:hAnsi="Times New Roman" w:cs="Times New Roman"/>
                            <w:color w:val="000000"/>
                            <w:sz w:val="18"/>
                            <w:szCs w:val="18"/>
                            <w:lang w:val="en-US"/>
                          </w:rPr>
                          <w:t>37.8</w:t>
                        </w:r>
                      </w:p>
                    </w:tc>
                  </w:tr>
                  <w:tr>
                    <w:tblPrEx>
                      <w:tblBorders>
                        <w:top w:val="single" w:color="92CDDC" w:sz="8" w:space="0"/>
                        <w:left w:val="none" w:color="auto" w:sz="0" w:space="0"/>
                        <w:bottom w:val="single" w:color="92CDDC"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0" w:hRule="atLeast"/>
                    </w:trPr>
                    <w:tc>
                      <w:tcPr>
                        <w:tcW w:w="1075" w:type="dxa"/>
                        <w:shd w:val="clear" w:color="auto" w:fill="FFFFFF"/>
                      </w:tcPr>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b/>
                            <w:bCs/>
                            <w:color w:val="000000"/>
                            <w:sz w:val="18"/>
                            <w:szCs w:val="18"/>
                          </w:rPr>
                        </w:pPr>
                      </w:p>
                    </w:tc>
                    <w:tc>
                      <w:tcPr>
                        <w:tcW w:w="1933" w:type="dxa"/>
                        <w:shd w:val="clear" w:color="auto" w:fill="FFFFFF"/>
                        <w:vAlign w:val="top"/>
                      </w:tcPr>
                      <w:p>
                        <w:pPr>
                          <w:spacing w:after="0" w:line="240" w:lineRule="auto"/>
                          <w:rPr>
                            <w:rFonts w:hint="default" w:ascii="Times New Roman" w:hAnsi="Times New Roman" w:cs="Times New Roman"/>
                            <w:b/>
                            <w:bCs/>
                            <w:color w:val="000000"/>
                            <w:sz w:val="18"/>
                            <w:szCs w:val="18"/>
                            <w:lang w:val="fr-FR"/>
                          </w:rPr>
                        </w:pPr>
                        <w:r>
                          <w:rPr>
                            <w:rFonts w:ascii="Times New Roman" w:hAnsi="Times New Roman" w:cs="Times New Roman"/>
                            <w:b/>
                            <w:bCs/>
                            <w:color w:val="000000"/>
                            <w:sz w:val="18"/>
                            <w:szCs w:val="18"/>
                            <w:lang w:val="en-US"/>
                          </w:rPr>
                          <w:t>[30 – 39]</w:t>
                        </w:r>
                      </w:p>
                    </w:tc>
                    <w:tc>
                      <w:tcPr>
                        <w:tcW w:w="967" w:type="dxa"/>
                        <w:shd w:val="clear" w:color="auto" w:fill="FFFFFF"/>
                        <w:vAlign w:val="top"/>
                      </w:tcPr>
                      <w:p>
                        <w:pPr>
                          <w:spacing w:after="0" w:line="240" w:lineRule="auto"/>
                          <w:jc w:val="center"/>
                          <w:rPr>
                            <w:rFonts w:hint="default" w:ascii="Times New Roman" w:hAnsi="Times New Roman" w:cs="Times New Roman"/>
                            <w:color w:val="000000"/>
                            <w:sz w:val="18"/>
                            <w:szCs w:val="18"/>
                          </w:rPr>
                        </w:pPr>
                        <w:r>
                          <w:rPr>
                            <w:rFonts w:ascii="Times New Roman" w:hAnsi="Times New Roman" w:cs="Times New Roman"/>
                            <w:color w:val="000000"/>
                            <w:sz w:val="18"/>
                            <w:szCs w:val="18"/>
                            <w:lang w:val="en-US"/>
                          </w:rPr>
                          <w:t>7</w:t>
                        </w:r>
                      </w:p>
                    </w:tc>
                    <w:tc>
                      <w:tcPr>
                        <w:tcW w:w="805" w:type="dxa"/>
                        <w:shd w:val="clear" w:color="auto" w:fill="FFFFFF"/>
                        <w:vAlign w:val="top"/>
                      </w:tcPr>
                      <w:p>
                        <w:pPr>
                          <w:spacing w:after="0" w:line="240" w:lineRule="auto"/>
                          <w:jc w:val="center"/>
                          <w:rPr>
                            <w:rFonts w:hint="default" w:ascii="Times New Roman" w:hAnsi="Times New Roman" w:cs="Times New Roman"/>
                            <w:color w:val="000000"/>
                            <w:sz w:val="18"/>
                            <w:szCs w:val="18"/>
                          </w:rPr>
                        </w:pPr>
                        <w:r>
                          <w:rPr>
                            <w:rFonts w:ascii="Times New Roman" w:hAnsi="Times New Roman" w:cs="Times New Roman"/>
                            <w:color w:val="000000"/>
                            <w:sz w:val="18"/>
                            <w:szCs w:val="18"/>
                            <w:lang w:val="en-US"/>
                          </w:rPr>
                          <w:t>18.9</w:t>
                        </w:r>
                      </w:p>
                    </w:tc>
                  </w:tr>
                  <w:tr>
                    <w:tblPrEx>
                      <w:tblBorders>
                        <w:top w:val="single" w:color="92CDDC" w:sz="8" w:space="0"/>
                        <w:left w:val="none" w:color="auto" w:sz="0" w:space="0"/>
                        <w:bottom w:val="single" w:color="92CDDC"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0" w:hRule="atLeast"/>
                    </w:trPr>
                    <w:tc>
                      <w:tcPr>
                        <w:tcW w:w="1075" w:type="dxa"/>
                        <w:shd w:val="clear" w:color="auto" w:fill="FFFFFF"/>
                      </w:tcPr>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b/>
                            <w:bCs/>
                            <w:color w:val="000000"/>
                            <w:sz w:val="18"/>
                            <w:szCs w:val="18"/>
                          </w:rPr>
                        </w:pPr>
                      </w:p>
                    </w:tc>
                    <w:tc>
                      <w:tcPr>
                        <w:tcW w:w="1933" w:type="dxa"/>
                        <w:shd w:val="clear" w:color="auto" w:fill="FFFFFF"/>
                        <w:vAlign w:val="top"/>
                      </w:tcPr>
                      <w:p>
                        <w:pPr>
                          <w:spacing w:after="0" w:line="240" w:lineRule="auto"/>
                          <w:rPr>
                            <w:rFonts w:hint="default" w:ascii="Times New Roman" w:hAnsi="Times New Roman" w:cs="Times New Roman"/>
                            <w:b/>
                            <w:bCs/>
                            <w:color w:val="000000"/>
                            <w:sz w:val="18"/>
                            <w:szCs w:val="18"/>
                            <w:lang w:val="fr-FR"/>
                          </w:rPr>
                        </w:pPr>
                        <w:r>
                          <w:rPr>
                            <w:rFonts w:ascii="Times New Roman" w:hAnsi="Times New Roman" w:cs="Times New Roman"/>
                            <w:b/>
                            <w:bCs/>
                            <w:color w:val="000000"/>
                            <w:sz w:val="18"/>
                            <w:szCs w:val="18"/>
                            <w:lang w:val="en-US"/>
                          </w:rPr>
                          <w:t>[40 – 49]</w:t>
                        </w:r>
                      </w:p>
                    </w:tc>
                    <w:tc>
                      <w:tcPr>
                        <w:tcW w:w="967" w:type="dxa"/>
                        <w:shd w:val="clear" w:color="auto" w:fill="FFFFFF"/>
                        <w:vAlign w:val="top"/>
                      </w:tcPr>
                      <w:p>
                        <w:pPr>
                          <w:spacing w:after="0" w:line="240" w:lineRule="auto"/>
                          <w:jc w:val="center"/>
                          <w:rPr>
                            <w:rFonts w:hint="default" w:ascii="Times New Roman" w:hAnsi="Times New Roman" w:cs="Times New Roman"/>
                            <w:color w:val="000000"/>
                            <w:sz w:val="18"/>
                            <w:szCs w:val="18"/>
                          </w:rPr>
                        </w:pPr>
                        <w:r>
                          <w:rPr>
                            <w:rFonts w:ascii="Times New Roman" w:hAnsi="Times New Roman" w:cs="Times New Roman"/>
                            <w:color w:val="000000"/>
                            <w:sz w:val="18"/>
                            <w:szCs w:val="18"/>
                            <w:lang w:val="en-US"/>
                          </w:rPr>
                          <w:t>4</w:t>
                        </w:r>
                      </w:p>
                    </w:tc>
                    <w:tc>
                      <w:tcPr>
                        <w:tcW w:w="805" w:type="dxa"/>
                        <w:shd w:val="clear" w:color="auto" w:fill="FFFFFF"/>
                        <w:vAlign w:val="top"/>
                      </w:tcPr>
                      <w:p>
                        <w:pPr>
                          <w:spacing w:after="0" w:line="240" w:lineRule="auto"/>
                          <w:jc w:val="center"/>
                          <w:rPr>
                            <w:rFonts w:hint="default" w:ascii="Times New Roman" w:hAnsi="Times New Roman" w:cs="Times New Roman"/>
                            <w:color w:val="000000"/>
                            <w:sz w:val="18"/>
                            <w:szCs w:val="18"/>
                          </w:rPr>
                        </w:pPr>
                        <w:r>
                          <w:rPr>
                            <w:rFonts w:ascii="Times New Roman" w:hAnsi="Times New Roman" w:cs="Times New Roman"/>
                            <w:color w:val="000000"/>
                            <w:sz w:val="18"/>
                            <w:szCs w:val="18"/>
                            <w:lang w:val="en-US"/>
                          </w:rPr>
                          <w:t>10.8</w:t>
                        </w:r>
                      </w:p>
                    </w:tc>
                  </w:tr>
                  <w:tr>
                    <w:tblPrEx>
                      <w:tblBorders>
                        <w:top w:val="single" w:color="92CDDC" w:sz="8" w:space="0"/>
                        <w:left w:val="none" w:color="auto" w:sz="0" w:space="0"/>
                        <w:bottom w:val="single" w:color="92CDDC"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0" w:hRule="atLeast"/>
                    </w:trPr>
                    <w:tc>
                      <w:tcPr>
                        <w:tcW w:w="1075" w:type="dxa"/>
                        <w:shd w:val="clear" w:color="auto" w:fill="FFFFFF"/>
                      </w:tcPr>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b/>
                            <w:bCs/>
                            <w:color w:val="000000"/>
                            <w:sz w:val="18"/>
                            <w:szCs w:val="18"/>
                          </w:rPr>
                        </w:pPr>
                      </w:p>
                    </w:tc>
                    <w:tc>
                      <w:tcPr>
                        <w:tcW w:w="1933" w:type="dxa"/>
                        <w:shd w:val="clear" w:color="auto" w:fill="FFFFFF"/>
                        <w:vAlign w:val="top"/>
                      </w:tcPr>
                      <w:p>
                        <w:pPr>
                          <w:spacing w:after="0" w:line="240" w:lineRule="auto"/>
                          <w:rPr>
                            <w:rFonts w:hint="default" w:ascii="Times New Roman" w:hAnsi="Times New Roman" w:cs="Times New Roman"/>
                            <w:b/>
                            <w:bCs/>
                            <w:color w:val="000000"/>
                            <w:sz w:val="18"/>
                            <w:szCs w:val="18"/>
                            <w:lang w:val="fr-FR"/>
                          </w:rPr>
                        </w:pPr>
                        <w:r>
                          <w:rPr>
                            <w:rFonts w:ascii="Times New Roman" w:hAnsi="Times New Roman" w:cs="Times New Roman"/>
                            <w:b/>
                            <w:bCs/>
                            <w:color w:val="000000"/>
                            <w:sz w:val="18"/>
                            <w:szCs w:val="18"/>
                            <w:lang w:val="en-US"/>
                          </w:rPr>
                          <w:t>[50 – 59]</w:t>
                        </w:r>
                      </w:p>
                    </w:tc>
                    <w:tc>
                      <w:tcPr>
                        <w:tcW w:w="967" w:type="dxa"/>
                        <w:shd w:val="clear" w:color="auto" w:fill="FFFFFF"/>
                        <w:vAlign w:val="top"/>
                      </w:tcPr>
                      <w:p>
                        <w:pPr>
                          <w:spacing w:after="0" w:line="240" w:lineRule="auto"/>
                          <w:jc w:val="center"/>
                          <w:rPr>
                            <w:rFonts w:hint="default" w:ascii="Times New Roman" w:hAnsi="Times New Roman" w:cs="Times New Roman"/>
                            <w:color w:val="000000"/>
                            <w:sz w:val="18"/>
                            <w:szCs w:val="18"/>
                          </w:rPr>
                        </w:pPr>
                        <w:r>
                          <w:rPr>
                            <w:rFonts w:ascii="Times New Roman" w:hAnsi="Times New Roman" w:cs="Times New Roman"/>
                            <w:color w:val="000000"/>
                            <w:sz w:val="18"/>
                            <w:szCs w:val="18"/>
                            <w:lang w:val="en-US"/>
                          </w:rPr>
                          <w:t>2</w:t>
                        </w:r>
                      </w:p>
                    </w:tc>
                    <w:tc>
                      <w:tcPr>
                        <w:tcW w:w="805" w:type="dxa"/>
                        <w:shd w:val="clear" w:color="auto" w:fill="FFFFFF"/>
                        <w:vAlign w:val="top"/>
                      </w:tcPr>
                      <w:p>
                        <w:pPr>
                          <w:spacing w:after="0" w:line="240" w:lineRule="auto"/>
                          <w:jc w:val="center"/>
                          <w:rPr>
                            <w:rFonts w:hint="default" w:ascii="Times New Roman" w:hAnsi="Times New Roman" w:cs="Times New Roman"/>
                            <w:color w:val="000000"/>
                            <w:sz w:val="18"/>
                            <w:szCs w:val="18"/>
                          </w:rPr>
                        </w:pPr>
                        <w:r>
                          <w:rPr>
                            <w:rFonts w:ascii="Times New Roman" w:hAnsi="Times New Roman" w:cs="Times New Roman"/>
                            <w:color w:val="000000"/>
                            <w:sz w:val="18"/>
                            <w:szCs w:val="18"/>
                            <w:lang w:val="en-US"/>
                          </w:rPr>
                          <w:t>5.4</w:t>
                        </w:r>
                      </w:p>
                    </w:tc>
                  </w:tr>
                  <w:tr>
                    <w:tblPrEx>
                      <w:tblBorders>
                        <w:top w:val="single" w:color="92CDDC" w:sz="8" w:space="0"/>
                        <w:left w:val="none" w:color="auto" w:sz="0" w:space="0"/>
                        <w:bottom w:val="single" w:color="92CDDC"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0" w:hRule="atLeast"/>
                    </w:trPr>
                    <w:tc>
                      <w:tcPr>
                        <w:tcW w:w="1075" w:type="dxa"/>
                        <w:shd w:val="clear" w:color="auto" w:fill="FFFFFF"/>
                      </w:tcPr>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b/>
                            <w:bCs/>
                            <w:color w:val="000000"/>
                            <w:sz w:val="18"/>
                            <w:szCs w:val="18"/>
                          </w:rPr>
                        </w:pPr>
                      </w:p>
                    </w:tc>
                    <w:tc>
                      <w:tcPr>
                        <w:tcW w:w="1933" w:type="dxa"/>
                        <w:shd w:val="clear" w:color="auto" w:fill="FFFFFF"/>
                        <w:vAlign w:val="top"/>
                      </w:tcPr>
                      <w:p>
                        <w:pPr>
                          <w:spacing w:after="0" w:line="240" w:lineRule="auto"/>
                          <w:rPr>
                            <w:rFonts w:hint="default" w:ascii="Times New Roman" w:hAnsi="Times New Roman" w:cs="Times New Roman"/>
                            <w:b/>
                            <w:bCs/>
                            <w:color w:val="000000"/>
                            <w:sz w:val="18"/>
                            <w:szCs w:val="18"/>
                            <w:lang w:val="fr-FR"/>
                          </w:rPr>
                        </w:pPr>
                        <w:r>
                          <w:rPr>
                            <w:rFonts w:ascii="Times New Roman" w:hAnsi="Times New Roman" w:cs="Times New Roman"/>
                            <w:b/>
                            <w:bCs/>
                            <w:color w:val="000000"/>
                            <w:sz w:val="18"/>
                            <w:szCs w:val="18"/>
                            <w:lang w:val="en-US"/>
                          </w:rPr>
                          <w:t>[60 – 69]</w:t>
                        </w:r>
                      </w:p>
                    </w:tc>
                    <w:tc>
                      <w:tcPr>
                        <w:tcW w:w="967" w:type="dxa"/>
                        <w:shd w:val="clear" w:color="auto" w:fill="FFFFFF"/>
                        <w:vAlign w:val="top"/>
                      </w:tcPr>
                      <w:p>
                        <w:pPr>
                          <w:spacing w:after="0" w:line="240" w:lineRule="auto"/>
                          <w:jc w:val="center"/>
                          <w:rPr>
                            <w:rFonts w:hint="default" w:ascii="Times New Roman" w:hAnsi="Times New Roman" w:cs="Times New Roman"/>
                            <w:color w:val="000000"/>
                            <w:sz w:val="18"/>
                            <w:szCs w:val="18"/>
                          </w:rPr>
                        </w:pPr>
                        <w:r>
                          <w:rPr>
                            <w:rFonts w:ascii="Times New Roman" w:hAnsi="Times New Roman" w:cs="Times New Roman"/>
                            <w:color w:val="000000"/>
                            <w:sz w:val="18"/>
                            <w:szCs w:val="18"/>
                            <w:lang w:val="en-US"/>
                          </w:rPr>
                          <w:t>1</w:t>
                        </w:r>
                      </w:p>
                    </w:tc>
                    <w:tc>
                      <w:tcPr>
                        <w:tcW w:w="805" w:type="dxa"/>
                        <w:shd w:val="clear" w:color="auto" w:fill="FFFFFF"/>
                        <w:vAlign w:val="top"/>
                      </w:tcPr>
                      <w:p>
                        <w:pPr>
                          <w:spacing w:after="0" w:line="240" w:lineRule="auto"/>
                          <w:jc w:val="center"/>
                          <w:rPr>
                            <w:rFonts w:hint="default" w:ascii="Times New Roman" w:hAnsi="Times New Roman" w:cs="Times New Roman"/>
                            <w:color w:val="000000"/>
                            <w:sz w:val="18"/>
                            <w:szCs w:val="18"/>
                          </w:rPr>
                        </w:pPr>
                        <w:r>
                          <w:rPr>
                            <w:rFonts w:ascii="Times New Roman" w:hAnsi="Times New Roman" w:cs="Times New Roman"/>
                            <w:color w:val="000000"/>
                            <w:sz w:val="18"/>
                            <w:szCs w:val="18"/>
                            <w:lang w:val="en-US"/>
                          </w:rPr>
                          <w:t>2.7</w:t>
                        </w:r>
                      </w:p>
                    </w:tc>
                  </w:tr>
                  <w:tr>
                    <w:tblPrEx>
                      <w:tblBorders>
                        <w:top w:val="single" w:color="92CDDC" w:sz="8" w:space="0"/>
                        <w:left w:val="none" w:color="auto" w:sz="0" w:space="0"/>
                        <w:bottom w:val="single" w:color="92CDDC"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1" w:hRule="atLeast"/>
                    </w:trPr>
                    <w:tc>
                      <w:tcPr>
                        <w:tcW w:w="4780" w:type="dxa"/>
                        <w:gridSpan w:val="4"/>
                        <w:shd w:val="clear" w:color="auto" w:fill="DBE5F1"/>
                      </w:tcPr>
                      <w:p>
                        <w:pPr>
                          <w:keepNext w:val="0"/>
                          <w:keepLines w:val="0"/>
                          <w:pageBreakBefore w:val="0"/>
                          <w:widowControl/>
                          <w:kinsoku/>
                          <w:wordWrap/>
                          <w:overflowPunct/>
                          <w:topLinePunct w:val="0"/>
                          <w:bidi w:val="0"/>
                          <w:snapToGrid/>
                          <w:spacing w:after="0" w:line="240" w:lineRule="auto"/>
                          <w:jc w:val="left"/>
                          <w:textAlignment w:val="auto"/>
                          <w:rPr>
                            <w:rFonts w:hint="default" w:ascii="Times New Roman" w:hAnsi="Times New Roman" w:cs="Times New Roman"/>
                            <w:b/>
                            <w:bCs/>
                            <w:color w:val="000000"/>
                            <w:sz w:val="18"/>
                            <w:szCs w:val="18"/>
                            <w:lang w:val="fr-FR"/>
                          </w:rPr>
                        </w:pPr>
                        <w:r>
                          <w:rPr>
                            <w:rFonts w:hint="default" w:ascii="Times New Roman" w:hAnsi="Times New Roman" w:cs="Times New Roman"/>
                            <w:b/>
                            <w:bCs/>
                            <w:color w:val="000000"/>
                            <w:sz w:val="18"/>
                            <w:szCs w:val="18"/>
                            <w:lang w:val="fr-FR"/>
                          </w:rPr>
                          <w:t>Délai d’admission</w:t>
                        </w:r>
                      </w:p>
                    </w:tc>
                  </w:tr>
                  <w:tr>
                    <w:tblPrEx>
                      <w:tblBorders>
                        <w:top w:val="single" w:color="92CDDC" w:sz="8" w:space="0"/>
                        <w:left w:val="none" w:color="auto" w:sz="0" w:space="0"/>
                        <w:bottom w:val="single" w:color="92CDDC"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1" w:hRule="atLeast"/>
                    </w:trPr>
                    <w:tc>
                      <w:tcPr>
                        <w:tcW w:w="1075" w:type="dxa"/>
                        <w:shd w:val="clear" w:color="auto" w:fill="FFFFFF"/>
                      </w:tcPr>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b/>
                            <w:bCs/>
                            <w:color w:val="000000"/>
                            <w:sz w:val="18"/>
                            <w:szCs w:val="18"/>
                          </w:rPr>
                        </w:pPr>
                      </w:p>
                    </w:tc>
                    <w:tc>
                      <w:tcPr>
                        <w:tcW w:w="1933" w:type="dxa"/>
                        <w:shd w:val="clear" w:color="auto" w:fill="FFFFFF"/>
                        <w:vAlign w:val="top"/>
                      </w:tcPr>
                      <w:p>
                        <w:pPr>
                          <w:spacing w:after="200" w:line="240" w:lineRule="auto"/>
                          <w:rPr>
                            <w:rFonts w:hint="default" w:ascii="Times New Roman" w:hAnsi="Times New Roman" w:cs="Times New Roman"/>
                            <w:b/>
                            <w:bCs/>
                            <w:color w:val="000000"/>
                            <w:sz w:val="18"/>
                            <w:szCs w:val="18"/>
                          </w:rPr>
                        </w:pPr>
                        <w:r>
                          <w:rPr>
                            <w:rFonts w:ascii="Times New Roman" w:hAnsi="Times New Roman" w:cs="Times New Roman"/>
                            <w:b/>
                            <w:bCs/>
                            <w:color w:val="000000" w:themeColor="text1" w:themeShade="BF"/>
                            <w:sz w:val="18"/>
                            <w:szCs w:val="18"/>
                            <w:lang w:val="en-US"/>
                          </w:rPr>
                          <w:t>&lt; 6heures</w:t>
                        </w:r>
                      </w:p>
                    </w:tc>
                    <w:tc>
                      <w:tcPr>
                        <w:tcW w:w="967" w:type="dxa"/>
                        <w:shd w:val="clear" w:color="auto" w:fill="FFFFFF"/>
                        <w:vAlign w:val="top"/>
                      </w:tcPr>
                      <w:p>
                        <w:pPr>
                          <w:spacing w:after="200" w:line="240" w:lineRule="auto"/>
                          <w:jc w:val="center"/>
                          <w:rPr>
                            <w:rFonts w:hint="default" w:ascii="Times New Roman" w:hAnsi="Times New Roman" w:cs="Times New Roman"/>
                            <w:color w:val="000000"/>
                            <w:sz w:val="18"/>
                            <w:szCs w:val="18"/>
                          </w:rPr>
                        </w:pPr>
                        <w:r>
                          <w:rPr>
                            <w:rFonts w:ascii="Times New Roman" w:hAnsi="Times New Roman" w:cs="Times New Roman"/>
                            <w:color w:val="000000" w:themeColor="text1" w:themeShade="BF"/>
                            <w:sz w:val="18"/>
                            <w:szCs w:val="18"/>
                            <w:lang w:val="en-US"/>
                          </w:rPr>
                          <w:t>26</w:t>
                        </w:r>
                      </w:p>
                    </w:tc>
                    <w:tc>
                      <w:tcPr>
                        <w:tcW w:w="805" w:type="dxa"/>
                        <w:shd w:val="clear" w:color="auto" w:fill="FFFFFF"/>
                        <w:vAlign w:val="top"/>
                      </w:tcPr>
                      <w:p>
                        <w:pPr>
                          <w:spacing w:after="200" w:line="240" w:lineRule="auto"/>
                          <w:jc w:val="center"/>
                          <w:rPr>
                            <w:rFonts w:hint="default" w:ascii="Times New Roman" w:hAnsi="Times New Roman" w:cs="Times New Roman"/>
                            <w:color w:val="000000"/>
                            <w:sz w:val="18"/>
                            <w:szCs w:val="18"/>
                          </w:rPr>
                        </w:pPr>
                        <w:r>
                          <w:rPr>
                            <w:rFonts w:ascii="Times New Roman" w:hAnsi="Times New Roman" w:cs="Times New Roman"/>
                            <w:color w:val="000000" w:themeColor="text1" w:themeShade="BF"/>
                            <w:sz w:val="18"/>
                            <w:szCs w:val="18"/>
                            <w:lang w:val="en-US"/>
                          </w:rPr>
                          <w:t>70.2</w:t>
                        </w:r>
                      </w:p>
                    </w:tc>
                  </w:tr>
                  <w:tr>
                    <w:tblPrEx>
                      <w:tblBorders>
                        <w:top w:val="single" w:color="92CDDC" w:sz="8" w:space="0"/>
                        <w:left w:val="none" w:color="auto" w:sz="0" w:space="0"/>
                        <w:bottom w:val="single" w:color="92CDDC"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1" w:hRule="atLeast"/>
                    </w:trPr>
                    <w:tc>
                      <w:tcPr>
                        <w:tcW w:w="1075" w:type="dxa"/>
                        <w:shd w:val="clear" w:color="auto" w:fill="DBE5F1"/>
                      </w:tcPr>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b/>
                            <w:bCs/>
                            <w:color w:val="000000"/>
                            <w:sz w:val="18"/>
                            <w:szCs w:val="18"/>
                          </w:rPr>
                        </w:pPr>
                      </w:p>
                    </w:tc>
                    <w:tc>
                      <w:tcPr>
                        <w:tcW w:w="1933" w:type="dxa"/>
                        <w:shd w:val="clear" w:color="auto" w:fill="DBE5F1"/>
                        <w:vAlign w:val="top"/>
                      </w:tcPr>
                      <w:p>
                        <w:pPr>
                          <w:spacing w:after="200" w:line="240" w:lineRule="auto"/>
                          <w:rPr>
                            <w:rFonts w:hint="default" w:ascii="Times New Roman" w:hAnsi="Times New Roman" w:cs="Times New Roman"/>
                            <w:b/>
                            <w:bCs/>
                            <w:color w:val="000000"/>
                            <w:sz w:val="18"/>
                            <w:szCs w:val="18"/>
                          </w:rPr>
                        </w:pPr>
                        <w:r>
                          <w:rPr>
                            <w:rFonts w:ascii="Times New Roman" w:hAnsi="Times New Roman" w:cs="Times New Roman"/>
                            <w:b/>
                            <w:bCs/>
                            <w:color w:val="000000" w:themeColor="text1" w:themeShade="BF"/>
                            <w:sz w:val="18"/>
                            <w:szCs w:val="18"/>
                            <w:lang w:val="en-US"/>
                          </w:rPr>
                          <w:t>Entre 6-24heures</w:t>
                        </w:r>
                      </w:p>
                    </w:tc>
                    <w:tc>
                      <w:tcPr>
                        <w:tcW w:w="967" w:type="dxa"/>
                        <w:shd w:val="clear" w:color="auto" w:fill="DBE5F1"/>
                        <w:vAlign w:val="top"/>
                      </w:tcPr>
                      <w:p>
                        <w:pPr>
                          <w:spacing w:after="200" w:line="240" w:lineRule="auto"/>
                          <w:jc w:val="center"/>
                          <w:rPr>
                            <w:rFonts w:hint="default" w:ascii="Times New Roman" w:hAnsi="Times New Roman" w:cs="Times New Roman"/>
                            <w:color w:val="000000"/>
                            <w:sz w:val="18"/>
                            <w:szCs w:val="18"/>
                          </w:rPr>
                        </w:pPr>
                        <w:r>
                          <w:rPr>
                            <w:rFonts w:ascii="Times New Roman" w:hAnsi="Times New Roman" w:cs="Times New Roman"/>
                            <w:color w:val="000000" w:themeColor="text1" w:themeShade="BF"/>
                            <w:sz w:val="18"/>
                            <w:szCs w:val="18"/>
                            <w:lang w:val="en-US"/>
                          </w:rPr>
                          <w:t>6</w:t>
                        </w:r>
                      </w:p>
                    </w:tc>
                    <w:tc>
                      <w:tcPr>
                        <w:tcW w:w="805" w:type="dxa"/>
                        <w:shd w:val="clear" w:color="auto" w:fill="DBE5F1"/>
                        <w:vAlign w:val="top"/>
                      </w:tcPr>
                      <w:p>
                        <w:pPr>
                          <w:spacing w:after="200" w:line="240" w:lineRule="auto"/>
                          <w:jc w:val="center"/>
                          <w:rPr>
                            <w:rFonts w:hint="default" w:ascii="Times New Roman" w:hAnsi="Times New Roman" w:cs="Times New Roman"/>
                            <w:color w:val="000000"/>
                            <w:sz w:val="18"/>
                            <w:szCs w:val="18"/>
                          </w:rPr>
                        </w:pPr>
                        <w:r>
                          <w:rPr>
                            <w:rFonts w:ascii="Times New Roman" w:hAnsi="Times New Roman" w:cs="Times New Roman"/>
                            <w:color w:val="000000" w:themeColor="text1" w:themeShade="BF"/>
                            <w:sz w:val="18"/>
                            <w:szCs w:val="18"/>
                            <w:lang w:val="en-US"/>
                          </w:rPr>
                          <w:t>16.3</w:t>
                        </w:r>
                      </w:p>
                    </w:tc>
                  </w:tr>
                  <w:tr>
                    <w:tblPrEx>
                      <w:tblBorders>
                        <w:top w:val="single" w:color="92CDDC" w:sz="8" w:space="0"/>
                        <w:left w:val="none" w:color="auto" w:sz="0" w:space="0"/>
                        <w:bottom w:val="single" w:color="92CDDC"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1" w:hRule="atLeast"/>
                    </w:trPr>
                    <w:tc>
                      <w:tcPr>
                        <w:tcW w:w="1075" w:type="dxa"/>
                        <w:shd w:val="clear" w:color="auto" w:fill="FFFFFF"/>
                      </w:tcPr>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b/>
                            <w:bCs/>
                            <w:color w:val="000000"/>
                            <w:sz w:val="18"/>
                            <w:szCs w:val="18"/>
                          </w:rPr>
                        </w:pPr>
                      </w:p>
                    </w:tc>
                    <w:tc>
                      <w:tcPr>
                        <w:tcW w:w="1933" w:type="dxa"/>
                        <w:shd w:val="clear" w:color="auto" w:fill="FFFFFF"/>
                        <w:vAlign w:val="top"/>
                      </w:tcPr>
                      <w:p>
                        <w:pPr>
                          <w:spacing w:after="0" w:line="240" w:lineRule="auto"/>
                          <w:rPr>
                            <w:rFonts w:hint="default" w:ascii="Times New Roman" w:hAnsi="Times New Roman" w:cs="Times New Roman"/>
                            <w:b/>
                            <w:bCs/>
                            <w:color w:val="000000"/>
                            <w:sz w:val="18"/>
                            <w:szCs w:val="18"/>
                          </w:rPr>
                        </w:pPr>
                        <w:r>
                          <w:rPr>
                            <w:rFonts w:ascii="Times New Roman" w:hAnsi="Times New Roman" w:cs="Times New Roman"/>
                            <w:b/>
                            <w:bCs/>
                            <w:color w:val="000000" w:themeColor="text1" w:themeShade="BF"/>
                            <w:sz w:val="18"/>
                            <w:szCs w:val="18"/>
                            <w:lang w:val="en-US"/>
                          </w:rPr>
                          <w:t>&gt; 24 heures</w:t>
                        </w:r>
                      </w:p>
                    </w:tc>
                    <w:tc>
                      <w:tcPr>
                        <w:tcW w:w="967" w:type="dxa"/>
                        <w:shd w:val="clear" w:color="auto" w:fill="FFFFFF"/>
                        <w:vAlign w:val="top"/>
                      </w:tcPr>
                      <w:p>
                        <w:pPr>
                          <w:spacing w:after="200" w:line="240" w:lineRule="auto"/>
                          <w:jc w:val="center"/>
                          <w:rPr>
                            <w:rFonts w:hint="default" w:ascii="Times New Roman" w:hAnsi="Times New Roman" w:cs="Times New Roman"/>
                            <w:color w:val="000000"/>
                            <w:sz w:val="18"/>
                            <w:szCs w:val="18"/>
                          </w:rPr>
                        </w:pPr>
                        <w:r>
                          <w:rPr>
                            <w:rFonts w:ascii="Times New Roman" w:hAnsi="Times New Roman" w:cs="Times New Roman"/>
                            <w:color w:val="000000" w:themeColor="text1" w:themeShade="BF"/>
                            <w:sz w:val="18"/>
                            <w:szCs w:val="18"/>
                            <w:lang w:val="en-US"/>
                          </w:rPr>
                          <w:t>5</w:t>
                        </w:r>
                      </w:p>
                    </w:tc>
                    <w:tc>
                      <w:tcPr>
                        <w:tcW w:w="805" w:type="dxa"/>
                        <w:shd w:val="clear" w:color="auto" w:fill="FFFFFF"/>
                        <w:vAlign w:val="top"/>
                      </w:tcPr>
                      <w:p>
                        <w:pPr>
                          <w:spacing w:after="200" w:line="240" w:lineRule="auto"/>
                          <w:jc w:val="center"/>
                          <w:rPr>
                            <w:rFonts w:hint="default" w:ascii="Times New Roman" w:hAnsi="Times New Roman" w:cs="Times New Roman"/>
                            <w:color w:val="000000"/>
                            <w:sz w:val="18"/>
                            <w:szCs w:val="18"/>
                          </w:rPr>
                        </w:pPr>
                        <w:r>
                          <w:rPr>
                            <w:rFonts w:ascii="Times New Roman" w:hAnsi="Times New Roman" w:cs="Times New Roman"/>
                            <w:color w:val="000000" w:themeColor="text1" w:themeShade="BF"/>
                            <w:sz w:val="18"/>
                            <w:szCs w:val="18"/>
                            <w:lang w:val="en-US"/>
                          </w:rPr>
                          <w:t>13.5</w:t>
                        </w:r>
                      </w:p>
                    </w:tc>
                  </w:tr>
                  <w:tr>
                    <w:tblPrEx>
                      <w:tblBorders>
                        <w:top w:val="single" w:color="92CDDC" w:sz="8" w:space="0"/>
                        <w:left w:val="none" w:color="auto" w:sz="0" w:space="0"/>
                        <w:bottom w:val="single" w:color="92CDDC"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1" w:hRule="atLeast"/>
                    </w:trPr>
                    <w:tc>
                      <w:tcPr>
                        <w:tcW w:w="4780" w:type="dxa"/>
                        <w:gridSpan w:val="4"/>
                        <w:shd w:val="clear" w:color="auto" w:fill="DBE5F1"/>
                      </w:tcPr>
                      <w:p>
                        <w:pPr>
                          <w:keepNext w:val="0"/>
                          <w:keepLines w:val="0"/>
                          <w:pageBreakBefore w:val="0"/>
                          <w:widowControl/>
                          <w:kinsoku/>
                          <w:wordWrap/>
                          <w:overflowPunct/>
                          <w:topLinePunct w:val="0"/>
                          <w:bidi w:val="0"/>
                          <w:snapToGrid/>
                          <w:spacing w:after="0" w:line="240" w:lineRule="auto"/>
                          <w:jc w:val="left"/>
                          <w:textAlignment w:val="auto"/>
                          <w:rPr>
                            <w:rFonts w:hint="default" w:ascii="Times New Roman" w:hAnsi="Times New Roman" w:cs="Times New Roman"/>
                            <w:b/>
                            <w:bCs/>
                            <w:color w:val="000000"/>
                            <w:sz w:val="18"/>
                            <w:szCs w:val="18"/>
                            <w:lang w:val="fr-FR"/>
                          </w:rPr>
                        </w:pPr>
                        <w:r>
                          <w:rPr>
                            <w:rFonts w:hint="default" w:ascii="Times New Roman" w:hAnsi="Times New Roman" w:cs="Times New Roman"/>
                            <w:b/>
                            <w:bCs/>
                            <w:color w:val="000000"/>
                            <w:sz w:val="18"/>
                            <w:szCs w:val="18"/>
                            <w:lang w:val="fr-FR"/>
                          </w:rPr>
                          <w:t>Répartition mensuelle</w:t>
                        </w:r>
                      </w:p>
                    </w:tc>
                  </w:tr>
                  <w:tr>
                    <w:tblPrEx>
                      <w:tblBorders>
                        <w:top w:val="single" w:color="92CDDC" w:sz="8" w:space="0"/>
                        <w:left w:val="none" w:color="auto" w:sz="0" w:space="0"/>
                        <w:bottom w:val="single" w:color="92CDDC"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1" w:hRule="atLeast"/>
                    </w:trPr>
                    <w:tc>
                      <w:tcPr>
                        <w:tcW w:w="1075" w:type="dxa"/>
                        <w:shd w:val="clear" w:color="auto" w:fill="FFFFFF"/>
                      </w:tcPr>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b/>
                            <w:bCs/>
                            <w:color w:val="000000"/>
                            <w:sz w:val="18"/>
                            <w:szCs w:val="18"/>
                          </w:rPr>
                        </w:pPr>
                      </w:p>
                    </w:tc>
                    <w:tc>
                      <w:tcPr>
                        <w:tcW w:w="1933" w:type="dxa"/>
                        <w:shd w:val="clear" w:color="auto" w:fill="FFFFFF"/>
                        <w:vAlign w:val="top"/>
                      </w:tcPr>
                      <w:p>
                        <w:pPr>
                          <w:spacing w:after="0" w:line="240" w:lineRule="auto"/>
                          <w:rPr>
                            <w:rFonts w:hint="default" w:ascii="Times New Roman" w:hAnsi="Times New Roman" w:cs="Times New Roman"/>
                            <w:b/>
                            <w:bCs/>
                            <w:color w:val="000000"/>
                            <w:sz w:val="18"/>
                            <w:szCs w:val="18"/>
                          </w:rPr>
                        </w:pPr>
                        <w:r>
                          <w:rPr>
                            <w:rFonts w:ascii="Times New Roman" w:hAnsi="Times New Roman" w:cs="Times New Roman"/>
                            <w:b/>
                            <w:bCs/>
                            <w:color w:val="000000" w:themeColor="text1" w:themeShade="BF"/>
                            <w:sz w:val="18"/>
                            <w:szCs w:val="18"/>
                            <w:lang w:val="en-US"/>
                          </w:rPr>
                          <w:t>Decembre</w:t>
                        </w:r>
                      </w:p>
                    </w:tc>
                    <w:tc>
                      <w:tcPr>
                        <w:tcW w:w="967" w:type="dxa"/>
                        <w:shd w:val="clear" w:color="auto" w:fill="FFFFFF"/>
                        <w:vAlign w:val="top"/>
                      </w:tcPr>
                      <w:p>
                        <w:pPr>
                          <w:spacing w:after="0" w:line="240" w:lineRule="auto"/>
                          <w:jc w:val="center"/>
                          <w:rPr>
                            <w:rFonts w:hint="default" w:ascii="Times New Roman" w:hAnsi="Times New Roman" w:cs="Times New Roman"/>
                            <w:color w:val="000000"/>
                            <w:sz w:val="18"/>
                            <w:szCs w:val="18"/>
                          </w:rPr>
                        </w:pPr>
                        <w:r>
                          <w:rPr>
                            <w:rFonts w:ascii="Times New Roman" w:hAnsi="Times New Roman" w:eastAsia="Times New Roman" w:cs="Times New Roman"/>
                            <w:color w:val="000000"/>
                            <w:sz w:val="18"/>
                            <w:szCs w:val="18"/>
                            <w:lang w:val="en-US"/>
                          </w:rPr>
                          <w:t>12</w:t>
                        </w:r>
                      </w:p>
                    </w:tc>
                    <w:tc>
                      <w:tcPr>
                        <w:tcW w:w="805" w:type="dxa"/>
                        <w:shd w:val="clear" w:color="auto" w:fill="FFFFFF"/>
                        <w:vAlign w:val="top"/>
                      </w:tcPr>
                      <w:p>
                        <w:pPr>
                          <w:spacing w:after="0" w:line="240" w:lineRule="auto"/>
                          <w:jc w:val="center"/>
                          <w:rPr>
                            <w:rFonts w:hint="default" w:ascii="Times New Roman" w:hAnsi="Times New Roman" w:cs="Times New Roman"/>
                            <w:color w:val="000000"/>
                            <w:sz w:val="18"/>
                            <w:szCs w:val="18"/>
                          </w:rPr>
                        </w:pPr>
                        <w:r>
                          <w:rPr>
                            <w:rFonts w:ascii="Times New Roman" w:hAnsi="Times New Roman" w:eastAsia="Times New Roman" w:cs="Times New Roman"/>
                            <w:color w:val="000000"/>
                            <w:sz w:val="18"/>
                            <w:szCs w:val="18"/>
                            <w:lang w:val="en-US"/>
                          </w:rPr>
                          <w:t>32.4</w:t>
                        </w:r>
                      </w:p>
                    </w:tc>
                  </w:tr>
                  <w:tr>
                    <w:tblPrEx>
                      <w:tblBorders>
                        <w:top w:val="single" w:color="92CDDC" w:sz="8" w:space="0"/>
                        <w:left w:val="none" w:color="auto" w:sz="0" w:space="0"/>
                        <w:bottom w:val="single" w:color="92CDDC"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3" w:hRule="atLeast"/>
                    </w:trPr>
                    <w:tc>
                      <w:tcPr>
                        <w:tcW w:w="1075" w:type="dxa"/>
                        <w:shd w:val="clear" w:color="auto" w:fill="DBE5F1"/>
                      </w:tcPr>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b/>
                            <w:bCs/>
                            <w:color w:val="000000"/>
                            <w:sz w:val="18"/>
                            <w:szCs w:val="18"/>
                          </w:rPr>
                        </w:pPr>
                      </w:p>
                    </w:tc>
                    <w:tc>
                      <w:tcPr>
                        <w:tcW w:w="1933" w:type="dxa"/>
                        <w:shd w:val="clear" w:color="auto" w:fill="DBE5F1"/>
                        <w:vAlign w:val="top"/>
                      </w:tcPr>
                      <w:p>
                        <w:pPr>
                          <w:spacing w:after="0" w:line="240" w:lineRule="auto"/>
                          <w:rPr>
                            <w:rFonts w:hint="default" w:ascii="Times New Roman" w:hAnsi="Times New Roman" w:cs="Times New Roman"/>
                            <w:b/>
                            <w:bCs/>
                            <w:color w:val="000000"/>
                            <w:sz w:val="18"/>
                            <w:szCs w:val="18"/>
                          </w:rPr>
                        </w:pPr>
                        <w:r>
                          <w:rPr>
                            <w:rFonts w:ascii="Times New Roman" w:hAnsi="Times New Roman" w:cs="Times New Roman"/>
                            <w:b/>
                            <w:bCs/>
                            <w:color w:val="000000" w:themeColor="text1" w:themeShade="BF"/>
                            <w:sz w:val="18"/>
                            <w:szCs w:val="18"/>
                            <w:lang w:val="en-US"/>
                          </w:rPr>
                          <w:t>Janvier</w:t>
                        </w:r>
                      </w:p>
                    </w:tc>
                    <w:tc>
                      <w:tcPr>
                        <w:tcW w:w="967" w:type="dxa"/>
                        <w:shd w:val="clear" w:color="auto" w:fill="DBE5F1"/>
                        <w:vAlign w:val="top"/>
                      </w:tcPr>
                      <w:p>
                        <w:pPr>
                          <w:spacing w:after="0" w:line="240" w:lineRule="auto"/>
                          <w:jc w:val="center"/>
                          <w:rPr>
                            <w:rFonts w:hint="default" w:ascii="Times New Roman" w:hAnsi="Times New Roman" w:cs="Times New Roman"/>
                            <w:color w:val="000000"/>
                            <w:sz w:val="18"/>
                            <w:szCs w:val="18"/>
                          </w:rPr>
                        </w:pPr>
                        <w:r>
                          <w:rPr>
                            <w:rFonts w:ascii="Times New Roman" w:hAnsi="Times New Roman" w:eastAsia="Times New Roman" w:cs="Times New Roman"/>
                            <w:color w:val="000000"/>
                            <w:sz w:val="18"/>
                            <w:szCs w:val="18"/>
                            <w:lang w:val="en-US"/>
                          </w:rPr>
                          <w:t>6</w:t>
                        </w:r>
                      </w:p>
                    </w:tc>
                    <w:tc>
                      <w:tcPr>
                        <w:tcW w:w="805" w:type="dxa"/>
                        <w:shd w:val="clear" w:color="auto" w:fill="DBE5F1"/>
                        <w:vAlign w:val="top"/>
                      </w:tcPr>
                      <w:p>
                        <w:pPr>
                          <w:spacing w:after="0" w:line="240" w:lineRule="auto"/>
                          <w:jc w:val="center"/>
                          <w:rPr>
                            <w:rFonts w:hint="default" w:ascii="Times New Roman" w:hAnsi="Times New Roman" w:cs="Times New Roman"/>
                            <w:color w:val="000000"/>
                            <w:sz w:val="18"/>
                            <w:szCs w:val="18"/>
                          </w:rPr>
                        </w:pPr>
                        <w:r>
                          <w:rPr>
                            <w:rFonts w:ascii="Times New Roman" w:hAnsi="Times New Roman" w:eastAsia="Times New Roman" w:cs="Times New Roman"/>
                            <w:color w:val="000000"/>
                            <w:sz w:val="18"/>
                            <w:szCs w:val="18"/>
                            <w:lang w:val="en-US"/>
                          </w:rPr>
                          <w:t>16.3</w:t>
                        </w:r>
                      </w:p>
                    </w:tc>
                  </w:tr>
                  <w:tr>
                    <w:tblPrEx>
                      <w:tblBorders>
                        <w:top w:val="single" w:color="92CDDC" w:sz="8" w:space="0"/>
                        <w:left w:val="none" w:color="auto" w:sz="0" w:space="0"/>
                        <w:bottom w:val="single" w:color="92CDDC"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3" w:hRule="atLeast"/>
                    </w:trPr>
                    <w:tc>
                      <w:tcPr>
                        <w:tcW w:w="1075" w:type="dxa"/>
                        <w:shd w:val="clear" w:color="auto" w:fill="DBE5F1"/>
                      </w:tcPr>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b/>
                            <w:bCs/>
                            <w:color w:val="000000"/>
                            <w:sz w:val="18"/>
                            <w:szCs w:val="18"/>
                          </w:rPr>
                        </w:pPr>
                      </w:p>
                    </w:tc>
                    <w:tc>
                      <w:tcPr>
                        <w:tcW w:w="1933" w:type="dxa"/>
                        <w:shd w:val="clear" w:color="auto" w:fill="DBE5F1"/>
                        <w:vAlign w:val="top"/>
                      </w:tcPr>
                      <w:p>
                        <w:pPr>
                          <w:spacing w:after="0" w:line="240" w:lineRule="auto"/>
                          <w:rPr>
                            <w:rFonts w:hint="default" w:ascii="Times New Roman" w:hAnsi="Times New Roman" w:cs="Times New Roman"/>
                            <w:b/>
                            <w:bCs/>
                            <w:color w:val="000000"/>
                            <w:sz w:val="18"/>
                            <w:szCs w:val="18"/>
                          </w:rPr>
                        </w:pPr>
                        <w:r>
                          <w:rPr>
                            <w:rFonts w:ascii="Times New Roman" w:hAnsi="Times New Roman" w:cs="Times New Roman"/>
                            <w:b/>
                            <w:bCs/>
                            <w:color w:val="000000" w:themeColor="text1" w:themeShade="BF"/>
                            <w:sz w:val="18"/>
                            <w:szCs w:val="18"/>
                            <w:lang w:val="en-US"/>
                          </w:rPr>
                          <w:t>Fevrier</w:t>
                        </w:r>
                      </w:p>
                    </w:tc>
                    <w:tc>
                      <w:tcPr>
                        <w:tcW w:w="967" w:type="dxa"/>
                        <w:shd w:val="clear" w:color="auto" w:fill="DBE5F1"/>
                        <w:vAlign w:val="top"/>
                      </w:tcPr>
                      <w:p>
                        <w:pPr>
                          <w:spacing w:after="0" w:line="240" w:lineRule="auto"/>
                          <w:jc w:val="center"/>
                          <w:rPr>
                            <w:rFonts w:hint="default" w:ascii="Times New Roman" w:hAnsi="Times New Roman" w:cs="Times New Roman"/>
                            <w:color w:val="000000"/>
                            <w:sz w:val="18"/>
                            <w:szCs w:val="18"/>
                          </w:rPr>
                        </w:pPr>
                        <w:r>
                          <w:rPr>
                            <w:rFonts w:ascii="Times New Roman" w:hAnsi="Times New Roman" w:eastAsia="Times New Roman" w:cs="Times New Roman"/>
                            <w:color w:val="000000"/>
                            <w:sz w:val="18"/>
                            <w:szCs w:val="18"/>
                            <w:lang w:val="en-US"/>
                          </w:rPr>
                          <w:t>10</w:t>
                        </w:r>
                      </w:p>
                    </w:tc>
                    <w:tc>
                      <w:tcPr>
                        <w:tcW w:w="805" w:type="dxa"/>
                        <w:shd w:val="clear" w:color="auto" w:fill="DBE5F1"/>
                        <w:vAlign w:val="top"/>
                      </w:tcPr>
                      <w:p>
                        <w:pPr>
                          <w:spacing w:after="0" w:line="240" w:lineRule="auto"/>
                          <w:jc w:val="center"/>
                          <w:rPr>
                            <w:rFonts w:hint="default" w:ascii="Times New Roman" w:hAnsi="Times New Roman" w:cs="Times New Roman"/>
                            <w:color w:val="000000"/>
                            <w:sz w:val="18"/>
                            <w:szCs w:val="18"/>
                          </w:rPr>
                        </w:pPr>
                        <w:r>
                          <w:rPr>
                            <w:rFonts w:ascii="Times New Roman" w:hAnsi="Times New Roman" w:eastAsia="Times New Roman" w:cs="Times New Roman"/>
                            <w:color w:val="000000"/>
                            <w:sz w:val="18"/>
                            <w:szCs w:val="18"/>
                            <w:lang w:val="en-US"/>
                          </w:rPr>
                          <w:t>27</w:t>
                        </w:r>
                      </w:p>
                    </w:tc>
                  </w:tr>
                  <w:tr>
                    <w:tblPrEx>
                      <w:tblBorders>
                        <w:top w:val="single" w:color="92CDDC" w:sz="8" w:space="0"/>
                        <w:left w:val="none" w:color="auto" w:sz="0" w:space="0"/>
                        <w:bottom w:val="single" w:color="92CDDC"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3" w:hRule="atLeast"/>
                    </w:trPr>
                    <w:tc>
                      <w:tcPr>
                        <w:tcW w:w="1075" w:type="dxa"/>
                        <w:shd w:val="clear" w:color="auto" w:fill="DBE5F1"/>
                      </w:tcPr>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b/>
                            <w:bCs/>
                            <w:color w:val="000000"/>
                            <w:sz w:val="18"/>
                            <w:szCs w:val="18"/>
                          </w:rPr>
                        </w:pPr>
                      </w:p>
                    </w:tc>
                    <w:tc>
                      <w:tcPr>
                        <w:tcW w:w="1933" w:type="dxa"/>
                        <w:shd w:val="clear" w:color="auto" w:fill="DBE5F1"/>
                        <w:vAlign w:val="top"/>
                      </w:tcPr>
                      <w:p>
                        <w:pPr>
                          <w:spacing w:after="0" w:line="240" w:lineRule="auto"/>
                          <w:rPr>
                            <w:rFonts w:hint="default" w:ascii="Times New Roman" w:hAnsi="Times New Roman" w:cs="Times New Roman"/>
                            <w:b/>
                            <w:bCs/>
                            <w:color w:val="000000"/>
                            <w:sz w:val="18"/>
                            <w:szCs w:val="18"/>
                          </w:rPr>
                        </w:pPr>
                        <w:r>
                          <w:rPr>
                            <w:rFonts w:ascii="Times New Roman" w:hAnsi="Times New Roman" w:cs="Times New Roman"/>
                            <w:b/>
                            <w:bCs/>
                            <w:color w:val="000000" w:themeColor="text1" w:themeShade="BF"/>
                            <w:sz w:val="18"/>
                            <w:szCs w:val="18"/>
                            <w:lang w:val="en-US"/>
                          </w:rPr>
                          <w:t>Mars</w:t>
                        </w:r>
                      </w:p>
                    </w:tc>
                    <w:tc>
                      <w:tcPr>
                        <w:tcW w:w="967" w:type="dxa"/>
                        <w:shd w:val="clear" w:color="auto" w:fill="DBE5F1"/>
                        <w:vAlign w:val="top"/>
                      </w:tcPr>
                      <w:p>
                        <w:pPr>
                          <w:spacing w:after="0" w:line="240" w:lineRule="auto"/>
                          <w:jc w:val="center"/>
                          <w:rPr>
                            <w:rFonts w:hint="default" w:ascii="Times New Roman" w:hAnsi="Times New Roman" w:cs="Times New Roman"/>
                            <w:color w:val="000000"/>
                            <w:sz w:val="18"/>
                            <w:szCs w:val="18"/>
                          </w:rPr>
                        </w:pPr>
                        <w:r>
                          <w:rPr>
                            <w:rFonts w:ascii="Times New Roman" w:hAnsi="Times New Roman" w:eastAsia="Times New Roman" w:cs="Times New Roman"/>
                            <w:color w:val="000000"/>
                            <w:sz w:val="18"/>
                            <w:szCs w:val="18"/>
                            <w:lang w:val="en-US"/>
                          </w:rPr>
                          <w:t>5</w:t>
                        </w:r>
                      </w:p>
                    </w:tc>
                    <w:tc>
                      <w:tcPr>
                        <w:tcW w:w="805" w:type="dxa"/>
                        <w:shd w:val="clear" w:color="auto" w:fill="DBE5F1"/>
                        <w:vAlign w:val="top"/>
                      </w:tcPr>
                      <w:p>
                        <w:pPr>
                          <w:spacing w:after="0" w:line="240" w:lineRule="auto"/>
                          <w:jc w:val="center"/>
                          <w:rPr>
                            <w:rFonts w:hint="default" w:ascii="Times New Roman" w:hAnsi="Times New Roman" w:cs="Times New Roman"/>
                            <w:color w:val="000000"/>
                            <w:sz w:val="18"/>
                            <w:szCs w:val="18"/>
                          </w:rPr>
                        </w:pPr>
                        <w:r>
                          <w:rPr>
                            <w:rFonts w:ascii="Times New Roman" w:hAnsi="Times New Roman" w:eastAsia="Times New Roman" w:cs="Times New Roman"/>
                            <w:color w:val="000000"/>
                            <w:sz w:val="18"/>
                            <w:szCs w:val="18"/>
                            <w:lang w:val="en-US"/>
                          </w:rPr>
                          <w:t>13.5</w:t>
                        </w:r>
                      </w:p>
                    </w:tc>
                  </w:tr>
                  <w:tr>
                    <w:tblPrEx>
                      <w:tblBorders>
                        <w:top w:val="single" w:color="92CDDC" w:sz="8" w:space="0"/>
                        <w:left w:val="none" w:color="auto" w:sz="0" w:space="0"/>
                        <w:bottom w:val="single" w:color="92CDDC"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3" w:hRule="atLeast"/>
                    </w:trPr>
                    <w:tc>
                      <w:tcPr>
                        <w:tcW w:w="1075" w:type="dxa"/>
                        <w:shd w:val="clear" w:color="auto" w:fill="DBE5F1"/>
                      </w:tcPr>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b/>
                            <w:bCs/>
                            <w:color w:val="000000"/>
                            <w:sz w:val="18"/>
                            <w:szCs w:val="18"/>
                          </w:rPr>
                        </w:pPr>
                      </w:p>
                    </w:tc>
                    <w:tc>
                      <w:tcPr>
                        <w:tcW w:w="1933" w:type="dxa"/>
                        <w:shd w:val="clear" w:color="auto" w:fill="DBE5F1"/>
                        <w:vAlign w:val="top"/>
                      </w:tcPr>
                      <w:p>
                        <w:pPr>
                          <w:spacing w:after="0" w:line="240" w:lineRule="auto"/>
                          <w:rPr>
                            <w:rFonts w:hint="default" w:ascii="Times New Roman" w:hAnsi="Times New Roman" w:cs="Times New Roman"/>
                            <w:b/>
                            <w:bCs/>
                            <w:color w:val="000000"/>
                            <w:sz w:val="18"/>
                            <w:szCs w:val="18"/>
                          </w:rPr>
                        </w:pPr>
                        <w:r>
                          <w:rPr>
                            <w:rFonts w:ascii="Times New Roman" w:hAnsi="Times New Roman" w:cs="Times New Roman"/>
                            <w:b/>
                            <w:bCs/>
                            <w:color w:val="000000" w:themeColor="text1" w:themeShade="BF"/>
                            <w:sz w:val="18"/>
                            <w:szCs w:val="18"/>
                            <w:lang w:val="en-US"/>
                          </w:rPr>
                          <w:t>Avril</w:t>
                        </w:r>
                      </w:p>
                    </w:tc>
                    <w:tc>
                      <w:tcPr>
                        <w:tcW w:w="967" w:type="dxa"/>
                        <w:shd w:val="clear" w:color="auto" w:fill="DBE5F1"/>
                        <w:vAlign w:val="top"/>
                      </w:tcPr>
                      <w:p>
                        <w:pPr>
                          <w:spacing w:after="0" w:line="240" w:lineRule="auto"/>
                          <w:jc w:val="center"/>
                          <w:rPr>
                            <w:rFonts w:hint="default" w:ascii="Times New Roman" w:hAnsi="Times New Roman" w:cs="Times New Roman"/>
                            <w:color w:val="000000"/>
                            <w:sz w:val="18"/>
                            <w:szCs w:val="18"/>
                          </w:rPr>
                        </w:pPr>
                        <w:r>
                          <w:rPr>
                            <w:rFonts w:ascii="Times New Roman" w:hAnsi="Times New Roman" w:eastAsia="Times New Roman" w:cs="Times New Roman"/>
                            <w:color w:val="000000"/>
                            <w:sz w:val="18"/>
                            <w:szCs w:val="18"/>
                            <w:lang w:val="en-US"/>
                          </w:rPr>
                          <w:t>4</w:t>
                        </w:r>
                      </w:p>
                    </w:tc>
                    <w:tc>
                      <w:tcPr>
                        <w:tcW w:w="805" w:type="dxa"/>
                        <w:shd w:val="clear" w:color="auto" w:fill="DBE5F1"/>
                        <w:vAlign w:val="top"/>
                      </w:tcPr>
                      <w:p>
                        <w:pPr>
                          <w:spacing w:after="0" w:line="240" w:lineRule="auto"/>
                          <w:jc w:val="center"/>
                          <w:rPr>
                            <w:rFonts w:hint="default" w:ascii="Times New Roman" w:hAnsi="Times New Roman" w:cs="Times New Roman"/>
                            <w:color w:val="000000"/>
                            <w:sz w:val="18"/>
                            <w:szCs w:val="18"/>
                          </w:rPr>
                        </w:pPr>
                        <w:r>
                          <w:rPr>
                            <w:rFonts w:ascii="Times New Roman" w:hAnsi="Times New Roman" w:eastAsia="Times New Roman" w:cs="Times New Roman"/>
                            <w:color w:val="000000"/>
                            <w:sz w:val="18"/>
                            <w:szCs w:val="18"/>
                            <w:lang w:val="en-US"/>
                          </w:rPr>
                          <w:t>10.8</w:t>
                        </w:r>
                      </w:p>
                    </w:tc>
                  </w:tr>
                </w:tbl>
                <w:p/>
              </w:txbxContent>
            </v:textbox>
          </v:shape>
        </w:pict>
      </w: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r>
        <w:rPr>
          <w:rFonts w:hint="default" w:ascii="Times New Roman" w:hAnsi="Times New Roman" w:cs="Times New Roman"/>
          <w:sz w:val="20"/>
        </w:rPr>
        <w:t xml:space="preserve">Les </w:t>
      </w:r>
      <w:r>
        <w:rPr>
          <w:rFonts w:hint="default" w:ascii="Times New Roman" w:hAnsi="Times New Roman" w:cs="Times New Roman"/>
          <w:sz w:val="20"/>
          <w:lang w:val="fr-FR"/>
        </w:rPr>
        <w:t>é</w:t>
      </w:r>
      <w:r>
        <w:rPr>
          <w:rFonts w:hint="default" w:ascii="Times New Roman" w:hAnsi="Times New Roman" w:cs="Times New Roman"/>
          <w:sz w:val="20"/>
        </w:rPr>
        <w:t>tiologies retrouvaient 35 (94,6%) de PPA par arme blanche contre 2 (5,4%) de plaies par arme à feu (Tableau II ).</w:t>
      </w: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r>
        <w:rPr>
          <w:rFonts w:hint="default" w:ascii="Times New Roman" w:hAnsi="Times New Roman" w:cs="Times New Roman"/>
          <w:sz w:val="20"/>
        </w:rPr>
        <w:t>La majorité des circonstances étaient repr</w:t>
      </w:r>
      <w:r>
        <w:rPr>
          <w:rFonts w:hint="default" w:ascii="Times New Roman" w:hAnsi="Times New Roman" w:cs="Times New Roman"/>
          <w:sz w:val="20"/>
          <w:lang w:val="fr-FR"/>
        </w:rPr>
        <w:t>é</w:t>
      </w:r>
      <w:r>
        <w:rPr>
          <w:rFonts w:hint="default" w:ascii="Times New Roman" w:hAnsi="Times New Roman" w:cs="Times New Roman"/>
          <w:sz w:val="20"/>
        </w:rPr>
        <w:t>sentée par des agressions avec 22 cas (59%) (Tableau II).</w:t>
      </w: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r>
        <w:rPr>
          <w:sz w:val="20"/>
        </w:rPr>
        <w:pict>
          <v:shape id="_x0000_s1034" o:spid="_x0000_s1034" o:spt="202" type="#_x0000_t202" style="position:absolute;left:0pt;margin-left:0.6pt;margin-top:-4.45pt;height:415.35pt;width:238.1pt;z-index:251662336;mso-width-relative:page;mso-height-relative:page;" fillcolor="#FFFFFF" filled="t" stroked="f" coordsize="21600,21600">
            <v:path/>
            <v:fill on="t" color2="#FFFFFF" focussize="0,0"/>
            <v:stroke on="f"/>
            <v:imagedata o:title=""/>
            <o:lock v:ext="edit" aspectratio="f"/>
            <v:textbox>
              <w:txbxContent>
                <w:tbl>
                  <w:tblPr>
                    <w:tblStyle w:val="23"/>
                    <w:tblW w:w="4581" w:type="dxa"/>
                    <w:tblInd w:w="0" w:type="dxa"/>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22"/>
                    <w:gridCol w:w="2184"/>
                    <w:gridCol w:w="650"/>
                    <w:gridCol w:w="625"/>
                  </w:tblGrid>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6" w:hRule="atLeast"/>
                    </w:trPr>
                    <w:tc>
                      <w:tcPr>
                        <w:tcW w:w="4581" w:type="dxa"/>
                        <w:gridSpan w:val="4"/>
                        <w:tcBorders>
                          <w:insideH w:val="single" w:sz="8" w:space="0"/>
                          <w:insideV w:val="nil"/>
                        </w:tcBorders>
                        <w:shd w:val="clear" w:color="auto" w:fill="DBE5F1"/>
                      </w:tcPr>
                      <w:p>
                        <w:pPr>
                          <w:pStyle w:val="5"/>
                          <w:keepNext/>
                          <w:keepLines w:val="0"/>
                          <w:pageBreakBefore w:val="0"/>
                          <w:widowControl/>
                          <w:kinsoku/>
                          <w:wordWrap/>
                          <w:overflowPunct/>
                          <w:topLinePunct w:val="0"/>
                          <w:autoSpaceDE/>
                          <w:autoSpaceDN/>
                          <w:bidi w:val="0"/>
                          <w:adjustRightInd/>
                          <w:snapToGrid/>
                          <w:spacing w:after="0"/>
                          <w:textAlignment w:val="auto"/>
                          <w:rPr>
                            <w:rFonts w:ascii="Times New Roman" w:hAnsi="Times New Roman" w:cs="Times New Roman"/>
                            <w:b/>
                            <w:bCs/>
                            <w:color w:val="000000"/>
                            <w:sz w:val="18"/>
                            <w:szCs w:val="18"/>
                            <w:lang w:val="en-US"/>
                          </w:rPr>
                        </w:pPr>
                        <w:r>
                          <w:rPr>
                            <w:rFonts w:hint="default" w:ascii="Times New Roman" w:hAnsi="Times New Roman" w:cs="Times New Roman"/>
                            <w:color w:val="000000"/>
                            <w:sz w:val="18"/>
                            <w:szCs w:val="18"/>
                            <w:u w:val="none"/>
                          </w:rPr>
                          <w:t>Table</w:t>
                        </w:r>
                        <w:r>
                          <w:rPr>
                            <w:rFonts w:hint="default" w:ascii="Times New Roman" w:hAnsi="Times New Roman" w:cs="Times New Roman"/>
                            <w:color w:val="000000"/>
                            <w:sz w:val="18"/>
                            <w:szCs w:val="18"/>
                            <w:u w:val="none"/>
                            <w:lang w:val="fr-FR"/>
                          </w:rPr>
                          <w:t xml:space="preserve">au </w:t>
                        </w:r>
                        <w:r>
                          <w:rPr>
                            <w:rFonts w:hint="default" w:ascii="Times New Roman" w:hAnsi="Times New Roman" w:cs="Times New Roman"/>
                            <w:color w:val="000000"/>
                            <w:sz w:val="18"/>
                            <w:szCs w:val="18"/>
                            <w:u w:val="none"/>
                          </w:rPr>
                          <w:t>II:</w:t>
                        </w:r>
                        <w:r>
                          <w:rPr>
                            <w:rFonts w:hint="default" w:ascii="Times New Roman" w:hAnsi="Times New Roman" w:cs="Times New Roman"/>
                            <w:color w:val="000000"/>
                            <w:sz w:val="18"/>
                            <w:szCs w:val="18"/>
                          </w:rPr>
                          <w:t xml:space="preserve"> </w:t>
                        </w:r>
                        <w:r>
                          <w:rPr>
                            <w:rFonts w:hint="default" w:ascii="Times New Roman" w:hAnsi="Times New Roman" w:cs="Times New Roman"/>
                            <w:color w:val="000000"/>
                            <w:sz w:val="18"/>
                            <w:szCs w:val="18"/>
                            <w:lang w:val="fr-FR"/>
                          </w:rPr>
                          <w:t>C</w:t>
                        </w:r>
                        <w:r>
                          <w:rPr>
                            <w:rFonts w:hint="default" w:ascii="Times New Roman" w:hAnsi="Times New Roman" w:cs="Times New Roman"/>
                            <w:color w:val="000000"/>
                            <w:sz w:val="18"/>
                            <w:szCs w:val="18"/>
                          </w:rPr>
                          <w:t>aractéristiques clinique</w:t>
                        </w:r>
                        <w:r>
                          <w:rPr>
                            <w:rFonts w:hint="default" w:ascii="Times New Roman" w:hAnsi="Times New Roman" w:cs="Times New Roman"/>
                            <w:color w:val="000000"/>
                            <w:sz w:val="18"/>
                            <w:szCs w:val="18"/>
                            <w:lang w:val="fr-FR"/>
                          </w:rPr>
                          <w:t>s et</w:t>
                        </w:r>
                        <w:r>
                          <w:rPr>
                            <w:rFonts w:hint="default" w:ascii="Times New Roman" w:hAnsi="Times New Roman" w:cs="Times New Roman"/>
                            <w:color w:val="000000"/>
                            <w:sz w:val="18"/>
                            <w:szCs w:val="18"/>
                          </w:rPr>
                          <w:t xml:space="preserve"> paraclinique</w:t>
                        </w:r>
                        <w:r>
                          <w:rPr>
                            <w:rFonts w:hint="default" w:ascii="Times New Roman" w:hAnsi="Times New Roman" w:cs="Times New Roman"/>
                            <w:color w:val="000000"/>
                            <w:sz w:val="18"/>
                            <w:szCs w:val="18"/>
                            <w:lang w:val="fr-FR"/>
                          </w:rPr>
                          <w:t xml:space="preserve">s </w:t>
                        </w:r>
                        <w:r>
                          <w:rPr>
                            <w:rFonts w:hint="default" w:ascii="Times New Roman" w:hAnsi="Times New Roman" w:cs="Times New Roman"/>
                            <w:color w:val="000000"/>
                            <w:sz w:val="18"/>
                            <w:szCs w:val="18"/>
                          </w:rPr>
                          <w:t>des patients</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1" w:hRule="atLeast"/>
                    </w:trPr>
                    <w:tc>
                      <w:tcPr>
                        <w:tcW w:w="3306" w:type="dxa"/>
                        <w:gridSpan w:val="2"/>
                        <w:tcBorders>
                          <w:insideH w:val="single" w:sz="8" w:space="0"/>
                          <w:insideV w:val="nil"/>
                        </w:tcBorders>
                        <w:shd w:val="clear" w:color="auto" w:fill="FFFFFF"/>
                      </w:tcPr>
                      <w:p>
                        <w:pPr>
                          <w:spacing w:before="0" w:after="0" w:line="240" w:lineRule="auto"/>
                          <w:rPr>
                            <w:rFonts w:ascii="Times New Roman" w:hAnsi="Times New Roman" w:cs="Times New Roman"/>
                            <w:b w:val="0"/>
                            <w:bCs/>
                            <w:color w:val="000000" w:themeColor="text1" w:themeShade="BF"/>
                            <w:sz w:val="18"/>
                            <w:szCs w:val="18"/>
                            <w:lang w:val="en-US"/>
                          </w:rPr>
                        </w:pPr>
                        <w:r>
                          <w:rPr>
                            <w:rFonts w:hint="default" w:ascii="Times New Roman" w:hAnsi="Times New Roman" w:cs="Times New Roman"/>
                            <w:b/>
                            <w:bCs/>
                            <w:color w:val="000000" w:themeColor="text1" w:themeShade="BF"/>
                            <w:sz w:val="18"/>
                            <w:szCs w:val="18"/>
                            <w:lang w:val="fr-FR"/>
                          </w:rPr>
                          <w:t>Caractéristiques cliniques</w:t>
                        </w:r>
                      </w:p>
                    </w:tc>
                    <w:tc>
                      <w:tcPr>
                        <w:tcW w:w="650" w:type="dxa"/>
                        <w:tcBorders>
                          <w:insideH w:val="single" w:sz="8" w:space="0"/>
                          <w:insideV w:val="nil"/>
                        </w:tcBorders>
                        <w:shd w:val="clear" w:color="auto" w:fill="FFFFFF"/>
                      </w:tcPr>
                      <w:p>
                        <w:pPr>
                          <w:spacing w:before="0" w:after="0" w:line="240" w:lineRule="auto"/>
                          <w:jc w:val="center"/>
                          <w:rPr>
                            <w:rFonts w:ascii="Times New Roman" w:hAnsi="Times New Roman" w:cs="Times New Roman"/>
                            <w:b w:val="0"/>
                            <w:bCs/>
                            <w:color w:val="000000" w:themeColor="text1" w:themeShade="BF"/>
                            <w:sz w:val="18"/>
                            <w:szCs w:val="18"/>
                            <w:lang w:val="en-US"/>
                          </w:rPr>
                        </w:pPr>
                        <w:r>
                          <w:rPr>
                            <w:rFonts w:ascii="Times New Roman" w:hAnsi="Times New Roman" w:cs="Times New Roman"/>
                            <w:b/>
                            <w:bCs/>
                            <w:color w:val="000000" w:themeColor="text1" w:themeShade="BF"/>
                            <w:sz w:val="18"/>
                            <w:szCs w:val="18"/>
                            <w:lang w:val="en-US"/>
                          </w:rPr>
                          <w:t>n</w:t>
                        </w:r>
                      </w:p>
                    </w:tc>
                    <w:tc>
                      <w:tcPr>
                        <w:tcW w:w="625" w:type="dxa"/>
                        <w:tcBorders>
                          <w:insideH w:val="single" w:sz="8" w:space="0"/>
                          <w:insideV w:val="nil"/>
                        </w:tcBorders>
                        <w:shd w:val="clear" w:color="auto" w:fill="FFFFFF"/>
                      </w:tcPr>
                      <w:p>
                        <w:pPr>
                          <w:spacing w:before="0" w:after="0" w:line="240" w:lineRule="auto"/>
                          <w:jc w:val="center"/>
                          <w:rPr>
                            <w:rFonts w:ascii="Times New Roman" w:hAnsi="Times New Roman" w:cs="Times New Roman"/>
                            <w:b w:val="0"/>
                            <w:bCs/>
                            <w:color w:val="000000" w:themeColor="text1" w:themeShade="BF"/>
                            <w:sz w:val="18"/>
                            <w:szCs w:val="18"/>
                            <w:lang w:val="en-US"/>
                          </w:rPr>
                        </w:pPr>
                        <w:r>
                          <w:rPr>
                            <w:rFonts w:ascii="Times New Roman" w:hAnsi="Times New Roman" w:cs="Times New Roman"/>
                            <w:b/>
                            <w:bCs/>
                            <w:color w:val="000000" w:themeColor="text1" w:themeShade="BF"/>
                            <w:sz w:val="18"/>
                            <w:szCs w:val="18"/>
                            <w:lang w:val="en-US"/>
                          </w:rPr>
                          <w:t>%</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1" w:hRule="atLeast"/>
                    </w:trPr>
                    <w:tc>
                      <w:tcPr>
                        <w:tcW w:w="4581" w:type="dxa"/>
                        <w:gridSpan w:val="4"/>
                        <w:tcBorders>
                          <w:insideV w:val="nil"/>
                        </w:tcBorders>
                        <w:shd w:val="clear" w:color="auto" w:fill="DBE5F1"/>
                      </w:tcPr>
                      <w:p>
                        <w:pPr>
                          <w:spacing w:after="0" w:line="240" w:lineRule="auto"/>
                          <w:rPr>
                            <w:rFonts w:hint="default" w:ascii="Times New Roman" w:hAnsi="Times New Roman" w:cs="Times New Roman"/>
                            <w:b w:val="0"/>
                            <w:bCs/>
                            <w:color w:val="000000" w:themeColor="text1" w:themeShade="BF"/>
                            <w:sz w:val="18"/>
                            <w:szCs w:val="18"/>
                            <w:lang w:val="fr-FR"/>
                          </w:rPr>
                        </w:pPr>
                        <w:r>
                          <w:rPr>
                            <w:rFonts w:ascii="Times New Roman" w:hAnsi="Times New Roman" w:cs="Times New Roman"/>
                            <w:b/>
                            <w:bCs/>
                            <w:color w:val="000000" w:themeColor="text1" w:themeShade="BF"/>
                            <w:sz w:val="18"/>
                            <w:szCs w:val="18"/>
                            <w:lang w:val="fr-FR"/>
                          </w:rPr>
                          <w:t>Mécanisme</w:t>
                        </w:r>
                        <w:r>
                          <w:rPr>
                            <w:rFonts w:ascii="Times New Roman" w:hAnsi="Times New Roman" w:cs="Times New Roman"/>
                            <w:b/>
                            <w:bCs/>
                            <w:color w:val="000000" w:themeColor="text1" w:themeShade="BF"/>
                            <w:sz w:val="18"/>
                            <w:szCs w:val="18"/>
                            <w:lang w:val="en-US"/>
                          </w:rPr>
                          <w:t xml:space="preserve"> </w:t>
                        </w:r>
                        <w:r>
                          <w:rPr>
                            <w:rFonts w:ascii="Times New Roman" w:hAnsi="Times New Roman" w:cs="Times New Roman"/>
                            <w:b/>
                            <w:bCs/>
                            <w:color w:val="000000" w:themeColor="text1" w:themeShade="BF"/>
                            <w:sz w:val="18"/>
                            <w:szCs w:val="18"/>
                            <w:lang w:val="fr-FR"/>
                          </w:rPr>
                          <w:t>lésionnel</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7" w:hRule="atLeast"/>
                    </w:trPr>
                    <w:tc>
                      <w:tcPr>
                        <w:tcW w:w="1122" w:type="dxa"/>
                        <w:vMerge w:val="restart"/>
                        <w:shd w:val="clear" w:color="auto" w:fill="FFFFFF"/>
                      </w:tcPr>
                      <w:p>
                        <w:pPr>
                          <w:spacing w:after="0" w:line="240" w:lineRule="auto"/>
                          <w:rPr>
                            <w:rFonts w:ascii="Times New Roman" w:hAnsi="Times New Roman" w:cs="Times New Roman"/>
                            <w:b w:val="0"/>
                            <w:bCs/>
                            <w:color w:val="000000" w:themeColor="text1" w:themeShade="BF"/>
                            <w:sz w:val="18"/>
                            <w:szCs w:val="18"/>
                            <w:lang w:val="en-US"/>
                          </w:rPr>
                        </w:pPr>
                        <w:r>
                          <w:rPr>
                            <w:rFonts w:ascii="Times New Roman" w:hAnsi="Times New Roman" w:cs="Times New Roman"/>
                            <w:b/>
                            <w:bCs/>
                            <w:color w:val="000000" w:themeColor="text1" w:themeShade="BF"/>
                            <w:sz w:val="18"/>
                            <w:szCs w:val="18"/>
                            <w:lang w:val="en-US"/>
                          </w:rPr>
                          <w:t>Arme blanche</w:t>
                        </w:r>
                      </w:p>
                    </w:tc>
                    <w:tc>
                      <w:tcPr>
                        <w:tcW w:w="2184" w:type="dxa"/>
                        <w:shd w:val="clear" w:color="auto" w:fill="FFFFFF"/>
                      </w:tcPr>
                      <w:p>
                        <w:pPr>
                          <w:spacing w:after="0" w:line="240" w:lineRule="auto"/>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Agressions</w:t>
                        </w:r>
                      </w:p>
                    </w:tc>
                    <w:tc>
                      <w:tcPr>
                        <w:tcW w:w="650" w:type="dxa"/>
                        <w:shd w:val="clear" w:color="auto" w:fill="FFFFFF"/>
                      </w:tcPr>
                      <w:p>
                        <w:pPr>
                          <w:spacing w:after="0" w:line="240" w:lineRule="auto"/>
                          <w:jc w:val="center"/>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22</w:t>
                        </w:r>
                      </w:p>
                    </w:tc>
                    <w:tc>
                      <w:tcPr>
                        <w:tcW w:w="625" w:type="dxa"/>
                        <w:shd w:val="clear" w:color="auto" w:fill="FFFFFF"/>
                      </w:tcPr>
                      <w:p>
                        <w:pPr>
                          <w:spacing w:after="0" w:line="240" w:lineRule="auto"/>
                          <w:jc w:val="center"/>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59.4</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8" w:hRule="atLeast"/>
                    </w:trPr>
                    <w:tc>
                      <w:tcPr>
                        <w:tcW w:w="1122" w:type="dxa"/>
                        <w:vMerge w:val="continue"/>
                        <w:tcBorders>
                          <w:insideV w:val="nil"/>
                        </w:tcBorders>
                        <w:shd w:val="clear" w:color="auto" w:fill="DBE5F1"/>
                      </w:tcPr>
                      <w:p>
                        <w:pPr>
                          <w:spacing w:after="0" w:line="240" w:lineRule="auto"/>
                          <w:rPr>
                            <w:rFonts w:ascii="Times New Roman" w:hAnsi="Times New Roman" w:cs="Times New Roman"/>
                            <w:b w:val="0"/>
                            <w:bCs/>
                            <w:color w:val="000000" w:themeColor="text1" w:themeShade="BF"/>
                            <w:sz w:val="18"/>
                            <w:szCs w:val="18"/>
                            <w:lang w:val="en-US"/>
                          </w:rPr>
                        </w:pPr>
                      </w:p>
                    </w:tc>
                    <w:tc>
                      <w:tcPr>
                        <w:tcW w:w="2184" w:type="dxa"/>
                        <w:tcBorders>
                          <w:insideV w:val="nil"/>
                        </w:tcBorders>
                        <w:shd w:val="clear" w:color="auto" w:fill="DBE5F1"/>
                      </w:tcPr>
                      <w:p>
                        <w:pPr>
                          <w:spacing w:after="0" w:line="240" w:lineRule="auto"/>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AVP</w:t>
                        </w:r>
                      </w:p>
                    </w:tc>
                    <w:tc>
                      <w:tcPr>
                        <w:tcW w:w="650" w:type="dxa"/>
                        <w:tcBorders>
                          <w:insideV w:val="nil"/>
                        </w:tcBorders>
                        <w:shd w:val="clear" w:color="auto" w:fill="DBE5F1"/>
                      </w:tcPr>
                      <w:p>
                        <w:pPr>
                          <w:spacing w:after="0" w:line="240" w:lineRule="auto"/>
                          <w:jc w:val="center"/>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3</w:t>
                        </w:r>
                      </w:p>
                    </w:tc>
                    <w:tc>
                      <w:tcPr>
                        <w:tcW w:w="625" w:type="dxa"/>
                        <w:tcBorders>
                          <w:insideV w:val="nil"/>
                        </w:tcBorders>
                        <w:shd w:val="clear" w:color="auto" w:fill="DBE5F1"/>
                      </w:tcPr>
                      <w:p>
                        <w:pPr>
                          <w:spacing w:after="0" w:line="240" w:lineRule="auto"/>
                          <w:jc w:val="center"/>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8.1</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1" w:hRule="atLeast"/>
                    </w:trPr>
                    <w:tc>
                      <w:tcPr>
                        <w:tcW w:w="1122" w:type="dxa"/>
                        <w:vMerge w:val="continue"/>
                        <w:shd w:val="clear" w:color="auto" w:fill="FFFFFF"/>
                      </w:tcPr>
                      <w:p>
                        <w:pPr>
                          <w:spacing w:after="0" w:line="240" w:lineRule="auto"/>
                          <w:rPr>
                            <w:rFonts w:ascii="Times New Roman" w:hAnsi="Times New Roman" w:cs="Times New Roman"/>
                            <w:b w:val="0"/>
                            <w:bCs/>
                            <w:color w:val="000000" w:themeColor="text1" w:themeShade="BF"/>
                            <w:sz w:val="18"/>
                            <w:szCs w:val="18"/>
                            <w:lang w:val="en-US"/>
                          </w:rPr>
                        </w:pPr>
                      </w:p>
                    </w:tc>
                    <w:tc>
                      <w:tcPr>
                        <w:tcW w:w="2184" w:type="dxa"/>
                        <w:shd w:val="clear" w:color="auto" w:fill="FFFFFF"/>
                      </w:tcPr>
                      <w:p>
                        <w:pPr>
                          <w:spacing w:after="0" w:line="240" w:lineRule="auto"/>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Emp</w:t>
                        </w:r>
                        <w:r>
                          <w:rPr>
                            <w:rFonts w:hint="default" w:ascii="Times New Roman" w:hAnsi="Times New Roman" w:cs="Times New Roman"/>
                            <w:color w:val="000000" w:themeColor="text1" w:themeShade="BF"/>
                            <w:sz w:val="18"/>
                            <w:szCs w:val="18"/>
                            <w:lang w:val="fr-FR"/>
                          </w:rPr>
                          <w:t>â</w:t>
                        </w:r>
                        <w:r>
                          <w:rPr>
                            <w:rFonts w:ascii="Times New Roman" w:hAnsi="Times New Roman" w:cs="Times New Roman"/>
                            <w:color w:val="000000" w:themeColor="text1" w:themeShade="BF"/>
                            <w:sz w:val="18"/>
                            <w:szCs w:val="18"/>
                            <w:lang w:val="en-US"/>
                          </w:rPr>
                          <w:t>tement</w:t>
                        </w:r>
                      </w:p>
                    </w:tc>
                    <w:tc>
                      <w:tcPr>
                        <w:tcW w:w="650" w:type="dxa"/>
                        <w:shd w:val="clear" w:color="auto" w:fill="FFFFFF"/>
                      </w:tcPr>
                      <w:p>
                        <w:pPr>
                          <w:spacing w:after="0" w:line="240" w:lineRule="auto"/>
                          <w:jc w:val="center"/>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3</w:t>
                        </w:r>
                      </w:p>
                    </w:tc>
                    <w:tc>
                      <w:tcPr>
                        <w:tcW w:w="625" w:type="dxa"/>
                        <w:shd w:val="clear" w:color="auto" w:fill="FFFFFF"/>
                      </w:tcPr>
                      <w:p>
                        <w:pPr>
                          <w:spacing w:after="0" w:line="240" w:lineRule="auto"/>
                          <w:jc w:val="center"/>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8.1</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1" w:hRule="atLeast"/>
                    </w:trPr>
                    <w:tc>
                      <w:tcPr>
                        <w:tcW w:w="1122" w:type="dxa"/>
                        <w:vMerge w:val="continue"/>
                        <w:tcBorders>
                          <w:insideV w:val="nil"/>
                        </w:tcBorders>
                        <w:shd w:val="clear" w:color="auto" w:fill="DBE5F1"/>
                      </w:tcPr>
                      <w:p>
                        <w:pPr>
                          <w:spacing w:after="0" w:line="240" w:lineRule="auto"/>
                          <w:rPr>
                            <w:rFonts w:ascii="Times New Roman" w:hAnsi="Times New Roman" w:cs="Times New Roman"/>
                            <w:b w:val="0"/>
                            <w:bCs/>
                            <w:color w:val="000000" w:themeColor="text1" w:themeShade="BF"/>
                            <w:sz w:val="18"/>
                            <w:szCs w:val="18"/>
                            <w:lang w:val="en-US"/>
                          </w:rPr>
                        </w:pPr>
                      </w:p>
                    </w:tc>
                    <w:tc>
                      <w:tcPr>
                        <w:tcW w:w="2184" w:type="dxa"/>
                        <w:tcBorders>
                          <w:insideV w:val="nil"/>
                        </w:tcBorders>
                        <w:shd w:val="clear" w:color="auto" w:fill="DBE5F1"/>
                      </w:tcPr>
                      <w:p>
                        <w:pPr>
                          <w:spacing w:after="0" w:line="240" w:lineRule="auto"/>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 xml:space="preserve">Accident </w:t>
                        </w:r>
                        <w:r>
                          <w:rPr>
                            <w:rFonts w:hint="default" w:ascii="Times New Roman" w:hAnsi="Times New Roman" w:cs="Times New Roman"/>
                            <w:color w:val="000000" w:themeColor="text1" w:themeShade="BF"/>
                            <w:sz w:val="18"/>
                            <w:szCs w:val="18"/>
                            <w:lang w:val="fr-FR"/>
                          </w:rPr>
                          <w:t xml:space="preserve">de </w:t>
                        </w:r>
                        <w:r>
                          <w:rPr>
                            <w:rFonts w:ascii="Times New Roman" w:hAnsi="Times New Roman" w:cs="Times New Roman"/>
                            <w:color w:val="000000" w:themeColor="text1" w:themeShade="BF"/>
                            <w:sz w:val="18"/>
                            <w:szCs w:val="18"/>
                            <w:lang w:val="en-US"/>
                          </w:rPr>
                          <w:t>jeux</w:t>
                        </w:r>
                      </w:p>
                    </w:tc>
                    <w:tc>
                      <w:tcPr>
                        <w:tcW w:w="650" w:type="dxa"/>
                        <w:tcBorders>
                          <w:insideV w:val="nil"/>
                        </w:tcBorders>
                        <w:shd w:val="clear" w:color="auto" w:fill="DBE5F1"/>
                      </w:tcPr>
                      <w:p>
                        <w:pPr>
                          <w:spacing w:after="0" w:line="240" w:lineRule="auto"/>
                          <w:jc w:val="center"/>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3</w:t>
                        </w:r>
                      </w:p>
                    </w:tc>
                    <w:tc>
                      <w:tcPr>
                        <w:tcW w:w="625" w:type="dxa"/>
                        <w:tcBorders>
                          <w:insideV w:val="nil"/>
                        </w:tcBorders>
                        <w:shd w:val="clear" w:color="auto" w:fill="DBE5F1"/>
                      </w:tcPr>
                      <w:p>
                        <w:pPr>
                          <w:spacing w:after="0" w:line="240" w:lineRule="auto"/>
                          <w:jc w:val="center"/>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8.1</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6" w:hRule="atLeast"/>
                    </w:trPr>
                    <w:tc>
                      <w:tcPr>
                        <w:tcW w:w="1122" w:type="dxa"/>
                        <w:vMerge w:val="continue"/>
                        <w:shd w:val="clear" w:color="auto" w:fill="FFFFFF"/>
                      </w:tcPr>
                      <w:p>
                        <w:pPr>
                          <w:spacing w:after="0" w:line="240" w:lineRule="auto"/>
                          <w:rPr>
                            <w:rFonts w:ascii="Times New Roman" w:hAnsi="Times New Roman" w:cs="Times New Roman"/>
                            <w:b w:val="0"/>
                            <w:bCs/>
                            <w:color w:val="000000" w:themeColor="text1" w:themeShade="BF"/>
                            <w:sz w:val="18"/>
                            <w:szCs w:val="18"/>
                            <w:lang w:val="en-US"/>
                          </w:rPr>
                        </w:pPr>
                      </w:p>
                    </w:tc>
                    <w:tc>
                      <w:tcPr>
                        <w:tcW w:w="2184" w:type="dxa"/>
                        <w:shd w:val="clear" w:color="auto" w:fill="FFFFFF"/>
                      </w:tcPr>
                      <w:p>
                        <w:pPr>
                          <w:spacing w:after="0" w:line="240" w:lineRule="auto"/>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Accident de travail</w:t>
                        </w:r>
                      </w:p>
                    </w:tc>
                    <w:tc>
                      <w:tcPr>
                        <w:tcW w:w="650" w:type="dxa"/>
                        <w:shd w:val="clear" w:color="auto" w:fill="FFFFFF"/>
                      </w:tcPr>
                      <w:p>
                        <w:pPr>
                          <w:spacing w:after="0" w:line="240" w:lineRule="auto"/>
                          <w:jc w:val="center"/>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2</w:t>
                        </w:r>
                      </w:p>
                    </w:tc>
                    <w:tc>
                      <w:tcPr>
                        <w:tcW w:w="625" w:type="dxa"/>
                        <w:shd w:val="clear" w:color="auto" w:fill="FFFFFF"/>
                      </w:tcPr>
                      <w:p>
                        <w:pPr>
                          <w:spacing w:after="0" w:line="240" w:lineRule="auto"/>
                          <w:jc w:val="center"/>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5.4</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43" w:hRule="atLeast"/>
                    </w:trPr>
                    <w:tc>
                      <w:tcPr>
                        <w:tcW w:w="1122" w:type="dxa"/>
                        <w:vMerge w:val="continue"/>
                        <w:tcBorders>
                          <w:insideV w:val="nil"/>
                        </w:tcBorders>
                        <w:shd w:val="clear" w:color="auto" w:fill="DBE5F1"/>
                      </w:tcPr>
                      <w:p>
                        <w:pPr>
                          <w:spacing w:after="0" w:line="240" w:lineRule="auto"/>
                          <w:rPr>
                            <w:rFonts w:ascii="Times New Roman" w:hAnsi="Times New Roman" w:cs="Times New Roman"/>
                            <w:b w:val="0"/>
                            <w:bCs/>
                            <w:color w:val="000000" w:themeColor="text1" w:themeShade="BF"/>
                            <w:sz w:val="18"/>
                            <w:szCs w:val="18"/>
                            <w:lang w:val="en-US"/>
                          </w:rPr>
                        </w:pPr>
                      </w:p>
                    </w:tc>
                    <w:tc>
                      <w:tcPr>
                        <w:tcW w:w="2184" w:type="dxa"/>
                        <w:tcBorders>
                          <w:insideV w:val="nil"/>
                        </w:tcBorders>
                        <w:shd w:val="clear" w:color="auto" w:fill="DBE5F1"/>
                      </w:tcPr>
                      <w:p>
                        <w:pPr>
                          <w:spacing w:after="0" w:line="240" w:lineRule="auto"/>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Tentative d’autolyse</w:t>
                        </w:r>
                      </w:p>
                    </w:tc>
                    <w:tc>
                      <w:tcPr>
                        <w:tcW w:w="650" w:type="dxa"/>
                        <w:tcBorders>
                          <w:insideV w:val="nil"/>
                        </w:tcBorders>
                        <w:shd w:val="clear" w:color="auto" w:fill="DBE5F1"/>
                      </w:tcPr>
                      <w:p>
                        <w:pPr>
                          <w:spacing w:after="0" w:line="240" w:lineRule="auto"/>
                          <w:jc w:val="center"/>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1</w:t>
                        </w:r>
                      </w:p>
                    </w:tc>
                    <w:tc>
                      <w:tcPr>
                        <w:tcW w:w="625" w:type="dxa"/>
                        <w:tcBorders>
                          <w:insideV w:val="nil"/>
                        </w:tcBorders>
                        <w:shd w:val="clear" w:color="auto" w:fill="DBE5F1"/>
                      </w:tcPr>
                      <w:p>
                        <w:pPr>
                          <w:spacing w:after="0" w:line="240" w:lineRule="auto"/>
                          <w:jc w:val="center"/>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2.7</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6" w:hRule="atLeast"/>
                    </w:trPr>
                    <w:tc>
                      <w:tcPr>
                        <w:tcW w:w="1122" w:type="dxa"/>
                        <w:vMerge w:val="continue"/>
                        <w:shd w:val="clear" w:color="auto" w:fill="FFFFFF"/>
                      </w:tcPr>
                      <w:p>
                        <w:pPr>
                          <w:spacing w:after="0" w:line="240" w:lineRule="auto"/>
                          <w:rPr>
                            <w:rFonts w:ascii="Times New Roman" w:hAnsi="Times New Roman" w:cs="Times New Roman"/>
                            <w:b w:val="0"/>
                            <w:bCs/>
                            <w:color w:val="000000" w:themeColor="text1" w:themeShade="BF"/>
                            <w:sz w:val="18"/>
                            <w:szCs w:val="18"/>
                            <w:lang w:val="en-US"/>
                          </w:rPr>
                        </w:pPr>
                      </w:p>
                    </w:tc>
                    <w:tc>
                      <w:tcPr>
                        <w:tcW w:w="2184" w:type="dxa"/>
                        <w:shd w:val="clear" w:color="auto" w:fill="FFFFFF"/>
                      </w:tcPr>
                      <w:p>
                        <w:pPr>
                          <w:spacing w:after="0" w:line="240" w:lineRule="auto"/>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Accident de purge</w:t>
                        </w:r>
                      </w:p>
                    </w:tc>
                    <w:tc>
                      <w:tcPr>
                        <w:tcW w:w="650" w:type="dxa"/>
                        <w:shd w:val="clear" w:color="auto" w:fill="FFFFFF"/>
                      </w:tcPr>
                      <w:p>
                        <w:pPr>
                          <w:spacing w:after="0" w:line="240" w:lineRule="auto"/>
                          <w:jc w:val="center"/>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1</w:t>
                        </w:r>
                      </w:p>
                    </w:tc>
                    <w:tc>
                      <w:tcPr>
                        <w:tcW w:w="625" w:type="dxa"/>
                        <w:shd w:val="clear" w:color="auto" w:fill="FFFFFF"/>
                      </w:tcPr>
                      <w:p>
                        <w:pPr>
                          <w:spacing w:after="0" w:line="240" w:lineRule="auto"/>
                          <w:jc w:val="center"/>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2.7</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1" w:hRule="atLeast"/>
                    </w:trPr>
                    <w:tc>
                      <w:tcPr>
                        <w:tcW w:w="1122" w:type="dxa"/>
                        <w:vMerge w:val="restart"/>
                        <w:shd w:val="clear" w:color="auto" w:fill="DBE5F1"/>
                      </w:tcPr>
                      <w:p>
                        <w:pPr>
                          <w:spacing w:after="0" w:line="240" w:lineRule="auto"/>
                          <w:rPr>
                            <w:rFonts w:ascii="Times New Roman" w:hAnsi="Times New Roman" w:cs="Times New Roman"/>
                            <w:b w:val="0"/>
                            <w:bCs/>
                            <w:color w:val="000000" w:themeColor="text1" w:themeShade="BF"/>
                            <w:sz w:val="18"/>
                            <w:szCs w:val="18"/>
                            <w:lang w:val="en-US"/>
                          </w:rPr>
                        </w:pPr>
                        <w:r>
                          <w:rPr>
                            <w:rFonts w:ascii="Times New Roman" w:hAnsi="Times New Roman" w:cs="Times New Roman"/>
                            <w:b/>
                            <w:bCs/>
                            <w:color w:val="000000" w:themeColor="text1" w:themeShade="BF"/>
                            <w:sz w:val="18"/>
                            <w:szCs w:val="18"/>
                            <w:lang w:val="en-US"/>
                          </w:rPr>
                          <w:t>Arme à feu</w:t>
                        </w:r>
                      </w:p>
                    </w:tc>
                    <w:tc>
                      <w:tcPr>
                        <w:tcW w:w="2184" w:type="dxa"/>
                        <w:shd w:val="clear" w:color="auto" w:fill="DBE5F1"/>
                      </w:tcPr>
                      <w:p>
                        <w:pPr>
                          <w:spacing w:after="0" w:line="240" w:lineRule="auto"/>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Accident de travail</w:t>
                        </w:r>
                      </w:p>
                    </w:tc>
                    <w:tc>
                      <w:tcPr>
                        <w:tcW w:w="650" w:type="dxa"/>
                        <w:shd w:val="clear" w:color="auto" w:fill="DBE5F1"/>
                      </w:tcPr>
                      <w:p>
                        <w:pPr>
                          <w:spacing w:after="0" w:line="240" w:lineRule="auto"/>
                          <w:jc w:val="center"/>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1</w:t>
                        </w:r>
                      </w:p>
                    </w:tc>
                    <w:tc>
                      <w:tcPr>
                        <w:tcW w:w="625" w:type="dxa"/>
                        <w:shd w:val="clear" w:color="auto" w:fill="DBE5F1"/>
                      </w:tcPr>
                      <w:p>
                        <w:pPr>
                          <w:spacing w:after="0" w:line="240" w:lineRule="auto"/>
                          <w:jc w:val="center"/>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2.7</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3" w:hRule="atLeast"/>
                    </w:trPr>
                    <w:tc>
                      <w:tcPr>
                        <w:tcW w:w="1122" w:type="dxa"/>
                        <w:vMerge w:val="continue"/>
                        <w:tcBorders>
                          <w:insideV w:val="nil"/>
                        </w:tcBorders>
                        <w:shd w:val="clear" w:color="auto" w:fill="FFFFFF"/>
                      </w:tcPr>
                      <w:p>
                        <w:pPr>
                          <w:spacing w:after="0" w:line="240" w:lineRule="auto"/>
                          <w:rPr>
                            <w:rFonts w:ascii="Times New Roman" w:hAnsi="Times New Roman" w:cs="Times New Roman"/>
                            <w:b w:val="0"/>
                            <w:bCs/>
                            <w:color w:val="000000" w:themeColor="text1" w:themeShade="BF"/>
                            <w:sz w:val="18"/>
                            <w:szCs w:val="18"/>
                            <w:lang w:val="en-US"/>
                          </w:rPr>
                        </w:pPr>
                      </w:p>
                    </w:tc>
                    <w:tc>
                      <w:tcPr>
                        <w:tcW w:w="2184" w:type="dxa"/>
                        <w:tcBorders>
                          <w:insideV w:val="nil"/>
                        </w:tcBorders>
                        <w:shd w:val="clear" w:color="auto" w:fill="FFFFFF"/>
                      </w:tcPr>
                      <w:p>
                        <w:pPr>
                          <w:spacing w:after="0" w:line="240" w:lineRule="auto"/>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Inconnu</w:t>
                        </w:r>
                      </w:p>
                    </w:tc>
                    <w:tc>
                      <w:tcPr>
                        <w:tcW w:w="650" w:type="dxa"/>
                        <w:tcBorders>
                          <w:insideV w:val="nil"/>
                        </w:tcBorders>
                        <w:shd w:val="clear" w:color="auto" w:fill="FFFFFF"/>
                      </w:tcPr>
                      <w:p>
                        <w:pPr>
                          <w:spacing w:after="0" w:line="240" w:lineRule="auto"/>
                          <w:jc w:val="center"/>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1</w:t>
                        </w:r>
                      </w:p>
                    </w:tc>
                    <w:tc>
                      <w:tcPr>
                        <w:tcW w:w="625" w:type="dxa"/>
                        <w:tcBorders>
                          <w:insideV w:val="nil"/>
                        </w:tcBorders>
                        <w:shd w:val="clear" w:color="auto" w:fill="FFFFFF"/>
                      </w:tcPr>
                      <w:p>
                        <w:pPr>
                          <w:spacing w:after="0" w:line="240" w:lineRule="auto"/>
                          <w:jc w:val="center"/>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2.7</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1" w:hRule="atLeast"/>
                    </w:trPr>
                    <w:tc>
                      <w:tcPr>
                        <w:tcW w:w="4581" w:type="dxa"/>
                        <w:gridSpan w:val="4"/>
                        <w:shd w:val="clear" w:color="auto" w:fill="DBE5F1"/>
                      </w:tcPr>
                      <w:p>
                        <w:pPr>
                          <w:spacing w:after="0" w:line="240" w:lineRule="auto"/>
                          <w:jc w:val="left"/>
                          <w:rPr>
                            <w:rFonts w:ascii="Times New Roman" w:hAnsi="Times New Roman" w:cs="Times New Roman"/>
                            <w:color w:val="000000" w:themeColor="text1" w:themeShade="BF"/>
                            <w:sz w:val="18"/>
                            <w:szCs w:val="18"/>
                            <w:lang w:val="en-US"/>
                          </w:rPr>
                        </w:pPr>
                        <w:r>
                          <w:rPr>
                            <w:rFonts w:ascii="Times New Roman" w:hAnsi="Times New Roman" w:cs="Times New Roman"/>
                            <w:b/>
                            <w:bCs/>
                            <w:color w:val="000000" w:themeColor="text1" w:themeShade="BF"/>
                            <w:sz w:val="18"/>
                            <w:szCs w:val="18"/>
                            <w:lang w:val="en-US"/>
                          </w:rPr>
                          <w:t>Zones lésionnelles</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44" w:hRule="atLeast"/>
                    </w:trPr>
                    <w:tc>
                      <w:tcPr>
                        <w:tcW w:w="1122" w:type="dxa"/>
                        <w:vMerge w:val="restart"/>
                        <w:tcBorders>
                          <w:insideV w:val="nil"/>
                        </w:tcBorders>
                        <w:shd w:val="clear" w:color="auto" w:fill="FFFFFF"/>
                      </w:tcPr>
                      <w:p>
                        <w:pPr>
                          <w:spacing w:after="0" w:line="240" w:lineRule="auto"/>
                          <w:rPr>
                            <w:rFonts w:ascii="Times New Roman" w:hAnsi="Times New Roman" w:cs="Times New Roman"/>
                            <w:b w:val="0"/>
                            <w:bCs/>
                            <w:color w:val="000000" w:themeColor="text1" w:themeShade="BF"/>
                            <w:sz w:val="18"/>
                            <w:szCs w:val="18"/>
                            <w:lang w:val="en-US"/>
                          </w:rPr>
                        </w:pPr>
                      </w:p>
                    </w:tc>
                    <w:tc>
                      <w:tcPr>
                        <w:tcW w:w="2184" w:type="dxa"/>
                        <w:tcBorders>
                          <w:insideV w:val="nil"/>
                        </w:tcBorders>
                        <w:shd w:val="clear" w:color="auto" w:fill="FFFFFF"/>
                      </w:tcPr>
                      <w:p>
                        <w:pPr>
                          <w:spacing w:after="0" w:line="240" w:lineRule="auto"/>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Flanc gauche</w:t>
                        </w:r>
                      </w:p>
                    </w:tc>
                    <w:tc>
                      <w:tcPr>
                        <w:tcW w:w="650" w:type="dxa"/>
                        <w:tcBorders>
                          <w:insideV w:val="nil"/>
                        </w:tcBorders>
                        <w:shd w:val="clear" w:color="auto" w:fill="FFFFFF"/>
                      </w:tcPr>
                      <w:p>
                        <w:pPr>
                          <w:spacing w:after="0" w:line="240" w:lineRule="auto"/>
                          <w:jc w:val="center"/>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11</w:t>
                        </w:r>
                      </w:p>
                    </w:tc>
                    <w:tc>
                      <w:tcPr>
                        <w:tcW w:w="625" w:type="dxa"/>
                        <w:tcBorders>
                          <w:insideV w:val="nil"/>
                        </w:tcBorders>
                        <w:shd w:val="clear" w:color="auto" w:fill="FFFFFF"/>
                      </w:tcPr>
                      <w:p>
                        <w:pPr>
                          <w:spacing w:after="0" w:line="240" w:lineRule="auto"/>
                          <w:jc w:val="center"/>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29.7</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44" w:hRule="atLeast"/>
                    </w:trPr>
                    <w:tc>
                      <w:tcPr>
                        <w:tcW w:w="1122" w:type="dxa"/>
                        <w:vMerge w:val="continue"/>
                        <w:shd w:val="clear" w:color="auto" w:fill="DBE5F1"/>
                      </w:tcPr>
                      <w:p>
                        <w:pPr>
                          <w:spacing w:after="0" w:line="240" w:lineRule="auto"/>
                          <w:rPr>
                            <w:rFonts w:ascii="Times New Roman" w:hAnsi="Times New Roman" w:cs="Times New Roman"/>
                            <w:b w:val="0"/>
                            <w:bCs/>
                            <w:color w:val="000000" w:themeColor="text1" w:themeShade="BF"/>
                            <w:sz w:val="18"/>
                            <w:szCs w:val="18"/>
                            <w:lang w:val="en-US"/>
                          </w:rPr>
                        </w:pPr>
                      </w:p>
                    </w:tc>
                    <w:tc>
                      <w:tcPr>
                        <w:tcW w:w="2184" w:type="dxa"/>
                        <w:shd w:val="clear" w:color="auto" w:fill="DBE5F1"/>
                      </w:tcPr>
                      <w:p>
                        <w:pPr>
                          <w:spacing w:after="0" w:line="240" w:lineRule="auto"/>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Flanc droit</w:t>
                        </w:r>
                      </w:p>
                    </w:tc>
                    <w:tc>
                      <w:tcPr>
                        <w:tcW w:w="650" w:type="dxa"/>
                        <w:shd w:val="clear" w:color="auto" w:fill="DBE5F1"/>
                      </w:tcPr>
                      <w:p>
                        <w:pPr>
                          <w:spacing w:after="0" w:line="240" w:lineRule="auto"/>
                          <w:jc w:val="center"/>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6</w:t>
                        </w:r>
                      </w:p>
                    </w:tc>
                    <w:tc>
                      <w:tcPr>
                        <w:tcW w:w="625" w:type="dxa"/>
                        <w:shd w:val="clear" w:color="auto" w:fill="DBE5F1"/>
                      </w:tcPr>
                      <w:p>
                        <w:pPr>
                          <w:spacing w:after="0" w:line="240" w:lineRule="auto"/>
                          <w:jc w:val="center"/>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16.2</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43" w:hRule="atLeast"/>
                    </w:trPr>
                    <w:tc>
                      <w:tcPr>
                        <w:tcW w:w="1122" w:type="dxa"/>
                        <w:vMerge w:val="continue"/>
                        <w:tcBorders>
                          <w:insideV w:val="nil"/>
                        </w:tcBorders>
                        <w:shd w:val="clear" w:color="auto" w:fill="FFFFFF"/>
                      </w:tcPr>
                      <w:p>
                        <w:pPr>
                          <w:spacing w:after="0" w:line="240" w:lineRule="auto"/>
                          <w:rPr>
                            <w:rFonts w:ascii="Times New Roman" w:hAnsi="Times New Roman" w:cs="Times New Roman"/>
                            <w:b w:val="0"/>
                            <w:bCs/>
                            <w:color w:val="000000" w:themeColor="text1" w:themeShade="BF"/>
                            <w:sz w:val="18"/>
                            <w:szCs w:val="18"/>
                            <w:lang w:val="en-US"/>
                          </w:rPr>
                        </w:pPr>
                      </w:p>
                    </w:tc>
                    <w:tc>
                      <w:tcPr>
                        <w:tcW w:w="2184" w:type="dxa"/>
                        <w:tcBorders>
                          <w:insideV w:val="nil"/>
                        </w:tcBorders>
                        <w:shd w:val="clear" w:color="auto" w:fill="FFFFFF"/>
                      </w:tcPr>
                      <w:p>
                        <w:pPr>
                          <w:spacing w:after="0" w:line="240" w:lineRule="auto"/>
                          <w:rPr>
                            <w:rFonts w:hint="default" w:ascii="Times New Roman" w:hAnsi="Times New Roman" w:cs="Times New Roman"/>
                            <w:color w:val="000000" w:themeColor="text1" w:themeShade="BF"/>
                            <w:sz w:val="18"/>
                            <w:szCs w:val="18"/>
                            <w:lang w:val="fr-FR"/>
                          </w:rPr>
                        </w:pPr>
                        <w:r>
                          <w:rPr>
                            <w:rFonts w:ascii="Times New Roman" w:hAnsi="Times New Roman" w:cs="Times New Roman"/>
                            <w:color w:val="000000" w:themeColor="text1" w:themeShade="BF"/>
                            <w:sz w:val="18"/>
                            <w:szCs w:val="18"/>
                            <w:lang w:val="en-US"/>
                          </w:rPr>
                          <w:t>Thoraco-abdominal</w:t>
                        </w:r>
                        <w:r>
                          <w:rPr>
                            <w:rFonts w:hint="default" w:ascii="Times New Roman" w:hAnsi="Times New Roman" w:cs="Times New Roman"/>
                            <w:color w:val="000000" w:themeColor="text1" w:themeShade="BF"/>
                            <w:sz w:val="18"/>
                            <w:szCs w:val="18"/>
                            <w:lang w:val="fr-FR"/>
                          </w:rPr>
                          <w:t>e</w:t>
                        </w:r>
                      </w:p>
                    </w:tc>
                    <w:tc>
                      <w:tcPr>
                        <w:tcW w:w="650" w:type="dxa"/>
                        <w:tcBorders>
                          <w:insideV w:val="nil"/>
                        </w:tcBorders>
                        <w:shd w:val="clear" w:color="auto" w:fill="FFFFFF"/>
                      </w:tcPr>
                      <w:p>
                        <w:pPr>
                          <w:spacing w:after="0" w:line="240" w:lineRule="auto"/>
                          <w:jc w:val="center"/>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4</w:t>
                        </w:r>
                      </w:p>
                    </w:tc>
                    <w:tc>
                      <w:tcPr>
                        <w:tcW w:w="625" w:type="dxa"/>
                        <w:tcBorders>
                          <w:insideV w:val="nil"/>
                        </w:tcBorders>
                        <w:shd w:val="clear" w:color="auto" w:fill="FFFFFF"/>
                      </w:tcPr>
                      <w:p>
                        <w:pPr>
                          <w:spacing w:after="0" w:line="240" w:lineRule="auto"/>
                          <w:jc w:val="center"/>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10.8</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43" w:hRule="atLeast"/>
                    </w:trPr>
                    <w:tc>
                      <w:tcPr>
                        <w:tcW w:w="1122" w:type="dxa"/>
                        <w:vMerge w:val="continue"/>
                        <w:shd w:val="clear" w:color="auto" w:fill="DBE5F1"/>
                      </w:tcPr>
                      <w:p>
                        <w:pPr>
                          <w:spacing w:after="0" w:line="240" w:lineRule="auto"/>
                          <w:rPr>
                            <w:rFonts w:ascii="Times New Roman" w:hAnsi="Times New Roman" w:cs="Times New Roman"/>
                            <w:b w:val="0"/>
                            <w:bCs/>
                            <w:color w:val="000000" w:themeColor="text1" w:themeShade="BF"/>
                            <w:sz w:val="18"/>
                            <w:szCs w:val="18"/>
                            <w:lang w:val="en-US"/>
                          </w:rPr>
                        </w:pPr>
                      </w:p>
                    </w:tc>
                    <w:tc>
                      <w:tcPr>
                        <w:tcW w:w="2184" w:type="dxa"/>
                        <w:shd w:val="clear" w:color="auto" w:fill="DBE5F1"/>
                      </w:tcPr>
                      <w:p>
                        <w:pPr>
                          <w:spacing w:after="0" w:line="240" w:lineRule="auto"/>
                          <w:rPr>
                            <w:rFonts w:hint="default" w:ascii="Times New Roman" w:hAnsi="Times New Roman" w:cs="Times New Roman"/>
                            <w:color w:val="000000" w:themeColor="text1" w:themeShade="BF"/>
                            <w:sz w:val="18"/>
                            <w:szCs w:val="18"/>
                            <w:lang w:val="fr-FR"/>
                          </w:rPr>
                        </w:pPr>
                        <w:r>
                          <w:rPr>
                            <w:rFonts w:ascii="Times New Roman" w:hAnsi="Times New Roman" w:cs="Times New Roman"/>
                            <w:color w:val="000000" w:themeColor="text1" w:themeShade="BF"/>
                            <w:sz w:val="18"/>
                            <w:szCs w:val="18"/>
                            <w:lang w:val="en-US"/>
                          </w:rPr>
                          <w:t>Péri ombilical</w:t>
                        </w:r>
                        <w:r>
                          <w:rPr>
                            <w:rFonts w:hint="default" w:ascii="Times New Roman" w:hAnsi="Times New Roman" w:cs="Times New Roman"/>
                            <w:color w:val="000000" w:themeColor="text1" w:themeShade="BF"/>
                            <w:sz w:val="18"/>
                            <w:szCs w:val="18"/>
                            <w:lang w:val="fr-FR"/>
                          </w:rPr>
                          <w:t>e</w:t>
                        </w:r>
                      </w:p>
                    </w:tc>
                    <w:tc>
                      <w:tcPr>
                        <w:tcW w:w="650" w:type="dxa"/>
                        <w:shd w:val="clear" w:color="auto" w:fill="DBE5F1"/>
                      </w:tcPr>
                      <w:p>
                        <w:pPr>
                          <w:spacing w:after="0" w:line="240" w:lineRule="auto"/>
                          <w:jc w:val="center"/>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4</w:t>
                        </w:r>
                      </w:p>
                    </w:tc>
                    <w:tc>
                      <w:tcPr>
                        <w:tcW w:w="625" w:type="dxa"/>
                        <w:shd w:val="clear" w:color="auto" w:fill="DBE5F1"/>
                      </w:tcPr>
                      <w:p>
                        <w:pPr>
                          <w:spacing w:after="0" w:line="240" w:lineRule="auto"/>
                          <w:jc w:val="center"/>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10.8</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3" w:hRule="atLeast"/>
                    </w:trPr>
                    <w:tc>
                      <w:tcPr>
                        <w:tcW w:w="1122" w:type="dxa"/>
                        <w:vMerge w:val="continue"/>
                        <w:tcBorders>
                          <w:insideV w:val="nil"/>
                        </w:tcBorders>
                        <w:shd w:val="clear" w:color="auto" w:fill="FFFFFF"/>
                      </w:tcPr>
                      <w:p>
                        <w:pPr>
                          <w:spacing w:after="0" w:line="240" w:lineRule="auto"/>
                          <w:rPr>
                            <w:rFonts w:ascii="Times New Roman" w:hAnsi="Times New Roman" w:cs="Times New Roman"/>
                            <w:b w:val="0"/>
                            <w:bCs/>
                            <w:color w:val="000000" w:themeColor="text1" w:themeShade="BF"/>
                            <w:sz w:val="18"/>
                            <w:szCs w:val="18"/>
                            <w:lang w:val="en-US"/>
                          </w:rPr>
                        </w:pPr>
                      </w:p>
                    </w:tc>
                    <w:tc>
                      <w:tcPr>
                        <w:tcW w:w="2184" w:type="dxa"/>
                        <w:tcBorders>
                          <w:insideV w:val="nil"/>
                        </w:tcBorders>
                        <w:shd w:val="clear" w:color="auto" w:fill="FFFFFF"/>
                      </w:tcPr>
                      <w:p>
                        <w:pPr>
                          <w:spacing w:after="0" w:line="240" w:lineRule="auto"/>
                          <w:rPr>
                            <w:rFonts w:hint="default" w:ascii="Times New Roman" w:hAnsi="Times New Roman" w:cs="Times New Roman"/>
                            <w:color w:val="000000" w:themeColor="text1" w:themeShade="BF"/>
                            <w:sz w:val="18"/>
                            <w:szCs w:val="18"/>
                            <w:lang w:val="fr-FR"/>
                          </w:rPr>
                        </w:pPr>
                        <w:r>
                          <w:rPr>
                            <w:rFonts w:ascii="Times New Roman" w:hAnsi="Times New Roman" w:cs="Times New Roman"/>
                            <w:color w:val="000000" w:themeColor="text1" w:themeShade="BF"/>
                            <w:sz w:val="18"/>
                            <w:szCs w:val="18"/>
                            <w:lang w:val="en-US"/>
                          </w:rPr>
                          <w:t>Perinéo-pelvi abdominal</w:t>
                        </w:r>
                        <w:r>
                          <w:rPr>
                            <w:rFonts w:hint="default" w:ascii="Times New Roman" w:hAnsi="Times New Roman" w:cs="Times New Roman"/>
                            <w:color w:val="000000" w:themeColor="text1" w:themeShade="BF"/>
                            <w:sz w:val="18"/>
                            <w:szCs w:val="18"/>
                            <w:lang w:val="fr-FR"/>
                          </w:rPr>
                          <w:t>e</w:t>
                        </w:r>
                      </w:p>
                    </w:tc>
                    <w:tc>
                      <w:tcPr>
                        <w:tcW w:w="650" w:type="dxa"/>
                        <w:tcBorders>
                          <w:insideV w:val="nil"/>
                        </w:tcBorders>
                        <w:shd w:val="clear" w:color="auto" w:fill="FFFFFF"/>
                      </w:tcPr>
                      <w:p>
                        <w:pPr>
                          <w:spacing w:after="0" w:line="240" w:lineRule="auto"/>
                          <w:jc w:val="center"/>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3</w:t>
                        </w:r>
                      </w:p>
                    </w:tc>
                    <w:tc>
                      <w:tcPr>
                        <w:tcW w:w="625" w:type="dxa"/>
                        <w:tcBorders>
                          <w:insideV w:val="nil"/>
                        </w:tcBorders>
                        <w:shd w:val="clear" w:color="auto" w:fill="FFFFFF"/>
                      </w:tcPr>
                      <w:p>
                        <w:pPr>
                          <w:spacing w:after="0" w:line="240" w:lineRule="auto"/>
                          <w:jc w:val="center"/>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8.1</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1" w:hRule="atLeast"/>
                    </w:trPr>
                    <w:tc>
                      <w:tcPr>
                        <w:tcW w:w="1122" w:type="dxa"/>
                        <w:vMerge w:val="continue"/>
                        <w:shd w:val="clear" w:color="auto" w:fill="DBE5F1"/>
                      </w:tcPr>
                      <w:p>
                        <w:pPr>
                          <w:spacing w:after="0" w:line="240" w:lineRule="auto"/>
                          <w:rPr>
                            <w:rFonts w:ascii="Times New Roman" w:hAnsi="Times New Roman" w:cs="Times New Roman"/>
                            <w:b w:val="0"/>
                            <w:bCs/>
                            <w:color w:val="000000" w:themeColor="text1" w:themeShade="BF"/>
                            <w:sz w:val="18"/>
                            <w:szCs w:val="18"/>
                            <w:lang w:val="en-US"/>
                          </w:rPr>
                        </w:pPr>
                      </w:p>
                    </w:tc>
                    <w:tc>
                      <w:tcPr>
                        <w:tcW w:w="2184" w:type="dxa"/>
                        <w:shd w:val="clear" w:color="auto" w:fill="DBE5F1"/>
                      </w:tcPr>
                      <w:p>
                        <w:pPr>
                          <w:spacing w:after="0" w:line="240" w:lineRule="auto"/>
                          <w:rPr>
                            <w:rFonts w:hint="default" w:ascii="Times New Roman" w:hAnsi="Times New Roman" w:cs="Times New Roman"/>
                            <w:color w:val="000000" w:themeColor="text1" w:themeShade="BF"/>
                            <w:sz w:val="18"/>
                            <w:szCs w:val="18"/>
                            <w:lang w:val="fr-FR"/>
                          </w:rPr>
                        </w:pPr>
                        <w:r>
                          <w:rPr>
                            <w:rFonts w:ascii="Times New Roman" w:hAnsi="Times New Roman" w:cs="Times New Roman"/>
                            <w:color w:val="000000" w:themeColor="text1" w:themeShade="BF"/>
                            <w:sz w:val="18"/>
                            <w:szCs w:val="18"/>
                            <w:lang w:val="fr-FR"/>
                          </w:rPr>
                          <w:t>Épigastrique</w:t>
                        </w:r>
                      </w:p>
                    </w:tc>
                    <w:tc>
                      <w:tcPr>
                        <w:tcW w:w="650" w:type="dxa"/>
                        <w:shd w:val="clear" w:color="auto" w:fill="DBE5F1"/>
                      </w:tcPr>
                      <w:p>
                        <w:pPr>
                          <w:spacing w:after="0" w:line="240" w:lineRule="auto"/>
                          <w:jc w:val="center"/>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2</w:t>
                        </w:r>
                      </w:p>
                    </w:tc>
                    <w:tc>
                      <w:tcPr>
                        <w:tcW w:w="625" w:type="dxa"/>
                        <w:shd w:val="clear" w:color="auto" w:fill="DBE5F1"/>
                      </w:tcPr>
                      <w:p>
                        <w:pPr>
                          <w:spacing w:after="0" w:line="240" w:lineRule="auto"/>
                          <w:jc w:val="center"/>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5.4</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1" w:hRule="atLeast"/>
                    </w:trPr>
                    <w:tc>
                      <w:tcPr>
                        <w:tcW w:w="1122" w:type="dxa"/>
                        <w:vMerge w:val="continue"/>
                        <w:tcBorders>
                          <w:insideV w:val="nil"/>
                        </w:tcBorders>
                        <w:shd w:val="clear" w:color="auto" w:fill="FFFFFF"/>
                      </w:tcPr>
                      <w:p>
                        <w:pPr>
                          <w:spacing w:after="0" w:line="240" w:lineRule="auto"/>
                          <w:rPr>
                            <w:rFonts w:ascii="Times New Roman" w:hAnsi="Times New Roman" w:cs="Times New Roman"/>
                            <w:b w:val="0"/>
                            <w:bCs/>
                            <w:color w:val="000000" w:themeColor="text1" w:themeShade="BF"/>
                            <w:sz w:val="18"/>
                            <w:szCs w:val="18"/>
                            <w:lang w:val="en-US"/>
                          </w:rPr>
                        </w:pPr>
                      </w:p>
                    </w:tc>
                    <w:tc>
                      <w:tcPr>
                        <w:tcW w:w="2184" w:type="dxa"/>
                        <w:tcBorders>
                          <w:insideV w:val="nil"/>
                        </w:tcBorders>
                        <w:shd w:val="clear" w:color="auto" w:fill="FFFFFF"/>
                      </w:tcPr>
                      <w:p>
                        <w:pPr>
                          <w:spacing w:after="0" w:line="240" w:lineRule="auto"/>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Hypochondre droit</w:t>
                        </w:r>
                      </w:p>
                    </w:tc>
                    <w:tc>
                      <w:tcPr>
                        <w:tcW w:w="650" w:type="dxa"/>
                        <w:tcBorders>
                          <w:insideV w:val="nil"/>
                        </w:tcBorders>
                        <w:shd w:val="clear" w:color="auto" w:fill="FFFFFF"/>
                      </w:tcPr>
                      <w:p>
                        <w:pPr>
                          <w:spacing w:after="0" w:line="240" w:lineRule="auto"/>
                          <w:jc w:val="center"/>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2</w:t>
                        </w:r>
                      </w:p>
                    </w:tc>
                    <w:tc>
                      <w:tcPr>
                        <w:tcW w:w="625" w:type="dxa"/>
                        <w:tcBorders>
                          <w:insideV w:val="nil"/>
                        </w:tcBorders>
                        <w:shd w:val="clear" w:color="auto" w:fill="FFFFFF"/>
                      </w:tcPr>
                      <w:p>
                        <w:pPr>
                          <w:spacing w:after="0" w:line="240" w:lineRule="auto"/>
                          <w:jc w:val="center"/>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5.4</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9" w:hRule="atLeast"/>
                    </w:trPr>
                    <w:tc>
                      <w:tcPr>
                        <w:tcW w:w="1122" w:type="dxa"/>
                        <w:vMerge w:val="continue"/>
                        <w:shd w:val="clear" w:color="auto" w:fill="DBE5F1"/>
                      </w:tcPr>
                      <w:p>
                        <w:pPr>
                          <w:spacing w:after="0" w:line="240" w:lineRule="auto"/>
                          <w:rPr>
                            <w:rFonts w:ascii="Times New Roman" w:hAnsi="Times New Roman" w:cs="Times New Roman"/>
                            <w:b w:val="0"/>
                            <w:bCs/>
                            <w:color w:val="000000" w:themeColor="text1" w:themeShade="BF"/>
                            <w:sz w:val="18"/>
                            <w:szCs w:val="18"/>
                            <w:lang w:val="en-US"/>
                          </w:rPr>
                        </w:pPr>
                      </w:p>
                    </w:tc>
                    <w:tc>
                      <w:tcPr>
                        <w:tcW w:w="2184" w:type="dxa"/>
                        <w:shd w:val="clear" w:color="auto" w:fill="DBE5F1"/>
                      </w:tcPr>
                      <w:p>
                        <w:pPr>
                          <w:spacing w:after="0" w:line="240" w:lineRule="auto"/>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Fosse iliaque gauche</w:t>
                        </w:r>
                      </w:p>
                    </w:tc>
                    <w:tc>
                      <w:tcPr>
                        <w:tcW w:w="650" w:type="dxa"/>
                        <w:shd w:val="clear" w:color="auto" w:fill="DBE5F1"/>
                      </w:tcPr>
                      <w:p>
                        <w:pPr>
                          <w:spacing w:after="0" w:line="240" w:lineRule="auto"/>
                          <w:jc w:val="center"/>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2</w:t>
                        </w:r>
                      </w:p>
                    </w:tc>
                    <w:tc>
                      <w:tcPr>
                        <w:tcW w:w="625" w:type="dxa"/>
                        <w:shd w:val="clear" w:color="auto" w:fill="DBE5F1"/>
                      </w:tcPr>
                      <w:p>
                        <w:pPr>
                          <w:spacing w:after="0" w:line="240" w:lineRule="auto"/>
                          <w:jc w:val="center"/>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5.4</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6" w:hRule="atLeast"/>
                    </w:trPr>
                    <w:tc>
                      <w:tcPr>
                        <w:tcW w:w="1122" w:type="dxa"/>
                        <w:vMerge w:val="continue"/>
                        <w:tcBorders>
                          <w:insideV w:val="nil"/>
                        </w:tcBorders>
                        <w:shd w:val="clear" w:color="auto" w:fill="FFFFFF"/>
                      </w:tcPr>
                      <w:p>
                        <w:pPr>
                          <w:spacing w:after="0" w:line="240" w:lineRule="auto"/>
                          <w:rPr>
                            <w:rFonts w:ascii="Times New Roman" w:hAnsi="Times New Roman" w:cs="Times New Roman"/>
                            <w:b w:val="0"/>
                            <w:bCs/>
                            <w:color w:val="000000" w:themeColor="text1" w:themeShade="BF"/>
                            <w:sz w:val="18"/>
                            <w:szCs w:val="18"/>
                            <w:lang w:val="en-US"/>
                          </w:rPr>
                        </w:pPr>
                      </w:p>
                    </w:tc>
                    <w:tc>
                      <w:tcPr>
                        <w:tcW w:w="2184" w:type="dxa"/>
                        <w:tcBorders>
                          <w:insideV w:val="nil"/>
                        </w:tcBorders>
                        <w:shd w:val="clear" w:color="auto" w:fill="FFFFFF"/>
                      </w:tcPr>
                      <w:p>
                        <w:pPr>
                          <w:spacing w:after="0" w:line="240" w:lineRule="auto"/>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Hypochondre gauche</w:t>
                        </w:r>
                      </w:p>
                    </w:tc>
                    <w:tc>
                      <w:tcPr>
                        <w:tcW w:w="650" w:type="dxa"/>
                        <w:tcBorders>
                          <w:insideV w:val="nil"/>
                        </w:tcBorders>
                        <w:shd w:val="clear" w:color="auto" w:fill="FFFFFF"/>
                      </w:tcPr>
                      <w:p>
                        <w:pPr>
                          <w:spacing w:after="0" w:line="240" w:lineRule="auto"/>
                          <w:jc w:val="center"/>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1</w:t>
                        </w:r>
                      </w:p>
                    </w:tc>
                    <w:tc>
                      <w:tcPr>
                        <w:tcW w:w="625" w:type="dxa"/>
                        <w:tcBorders>
                          <w:insideV w:val="nil"/>
                        </w:tcBorders>
                        <w:shd w:val="clear" w:color="auto" w:fill="FFFFFF"/>
                      </w:tcPr>
                      <w:p>
                        <w:pPr>
                          <w:spacing w:after="0" w:line="240" w:lineRule="auto"/>
                          <w:jc w:val="center"/>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2.7</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1" w:hRule="atLeast"/>
                    </w:trPr>
                    <w:tc>
                      <w:tcPr>
                        <w:tcW w:w="1122" w:type="dxa"/>
                        <w:vMerge w:val="continue"/>
                        <w:shd w:val="clear" w:color="auto" w:fill="DBE5F1"/>
                      </w:tcPr>
                      <w:p>
                        <w:pPr>
                          <w:spacing w:after="0" w:line="240" w:lineRule="auto"/>
                          <w:rPr>
                            <w:rFonts w:ascii="Times New Roman" w:hAnsi="Times New Roman" w:cs="Times New Roman"/>
                            <w:b w:val="0"/>
                            <w:bCs/>
                            <w:color w:val="000000" w:themeColor="text1" w:themeShade="BF"/>
                            <w:sz w:val="18"/>
                            <w:szCs w:val="18"/>
                            <w:lang w:val="en-US"/>
                          </w:rPr>
                        </w:pPr>
                      </w:p>
                    </w:tc>
                    <w:tc>
                      <w:tcPr>
                        <w:tcW w:w="2184" w:type="dxa"/>
                        <w:shd w:val="clear" w:color="auto" w:fill="DBE5F1"/>
                      </w:tcPr>
                      <w:p>
                        <w:pPr>
                          <w:spacing w:after="0" w:line="240" w:lineRule="auto"/>
                          <w:rPr>
                            <w:rFonts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fr-FR"/>
                          </w:rPr>
                          <w:t>L</w:t>
                        </w:r>
                        <w:r>
                          <w:rPr>
                            <w:rFonts w:ascii="Times New Roman" w:hAnsi="Times New Roman" w:cs="Times New Roman"/>
                            <w:color w:val="000000" w:themeColor="text1" w:themeShade="BF"/>
                            <w:sz w:val="18"/>
                            <w:szCs w:val="18"/>
                            <w:lang w:val="en-US"/>
                          </w:rPr>
                          <w:t>ombaire</w:t>
                        </w:r>
                      </w:p>
                    </w:tc>
                    <w:tc>
                      <w:tcPr>
                        <w:tcW w:w="650" w:type="dxa"/>
                        <w:shd w:val="clear" w:color="auto" w:fill="DBE5F1"/>
                      </w:tcPr>
                      <w:p>
                        <w:pPr>
                          <w:spacing w:after="0" w:line="240" w:lineRule="auto"/>
                          <w:jc w:val="center"/>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1</w:t>
                        </w:r>
                      </w:p>
                    </w:tc>
                    <w:tc>
                      <w:tcPr>
                        <w:tcW w:w="625" w:type="dxa"/>
                        <w:shd w:val="clear" w:color="auto" w:fill="DBE5F1"/>
                      </w:tcPr>
                      <w:p>
                        <w:pPr>
                          <w:spacing w:after="0" w:line="240" w:lineRule="auto"/>
                          <w:jc w:val="center"/>
                          <w:rPr>
                            <w:color w:val="000000" w:themeColor="text1" w:themeShade="BF"/>
                            <w:sz w:val="18"/>
                            <w:szCs w:val="18"/>
                          </w:rPr>
                        </w:pPr>
                        <w:r>
                          <w:rPr>
                            <w:rFonts w:ascii="Times New Roman" w:hAnsi="Times New Roman" w:cs="Times New Roman"/>
                            <w:color w:val="000000" w:themeColor="text1" w:themeShade="BF"/>
                            <w:sz w:val="18"/>
                            <w:szCs w:val="18"/>
                            <w:lang w:val="en-US"/>
                          </w:rPr>
                          <w:t>2.7</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8" w:hRule="atLeast"/>
                    </w:trPr>
                    <w:tc>
                      <w:tcPr>
                        <w:tcW w:w="1122" w:type="dxa"/>
                        <w:vMerge w:val="continue"/>
                        <w:tcBorders>
                          <w:insideV w:val="nil"/>
                        </w:tcBorders>
                        <w:shd w:val="clear" w:color="auto" w:fill="FFFFFF"/>
                      </w:tcPr>
                      <w:p>
                        <w:pPr>
                          <w:spacing w:after="0" w:line="240" w:lineRule="auto"/>
                          <w:rPr>
                            <w:rFonts w:ascii="Times New Roman" w:hAnsi="Times New Roman" w:cs="Times New Roman"/>
                            <w:b w:val="0"/>
                            <w:bCs/>
                            <w:color w:val="000000" w:themeColor="text1" w:themeShade="BF"/>
                            <w:sz w:val="18"/>
                            <w:szCs w:val="18"/>
                            <w:lang w:val="en-US"/>
                          </w:rPr>
                        </w:pPr>
                      </w:p>
                    </w:tc>
                    <w:tc>
                      <w:tcPr>
                        <w:tcW w:w="2184" w:type="dxa"/>
                        <w:tcBorders>
                          <w:insideV w:val="nil"/>
                        </w:tcBorders>
                        <w:shd w:val="clear" w:color="auto" w:fill="FFFFFF"/>
                      </w:tcPr>
                      <w:p>
                        <w:pPr>
                          <w:spacing w:after="0" w:line="240" w:lineRule="auto"/>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Multiple</w:t>
                        </w:r>
                      </w:p>
                    </w:tc>
                    <w:tc>
                      <w:tcPr>
                        <w:tcW w:w="650" w:type="dxa"/>
                        <w:tcBorders>
                          <w:insideV w:val="nil"/>
                        </w:tcBorders>
                        <w:shd w:val="clear" w:color="auto" w:fill="FFFFFF"/>
                      </w:tcPr>
                      <w:p>
                        <w:pPr>
                          <w:spacing w:after="0" w:line="240" w:lineRule="auto"/>
                          <w:jc w:val="center"/>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1</w:t>
                        </w:r>
                      </w:p>
                    </w:tc>
                    <w:tc>
                      <w:tcPr>
                        <w:tcW w:w="625" w:type="dxa"/>
                        <w:tcBorders>
                          <w:insideV w:val="nil"/>
                        </w:tcBorders>
                        <w:shd w:val="clear" w:color="auto" w:fill="FFFFFF"/>
                      </w:tcPr>
                      <w:p>
                        <w:pPr>
                          <w:spacing w:after="0" w:line="240" w:lineRule="auto"/>
                          <w:jc w:val="center"/>
                          <w:rPr>
                            <w:color w:val="000000" w:themeColor="text1" w:themeShade="BF"/>
                            <w:sz w:val="18"/>
                            <w:szCs w:val="18"/>
                          </w:rPr>
                        </w:pPr>
                        <w:r>
                          <w:rPr>
                            <w:rFonts w:ascii="Times New Roman" w:hAnsi="Times New Roman" w:cs="Times New Roman"/>
                            <w:color w:val="000000" w:themeColor="text1" w:themeShade="BF"/>
                            <w:sz w:val="18"/>
                            <w:szCs w:val="18"/>
                            <w:lang w:val="en-US"/>
                          </w:rPr>
                          <w:t>2.7</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1" w:hRule="atLeast"/>
                    </w:trPr>
                    <w:tc>
                      <w:tcPr>
                        <w:tcW w:w="4581" w:type="dxa"/>
                        <w:gridSpan w:val="4"/>
                        <w:tcBorders>
                          <w:insideV w:val="nil"/>
                        </w:tcBorders>
                        <w:shd w:val="clear" w:color="auto" w:fill="DBE5F1"/>
                      </w:tcPr>
                      <w:p>
                        <w:pPr>
                          <w:spacing w:after="0" w:line="240" w:lineRule="auto"/>
                          <w:jc w:val="left"/>
                          <w:rPr>
                            <w:rFonts w:ascii="Times New Roman" w:hAnsi="Times New Roman" w:cs="Times New Roman"/>
                            <w:color w:val="000000" w:themeColor="text1" w:themeShade="BF"/>
                            <w:sz w:val="18"/>
                            <w:szCs w:val="18"/>
                            <w:lang w:val="en-US"/>
                          </w:rPr>
                        </w:pPr>
                        <w:r>
                          <w:rPr>
                            <w:rFonts w:ascii="Times New Roman" w:hAnsi="Times New Roman" w:cs="Times New Roman"/>
                            <w:b/>
                            <w:bCs/>
                            <w:color w:val="000000" w:themeColor="text1" w:themeShade="BF"/>
                            <w:sz w:val="18"/>
                            <w:szCs w:val="18"/>
                            <w:lang w:val="en-US"/>
                          </w:rPr>
                          <w:t>Explorations</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1" w:hRule="atLeast"/>
                    </w:trPr>
                    <w:tc>
                      <w:tcPr>
                        <w:tcW w:w="1122" w:type="dxa"/>
                        <w:vMerge w:val="restart"/>
                        <w:shd w:val="clear" w:color="auto" w:fill="FFFFFF"/>
                      </w:tcPr>
                      <w:p>
                        <w:pPr>
                          <w:spacing w:after="0" w:line="240" w:lineRule="auto"/>
                          <w:rPr>
                            <w:rFonts w:ascii="Times New Roman" w:hAnsi="Times New Roman" w:cs="Times New Roman"/>
                            <w:b w:val="0"/>
                            <w:bCs/>
                            <w:color w:val="000000" w:themeColor="text1" w:themeShade="BF"/>
                            <w:sz w:val="18"/>
                            <w:szCs w:val="18"/>
                            <w:lang w:val="en-US"/>
                          </w:rPr>
                        </w:pPr>
                      </w:p>
                    </w:tc>
                    <w:tc>
                      <w:tcPr>
                        <w:tcW w:w="2184" w:type="dxa"/>
                        <w:shd w:val="clear" w:color="auto" w:fill="FFFFFF"/>
                      </w:tcPr>
                      <w:p>
                        <w:pPr>
                          <w:spacing w:after="0" w:line="240" w:lineRule="auto"/>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Exploration de la plaie</w:t>
                        </w:r>
                      </w:p>
                    </w:tc>
                    <w:tc>
                      <w:tcPr>
                        <w:tcW w:w="650" w:type="dxa"/>
                        <w:shd w:val="clear" w:color="auto" w:fill="FFFFFF"/>
                      </w:tcPr>
                      <w:p>
                        <w:pPr>
                          <w:spacing w:after="0" w:line="240" w:lineRule="auto"/>
                          <w:jc w:val="center"/>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14</w:t>
                        </w:r>
                      </w:p>
                    </w:tc>
                    <w:tc>
                      <w:tcPr>
                        <w:tcW w:w="625" w:type="dxa"/>
                        <w:shd w:val="clear" w:color="auto" w:fill="FFFFFF"/>
                      </w:tcPr>
                      <w:p>
                        <w:pPr>
                          <w:spacing w:after="0" w:line="240" w:lineRule="auto"/>
                          <w:jc w:val="center"/>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37.8</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44" w:hRule="atLeast"/>
                    </w:trPr>
                    <w:tc>
                      <w:tcPr>
                        <w:tcW w:w="1122" w:type="dxa"/>
                        <w:vMerge w:val="continue"/>
                        <w:tcBorders>
                          <w:insideV w:val="nil"/>
                        </w:tcBorders>
                        <w:shd w:val="clear" w:color="auto" w:fill="DBE5F1"/>
                      </w:tcPr>
                      <w:p>
                        <w:pPr>
                          <w:spacing w:after="0" w:line="240" w:lineRule="auto"/>
                          <w:rPr>
                            <w:rFonts w:ascii="Times New Roman" w:hAnsi="Times New Roman" w:cs="Times New Roman"/>
                            <w:b w:val="0"/>
                            <w:bCs/>
                            <w:color w:val="000000" w:themeColor="text1" w:themeShade="BF"/>
                            <w:sz w:val="18"/>
                            <w:szCs w:val="18"/>
                            <w:lang w:val="en-US"/>
                          </w:rPr>
                        </w:pPr>
                      </w:p>
                    </w:tc>
                    <w:tc>
                      <w:tcPr>
                        <w:tcW w:w="2184" w:type="dxa"/>
                        <w:tcBorders>
                          <w:insideV w:val="nil"/>
                        </w:tcBorders>
                        <w:shd w:val="clear" w:color="auto" w:fill="DBE5F1"/>
                      </w:tcPr>
                      <w:p>
                        <w:pPr>
                          <w:spacing w:after="0" w:line="240" w:lineRule="auto"/>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 xml:space="preserve">Echographie </w:t>
                        </w:r>
                      </w:p>
                    </w:tc>
                    <w:tc>
                      <w:tcPr>
                        <w:tcW w:w="650" w:type="dxa"/>
                        <w:tcBorders>
                          <w:insideV w:val="nil"/>
                        </w:tcBorders>
                        <w:shd w:val="clear" w:color="auto" w:fill="DBE5F1"/>
                      </w:tcPr>
                      <w:p>
                        <w:pPr>
                          <w:spacing w:after="0" w:line="240" w:lineRule="auto"/>
                          <w:jc w:val="center"/>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12</w:t>
                        </w:r>
                      </w:p>
                    </w:tc>
                    <w:tc>
                      <w:tcPr>
                        <w:tcW w:w="625" w:type="dxa"/>
                        <w:tcBorders>
                          <w:insideV w:val="nil"/>
                        </w:tcBorders>
                        <w:shd w:val="clear" w:color="auto" w:fill="DBE5F1"/>
                      </w:tcPr>
                      <w:p>
                        <w:pPr>
                          <w:spacing w:after="0" w:line="240" w:lineRule="auto"/>
                          <w:jc w:val="center"/>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32.4</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6" w:hRule="atLeast"/>
                    </w:trPr>
                    <w:tc>
                      <w:tcPr>
                        <w:tcW w:w="1122" w:type="dxa"/>
                        <w:vMerge w:val="continue"/>
                        <w:shd w:val="clear" w:color="auto" w:fill="FFFFFF"/>
                      </w:tcPr>
                      <w:p>
                        <w:pPr>
                          <w:spacing w:after="0" w:line="240" w:lineRule="auto"/>
                          <w:rPr>
                            <w:rFonts w:ascii="Times New Roman" w:hAnsi="Times New Roman" w:cs="Times New Roman"/>
                            <w:b w:val="0"/>
                            <w:bCs/>
                            <w:color w:val="000000" w:themeColor="text1" w:themeShade="BF"/>
                            <w:sz w:val="18"/>
                            <w:szCs w:val="18"/>
                            <w:lang w:val="en-US"/>
                          </w:rPr>
                        </w:pPr>
                      </w:p>
                    </w:tc>
                    <w:tc>
                      <w:tcPr>
                        <w:tcW w:w="2184" w:type="dxa"/>
                        <w:shd w:val="clear" w:color="auto" w:fill="FFFFFF"/>
                      </w:tcPr>
                      <w:p>
                        <w:pPr>
                          <w:spacing w:after="0" w:line="240" w:lineRule="auto"/>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Radiographie ASP</w:t>
                        </w:r>
                      </w:p>
                    </w:tc>
                    <w:tc>
                      <w:tcPr>
                        <w:tcW w:w="650" w:type="dxa"/>
                        <w:shd w:val="clear" w:color="auto" w:fill="FFFFFF"/>
                      </w:tcPr>
                      <w:p>
                        <w:pPr>
                          <w:spacing w:after="0" w:line="240" w:lineRule="auto"/>
                          <w:jc w:val="center"/>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28</w:t>
                        </w:r>
                      </w:p>
                    </w:tc>
                    <w:tc>
                      <w:tcPr>
                        <w:tcW w:w="625" w:type="dxa"/>
                        <w:shd w:val="clear" w:color="auto" w:fill="FFFFFF"/>
                      </w:tcPr>
                      <w:p>
                        <w:pPr>
                          <w:spacing w:after="0" w:line="240" w:lineRule="auto"/>
                          <w:jc w:val="center"/>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75.6</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122" w:type="dxa"/>
                        <w:vMerge w:val="continue"/>
                        <w:tcBorders>
                          <w:insideV w:val="nil"/>
                        </w:tcBorders>
                        <w:shd w:val="clear" w:color="auto" w:fill="DBE5F1"/>
                      </w:tcPr>
                      <w:p>
                        <w:pPr>
                          <w:spacing w:after="0" w:line="240" w:lineRule="auto"/>
                          <w:rPr>
                            <w:rFonts w:ascii="Times New Roman" w:hAnsi="Times New Roman" w:cs="Times New Roman"/>
                            <w:b w:val="0"/>
                            <w:bCs/>
                            <w:color w:val="000000" w:themeColor="text1" w:themeShade="BF"/>
                            <w:sz w:val="18"/>
                            <w:szCs w:val="18"/>
                            <w:lang w:val="en-US"/>
                          </w:rPr>
                        </w:pPr>
                      </w:p>
                    </w:tc>
                    <w:tc>
                      <w:tcPr>
                        <w:tcW w:w="2184" w:type="dxa"/>
                        <w:tcBorders>
                          <w:insideV w:val="nil"/>
                        </w:tcBorders>
                        <w:shd w:val="clear" w:color="auto" w:fill="DBE5F1"/>
                      </w:tcPr>
                      <w:p>
                        <w:pPr>
                          <w:spacing w:after="0" w:line="240" w:lineRule="auto"/>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Radiographie thorax</w:t>
                        </w:r>
                      </w:p>
                    </w:tc>
                    <w:tc>
                      <w:tcPr>
                        <w:tcW w:w="650" w:type="dxa"/>
                        <w:tcBorders>
                          <w:insideV w:val="nil"/>
                        </w:tcBorders>
                        <w:shd w:val="clear" w:color="auto" w:fill="DBE5F1"/>
                      </w:tcPr>
                      <w:p>
                        <w:pPr>
                          <w:spacing w:after="0" w:line="240" w:lineRule="auto"/>
                          <w:jc w:val="center"/>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5</w:t>
                        </w:r>
                      </w:p>
                    </w:tc>
                    <w:tc>
                      <w:tcPr>
                        <w:tcW w:w="625" w:type="dxa"/>
                        <w:tcBorders>
                          <w:insideV w:val="nil"/>
                        </w:tcBorders>
                        <w:shd w:val="clear" w:color="auto" w:fill="DBE5F1"/>
                      </w:tcPr>
                      <w:p>
                        <w:pPr>
                          <w:spacing w:after="0" w:line="240" w:lineRule="auto"/>
                          <w:jc w:val="center"/>
                          <w:rPr>
                            <w:rFonts w:ascii="Times New Roman" w:hAnsi="Times New Roman" w:cs="Times New Roman"/>
                            <w:color w:val="000000" w:themeColor="text1" w:themeShade="BF"/>
                            <w:sz w:val="18"/>
                            <w:szCs w:val="18"/>
                            <w:lang w:val="en-US"/>
                          </w:rPr>
                        </w:pPr>
                        <w:r>
                          <w:rPr>
                            <w:rFonts w:ascii="Times New Roman" w:hAnsi="Times New Roman" w:cs="Times New Roman"/>
                            <w:color w:val="000000" w:themeColor="text1" w:themeShade="BF"/>
                            <w:sz w:val="18"/>
                            <w:szCs w:val="18"/>
                            <w:lang w:val="en-US"/>
                          </w:rPr>
                          <w:t>13.5</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0" w:hRule="atLeast"/>
                    </w:trPr>
                    <w:tc>
                      <w:tcPr>
                        <w:tcW w:w="4581" w:type="dxa"/>
                        <w:gridSpan w:val="4"/>
                        <w:tcBorders>
                          <w:insideV w:val="nil"/>
                        </w:tcBorders>
                        <w:shd w:val="clear" w:color="auto" w:fill="FFFFFF"/>
                      </w:tcPr>
                      <w:p>
                        <w:pPr>
                          <w:spacing w:after="0" w:line="240" w:lineRule="auto"/>
                          <w:jc w:val="left"/>
                          <w:rPr>
                            <w:rFonts w:hint="default" w:ascii="Times New Roman" w:hAnsi="Times New Roman" w:cs="Times New Roman"/>
                            <w:b w:val="0"/>
                            <w:bCs/>
                            <w:color w:val="000000" w:themeColor="text1" w:themeShade="BF"/>
                            <w:sz w:val="18"/>
                            <w:szCs w:val="18"/>
                            <w:lang w:val="fr-FR"/>
                          </w:rPr>
                        </w:pPr>
                        <w:r>
                          <w:rPr>
                            <w:rFonts w:hint="default" w:ascii="Times New Roman" w:hAnsi="Times New Roman" w:cs="Times New Roman"/>
                            <w:b w:val="0"/>
                            <w:bCs/>
                            <w:color w:val="000000" w:themeColor="text1" w:themeShade="BF"/>
                            <w:sz w:val="18"/>
                            <w:szCs w:val="18"/>
                            <w:lang w:val="fr-FR"/>
                          </w:rPr>
                          <w:t>AVP: Accident de la voie publique</w:t>
                        </w:r>
                      </w:p>
                      <w:p>
                        <w:pPr>
                          <w:spacing w:after="0" w:line="240" w:lineRule="auto"/>
                          <w:jc w:val="left"/>
                          <w:rPr>
                            <w:rFonts w:hint="default" w:ascii="Times New Roman" w:hAnsi="Times New Roman" w:cs="Times New Roman"/>
                            <w:b w:val="0"/>
                            <w:bCs/>
                            <w:color w:val="000000" w:themeColor="text1" w:themeShade="BF"/>
                            <w:sz w:val="18"/>
                            <w:szCs w:val="18"/>
                            <w:lang w:val="fr-FR"/>
                          </w:rPr>
                        </w:pPr>
                        <w:r>
                          <w:rPr>
                            <w:rFonts w:hint="default" w:ascii="Times New Roman" w:hAnsi="Times New Roman" w:cs="Times New Roman"/>
                            <w:b w:val="0"/>
                            <w:bCs/>
                            <w:color w:val="000000" w:themeColor="text1" w:themeShade="BF"/>
                            <w:sz w:val="18"/>
                            <w:szCs w:val="18"/>
                            <w:lang w:val="fr-FR"/>
                          </w:rPr>
                          <w:t>ASP: Abdomen sans préparation</w:t>
                        </w:r>
                      </w:p>
                    </w:tc>
                  </w:tr>
                </w:tbl>
                <w:p/>
              </w:txbxContent>
            </v:textbox>
          </v:shape>
        </w:pict>
      </w: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r>
        <w:rPr>
          <w:rFonts w:hint="default" w:ascii="Times New Roman" w:hAnsi="Times New Roman" w:cs="Times New Roman"/>
          <w:sz w:val="20"/>
        </w:rPr>
        <w:t>La topographie des zones de lésion abdominales était multiple et diverse. Les plaies abdominales prédominaient sur les flancs, soit 11 cas (29,7%) pour le flanc gauche et 6cas (16,2%) pour le flanc droit (Tableau II). Les formes cliniques étaient multiples et variées. Elles allaient des plaies abdominales simples 14 cas</w:t>
      </w:r>
      <w:r>
        <w:rPr>
          <w:rFonts w:hint="default" w:ascii="Times New Roman" w:hAnsi="Times New Roman" w:cs="Times New Roman"/>
          <w:sz w:val="20"/>
          <w:lang w:val="fr-FR"/>
        </w:rPr>
        <w:t xml:space="preserve"> </w:t>
      </w:r>
      <w:r>
        <w:rPr>
          <w:rFonts w:hint="default" w:ascii="Times New Roman" w:hAnsi="Times New Roman" w:cs="Times New Roman"/>
          <w:sz w:val="20"/>
        </w:rPr>
        <w:t>(37,8%) aux plaies avec éviscération 10 cas</w:t>
      </w:r>
      <w:r>
        <w:rPr>
          <w:rFonts w:hint="default" w:ascii="Times New Roman" w:hAnsi="Times New Roman" w:cs="Times New Roman"/>
          <w:sz w:val="20"/>
          <w:lang w:val="fr-FR"/>
        </w:rPr>
        <w:t xml:space="preserve"> </w:t>
      </w:r>
      <w:r>
        <w:rPr>
          <w:rFonts w:hint="default" w:ascii="Times New Roman" w:hAnsi="Times New Roman" w:cs="Times New Roman"/>
          <w:sz w:val="20"/>
        </w:rPr>
        <w:t>( 27%), et diverses autres lésions associées comme le montre le (Tableau III).</w:t>
      </w:r>
    </w:p>
    <w:p>
      <w:pPr>
        <w:keepNext w:val="0"/>
        <w:keepLines w:val="0"/>
        <w:pageBreakBefore w:val="0"/>
        <w:widowControl/>
        <w:tabs>
          <w:tab w:val="left" w:pos="1275"/>
        </w:tabs>
        <w:kinsoku/>
        <w:wordWrap/>
        <w:overflowPunct/>
        <w:topLinePunct w:val="0"/>
        <w:autoSpaceDE/>
        <w:autoSpaceDN/>
        <w:bidi w:val="0"/>
        <w:adjustRightInd/>
        <w:snapToGrid/>
        <w:spacing w:after="0" w:line="240" w:lineRule="auto"/>
        <w:jc w:val="both"/>
        <w:textAlignment w:val="auto"/>
        <w:rPr>
          <w:rFonts w:ascii="Times New Roman" w:hAnsi="Times New Roman" w:cs="Times New Roman"/>
          <w:sz w:val="20"/>
          <w:szCs w:val="20"/>
        </w:rPr>
      </w:pPr>
      <w:r>
        <w:rPr>
          <w:rFonts w:ascii="Times New Roman" w:hAnsi="Times New Roman" w:cs="Times New Roman"/>
          <w:sz w:val="20"/>
          <w:szCs w:val="20"/>
        </w:rPr>
        <w:t xml:space="preserve">Les indications de laparotomie d’emblée représentaient 70% des indications chirurgicales, les indications secondaire après surveillance était de 27% tandis que les non indications étaient de 3%. </w:t>
      </w:r>
      <w:r>
        <w:rPr>
          <w:rFonts w:ascii="Times New Roman" w:hAnsi="Times New Roman" w:cs="Times New Roman"/>
          <w:sz w:val="20"/>
          <w:szCs w:val="20"/>
          <w:lang w:val="fr-FR"/>
        </w:rPr>
        <w:t>Parmi</w:t>
      </w:r>
      <w:r>
        <w:rPr>
          <w:rFonts w:ascii="Times New Roman" w:hAnsi="Times New Roman" w:cs="Times New Roman"/>
          <w:sz w:val="20"/>
          <w:szCs w:val="20"/>
        </w:rPr>
        <w:t xml:space="preserve"> les indications de laparotomie d’emblée les plaies avec éviscération représentaient</w:t>
      </w:r>
      <w:r>
        <w:rPr>
          <w:rFonts w:hint="default" w:ascii="Times New Roman" w:hAnsi="Times New Roman" w:cs="Times New Roman"/>
          <w:sz w:val="20"/>
          <w:szCs w:val="20"/>
          <w:lang w:val="fr-FR"/>
        </w:rPr>
        <w:t xml:space="preserve"> </w:t>
      </w:r>
      <w:r>
        <w:rPr>
          <w:rFonts w:ascii="Times New Roman" w:hAnsi="Times New Roman" w:cs="Times New Roman"/>
          <w:sz w:val="20"/>
          <w:szCs w:val="20"/>
        </w:rPr>
        <w:t>27% de notre population, les polytraumatisés 13,5%, les péritonites 10,8%, les plaies avec instabilité hémodynamique 10,8%, les plaies thoraco-abdominales 5,4%</w:t>
      </w:r>
      <w:r>
        <w:rPr>
          <w:rFonts w:hint="default" w:ascii="Times New Roman" w:hAnsi="Times New Roman" w:cs="Times New Roman"/>
          <w:sz w:val="20"/>
          <w:szCs w:val="20"/>
          <w:lang w:val="fr-FR"/>
        </w:rPr>
        <w:t>,</w:t>
      </w:r>
      <w:r>
        <w:rPr>
          <w:rFonts w:ascii="Times New Roman" w:hAnsi="Times New Roman" w:cs="Times New Roman"/>
          <w:sz w:val="20"/>
          <w:szCs w:val="20"/>
        </w:rPr>
        <w:t xml:space="preserve"> les plaies par arme à feu 5,4% et les plaies avec arme blanche insitus 2,7%. Dans les indications secondaires</w:t>
      </w:r>
      <w:r>
        <w:rPr>
          <w:rFonts w:hint="default" w:ascii="Times New Roman" w:hAnsi="Times New Roman" w:cs="Times New Roman"/>
          <w:sz w:val="20"/>
          <w:szCs w:val="20"/>
          <w:lang w:val="fr-FR"/>
        </w:rPr>
        <w:t>,</w:t>
      </w:r>
      <w:r>
        <w:rPr>
          <w:rFonts w:ascii="Times New Roman" w:hAnsi="Times New Roman" w:cs="Times New Roman"/>
          <w:sz w:val="20"/>
          <w:szCs w:val="20"/>
        </w:rPr>
        <w:t xml:space="preserve"> les plaies simples avec pneumopéritoine à l’ASP représentaient 16,2%, </w:t>
      </w:r>
      <w:r>
        <w:rPr>
          <w:rFonts w:hint="default" w:ascii="Times New Roman" w:hAnsi="Times New Roman" w:cs="Times New Roman"/>
          <w:sz w:val="20"/>
          <w:szCs w:val="20"/>
          <w:lang w:val="fr-FR"/>
        </w:rPr>
        <w:t>les p</w:t>
      </w:r>
      <w:r>
        <w:rPr>
          <w:rFonts w:ascii="Times New Roman" w:hAnsi="Times New Roman" w:cs="Times New Roman"/>
          <w:sz w:val="20"/>
          <w:szCs w:val="20"/>
        </w:rPr>
        <w:t>laies simples avec installation de syndrome hémorragique 5,4%, les plaies simples compliquées de péritonite 13,5%.</w:t>
      </w:r>
      <w:r>
        <w:rPr>
          <w:rFonts w:hint="default" w:ascii="Times New Roman" w:hAnsi="Times New Roman" w:cs="Times New Roman"/>
          <w:sz w:val="20"/>
          <w:szCs w:val="20"/>
          <w:lang w:val="fr-FR"/>
        </w:rPr>
        <w:t xml:space="preserve"> </w:t>
      </w:r>
      <w:r>
        <w:rPr>
          <w:rFonts w:ascii="Times New Roman" w:hAnsi="Times New Roman" w:cs="Times New Roman"/>
          <w:sz w:val="20"/>
          <w:szCs w:val="20"/>
        </w:rPr>
        <w:t>Nous n’avons eu qu’un cas de non indication représentant 2,7% de la population</w:t>
      </w:r>
      <w:r>
        <w:rPr>
          <w:rFonts w:ascii="Times New Roman" w:hAnsi="Times New Roman" w:cs="Times New Roman"/>
          <w:b w:val="0"/>
          <w:bCs w:val="0"/>
          <w:sz w:val="20"/>
          <w:szCs w:val="20"/>
        </w:rPr>
        <w:t xml:space="preserve"> (</w:t>
      </w:r>
      <w:r>
        <w:rPr>
          <w:rFonts w:ascii="Times New Roman" w:hAnsi="Times New Roman" w:eastAsia="Times New Roman" w:cs="Times New Roman"/>
          <w:b w:val="0"/>
          <w:bCs w:val="0"/>
          <w:color w:val="000000"/>
          <w:sz w:val="20"/>
          <w:szCs w:val="20"/>
        </w:rPr>
        <w:t>Tableau III</w:t>
      </w:r>
      <w:r>
        <w:rPr>
          <w:rFonts w:ascii="Times New Roman" w:hAnsi="Times New Roman" w:cs="Times New Roman"/>
          <w:b w:val="0"/>
          <w:bCs w:val="0"/>
          <w:sz w:val="20"/>
          <w:szCs w:val="20"/>
        </w:rPr>
        <w:t>)</w:t>
      </w:r>
      <w:r>
        <w:rPr>
          <w:rFonts w:ascii="Times New Roman" w:hAnsi="Times New Roman" w:cs="Times New Roman"/>
          <w:sz w:val="20"/>
          <w:szCs w:val="20"/>
        </w:rPr>
        <w:t>.</w:t>
      </w:r>
    </w:p>
    <w:p>
      <w:pPr>
        <w:keepNext w:val="0"/>
        <w:keepLines w:val="0"/>
        <w:pageBreakBefore w:val="0"/>
        <w:widowControl/>
        <w:tabs>
          <w:tab w:val="left" w:pos="1275"/>
        </w:tabs>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lang w:val="fr-FR"/>
        </w:rPr>
      </w:pPr>
      <w:r>
        <w:rPr>
          <w:rFonts w:ascii="Times New Roman" w:hAnsi="Times New Roman" w:cs="Times New Roman"/>
          <w:sz w:val="20"/>
          <w:szCs w:val="20"/>
        </w:rPr>
        <w:t>Les explorations réalisé</w:t>
      </w:r>
      <w:r>
        <w:rPr>
          <w:rFonts w:hint="default" w:ascii="Times New Roman" w:hAnsi="Times New Roman" w:cs="Times New Roman"/>
          <w:sz w:val="20"/>
          <w:szCs w:val="20"/>
          <w:lang w:val="fr-FR"/>
        </w:rPr>
        <w:t>e</w:t>
      </w:r>
      <w:r>
        <w:rPr>
          <w:rFonts w:ascii="Times New Roman" w:hAnsi="Times New Roman" w:cs="Times New Roman"/>
          <w:sz w:val="20"/>
          <w:szCs w:val="20"/>
        </w:rPr>
        <w:t xml:space="preserve">s étaient les radiographies </w:t>
      </w:r>
      <w:r>
        <w:rPr>
          <w:rFonts w:hint="default" w:ascii="Times New Roman" w:hAnsi="Times New Roman" w:cs="Times New Roman"/>
          <w:sz w:val="20"/>
          <w:szCs w:val="20"/>
          <w:lang w:val="fr-FR"/>
        </w:rPr>
        <w:t xml:space="preserve">ASP à </w:t>
      </w:r>
      <w:r>
        <w:rPr>
          <w:rFonts w:ascii="Times New Roman" w:hAnsi="Times New Roman" w:cs="Times New Roman"/>
          <w:sz w:val="20"/>
          <w:szCs w:val="20"/>
        </w:rPr>
        <w:t>75,6%</w:t>
      </w:r>
      <w:r>
        <w:rPr>
          <w:rFonts w:hint="default" w:ascii="Times New Roman" w:hAnsi="Times New Roman" w:cs="Times New Roman"/>
          <w:sz w:val="20"/>
          <w:szCs w:val="20"/>
          <w:lang w:val="fr-FR"/>
        </w:rPr>
        <w:t xml:space="preserve">, </w:t>
      </w:r>
      <w:r>
        <w:rPr>
          <w:rFonts w:ascii="Times New Roman" w:hAnsi="Times New Roman" w:cs="Times New Roman"/>
          <w:sz w:val="20"/>
          <w:szCs w:val="20"/>
        </w:rPr>
        <w:t xml:space="preserve">l’exploration sous anesthésie locale de la plaie </w:t>
      </w:r>
      <w:r>
        <w:rPr>
          <w:rFonts w:hint="default" w:ascii="Times New Roman" w:hAnsi="Times New Roman" w:cs="Times New Roman"/>
          <w:sz w:val="20"/>
          <w:szCs w:val="20"/>
          <w:lang w:val="fr-FR"/>
        </w:rPr>
        <w:t xml:space="preserve">chez </w:t>
      </w:r>
      <w:r>
        <w:rPr>
          <w:rFonts w:ascii="Times New Roman" w:hAnsi="Times New Roman" w:cs="Times New Roman"/>
          <w:sz w:val="20"/>
          <w:szCs w:val="20"/>
        </w:rPr>
        <w:t>14</w:t>
      </w:r>
      <w:r>
        <w:rPr>
          <w:rFonts w:hint="default" w:ascii="Times New Roman" w:hAnsi="Times New Roman" w:cs="Times New Roman"/>
          <w:sz w:val="20"/>
          <w:szCs w:val="20"/>
          <w:lang w:val="fr-FR"/>
        </w:rPr>
        <w:t xml:space="preserve"> patients </w:t>
      </w:r>
      <w:r>
        <w:rPr>
          <w:rFonts w:ascii="Times New Roman" w:hAnsi="Times New Roman" w:cs="Times New Roman"/>
          <w:sz w:val="20"/>
          <w:szCs w:val="20"/>
        </w:rPr>
        <w:t xml:space="preserve">(37,8%), l’échographie abdominale </w:t>
      </w:r>
      <w:r>
        <w:rPr>
          <w:rFonts w:hint="default" w:ascii="Times New Roman" w:hAnsi="Times New Roman" w:cs="Times New Roman"/>
          <w:sz w:val="20"/>
          <w:szCs w:val="20"/>
          <w:lang w:val="fr-FR"/>
        </w:rPr>
        <w:t xml:space="preserve">dans </w:t>
      </w:r>
      <w:r>
        <w:rPr>
          <w:rFonts w:ascii="Times New Roman" w:hAnsi="Times New Roman" w:cs="Times New Roman"/>
          <w:sz w:val="20"/>
          <w:szCs w:val="20"/>
        </w:rPr>
        <w:t>32,4%</w:t>
      </w:r>
      <w:r>
        <w:rPr>
          <w:rFonts w:hint="default" w:ascii="Times New Roman" w:hAnsi="Times New Roman" w:cs="Times New Roman"/>
          <w:sz w:val="20"/>
          <w:szCs w:val="20"/>
          <w:lang w:val="fr-FR"/>
        </w:rPr>
        <w:t xml:space="preserve"> de cas </w:t>
      </w:r>
      <w:r>
        <w:rPr>
          <w:rFonts w:ascii="Times New Roman" w:hAnsi="Times New Roman" w:cs="Times New Roman"/>
          <w:sz w:val="20"/>
          <w:szCs w:val="20"/>
        </w:rPr>
        <w:t xml:space="preserve">et en fin de radiographie du thorax </w:t>
      </w:r>
      <w:r>
        <w:rPr>
          <w:rFonts w:hint="default" w:ascii="Times New Roman" w:hAnsi="Times New Roman" w:cs="Times New Roman"/>
          <w:sz w:val="20"/>
          <w:szCs w:val="20"/>
          <w:lang w:val="fr-FR"/>
        </w:rPr>
        <w:t xml:space="preserve">dans </w:t>
      </w:r>
      <w:r>
        <w:rPr>
          <w:rFonts w:ascii="Times New Roman" w:hAnsi="Times New Roman" w:cs="Times New Roman"/>
          <w:sz w:val="20"/>
          <w:szCs w:val="20"/>
        </w:rPr>
        <w:t>13,5%</w:t>
      </w:r>
      <w:r>
        <w:rPr>
          <w:rFonts w:hint="default" w:ascii="Times New Roman" w:hAnsi="Times New Roman" w:cs="Times New Roman"/>
          <w:sz w:val="20"/>
          <w:szCs w:val="20"/>
          <w:lang w:val="fr-FR"/>
        </w:rPr>
        <w:t xml:space="preserve"> de cas</w:t>
      </w:r>
      <w:r>
        <w:rPr>
          <w:rFonts w:ascii="Times New Roman" w:hAnsi="Times New Roman" w:cs="Times New Roman"/>
          <w:sz w:val="20"/>
          <w:szCs w:val="20"/>
        </w:rPr>
        <w:t xml:space="preserve"> </w:t>
      </w:r>
      <w:r>
        <w:rPr>
          <w:rFonts w:ascii="Times New Roman" w:hAnsi="Times New Roman" w:cs="Times New Roman"/>
          <w:b w:val="0"/>
          <w:bCs w:val="0"/>
          <w:sz w:val="20"/>
          <w:szCs w:val="20"/>
        </w:rPr>
        <w:t>(</w:t>
      </w:r>
      <w:r>
        <w:rPr>
          <w:rFonts w:ascii="Times New Roman" w:hAnsi="Times New Roman" w:eastAsia="Times New Roman" w:cs="Times New Roman"/>
          <w:b w:val="0"/>
          <w:bCs w:val="0"/>
          <w:color w:val="000000"/>
          <w:sz w:val="20"/>
          <w:szCs w:val="20"/>
        </w:rPr>
        <w:t>Tableau II</w:t>
      </w:r>
      <w:r>
        <w:rPr>
          <w:rFonts w:ascii="Times New Roman" w:hAnsi="Times New Roman" w:cs="Times New Roman"/>
          <w:b w:val="0"/>
          <w:bCs w:val="0"/>
          <w:sz w:val="20"/>
          <w:szCs w:val="20"/>
        </w:rPr>
        <w:t>).</w:t>
      </w:r>
      <w:r>
        <w:rPr>
          <w:rFonts w:hint="default" w:ascii="Times New Roman" w:hAnsi="Times New Roman" w:cs="Times New Roman"/>
          <w:b w:val="0"/>
          <w:bCs w:val="0"/>
          <w:sz w:val="20"/>
          <w:szCs w:val="20"/>
          <w:lang w:val="fr-FR"/>
        </w:rPr>
        <w:t xml:space="preserve"> </w:t>
      </w:r>
      <w:r>
        <w:rPr>
          <w:rFonts w:ascii="Times New Roman" w:hAnsi="Times New Roman" w:cs="Times New Roman"/>
          <w:sz w:val="20"/>
          <w:szCs w:val="20"/>
        </w:rPr>
        <w:t xml:space="preserve">Aucun scanner </w:t>
      </w:r>
      <w:r>
        <w:rPr>
          <w:rFonts w:hint="default" w:ascii="Times New Roman" w:hAnsi="Times New Roman" w:cs="Times New Roman"/>
          <w:sz w:val="20"/>
          <w:szCs w:val="20"/>
          <w:lang w:val="fr-FR"/>
        </w:rPr>
        <w:t>ni</w:t>
      </w:r>
      <w:r>
        <w:rPr>
          <w:rFonts w:ascii="Times New Roman" w:hAnsi="Times New Roman" w:cs="Times New Roman"/>
          <w:sz w:val="20"/>
          <w:szCs w:val="20"/>
        </w:rPr>
        <w:t xml:space="preserve"> PLP </w:t>
      </w:r>
      <w:r>
        <w:rPr>
          <w:rFonts w:hint="default" w:ascii="Times New Roman" w:hAnsi="Times New Roman" w:cs="Times New Roman"/>
          <w:sz w:val="20"/>
          <w:szCs w:val="20"/>
          <w:lang w:val="fr-FR"/>
        </w:rPr>
        <w:t>n’a</w:t>
      </w:r>
      <w:r>
        <w:rPr>
          <w:rFonts w:ascii="Times New Roman" w:hAnsi="Times New Roman" w:cs="Times New Roman"/>
          <w:sz w:val="20"/>
          <w:szCs w:val="20"/>
        </w:rPr>
        <w:t xml:space="preserve"> été </w:t>
      </w:r>
      <w:r>
        <w:rPr>
          <w:rFonts w:ascii="Times New Roman" w:hAnsi="Times New Roman" w:cs="Times New Roman"/>
          <w:sz w:val="20"/>
          <w:szCs w:val="20"/>
          <w:lang w:val="fr-FR"/>
        </w:rPr>
        <w:t>réalisé</w:t>
      </w:r>
      <w:r>
        <w:rPr>
          <w:rFonts w:hint="default" w:ascii="Times New Roman" w:hAnsi="Times New Roman" w:cs="Times New Roman"/>
          <w:sz w:val="20"/>
          <w:szCs w:val="20"/>
          <w:lang w:val="fr-FR"/>
        </w:rPr>
        <w:t>.</w:t>
      </w:r>
    </w:p>
    <w:p>
      <w:pPr>
        <w:keepNext w:val="0"/>
        <w:keepLines w:val="0"/>
        <w:pageBreakBefore w:val="0"/>
        <w:widowControl/>
        <w:tabs>
          <w:tab w:val="left" w:pos="1275"/>
        </w:tabs>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lang w:val="fr-FR"/>
        </w:rPr>
      </w:pPr>
    </w:p>
    <w:p>
      <w:pPr>
        <w:keepNext w:val="0"/>
        <w:keepLines w:val="0"/>
        <w:pageBreakBefore w:val="0"/>
        <w:widowControl/>
        <w:tabs>
          <w:tab w:val="left" w:pos="1275"/>
        </w:tabs>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lang w:val="fr-FR"/>
        </w:rPr>
        <w:sectPr>
          <w:type w:val="continuous"/>
          <w:pgSz w:w="11850" w:h="16783"/>
          <w:pgMar w:top="1134" w:right="850" w:bottom="1417" w:left="1134" w:header="708" w:footer="708" w:gutter="0"/>
          <w:cols w:equalWidth="0" w:num="2">
            <w:col w:w="4720" w:space="425"/>
            <w:col w:w="4720"/>
          </w:cols>
          <w:docGrid w:linePitch="360" w:charSpace="0"/>
        </w:sect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r>
        <w:rPr>
          <w:sz w:val="20"/>
        </w:rPr>
        <w:pict>
          <v:shape id="_x0000_s1035" o:spid="_x0000_s1035" o:spt="202" type="#_x0000_t202" style="position:absolute;left:0pt;margin-left:-2pt;margin-top:9.2pt;height:290.65pt;width:493.75pt;z-index:251659264;mso-width-relative:page;mso-height-relative:page;" fillcolor="#FFFFFF" filled="t" stroked="f" coordsize="21600,21600">
            <v:path/>
            <v:fill on="t" color2="#FFFFFF" focussize="0,0"/>
            <v:stroke on="f"/>
            <v:imagedata o:title=""/>
            <o:lock v:ext="edit" aspectratio="f"/>
            <v:textbox>
              <w:txbxContent>
                <w:tbl>
                  <w:tblPr>
                    <w:tblStyle w:val="23"/>
                    <w:tblpPr w:leftFromText="180" w:rightFromText="180" w:vertAnchor="text" w:horzAnchor="page" w:tblpX="1141" w:tblpY="500"/>
                    <w:tblOverlap w:val="never"/>
                    <w:tblW w:w="9564" w:type="dxa"/>
                    <w:tblInd w:w="0" w:type="dxa"/>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64"/>
                    <w:gridCol w:w="1950"/>
                    <w:gridCol w:w="3713"/>
                    <w:gridCol w:w="825"/>
                    <w:gridCol w:w="812"/>
                  </w:tblGrid>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1" w:hRule="atLeast"/>
                    </w:trPr>
                    <w:tc>
                      <w:tcPr>
                        <w:tcW w:w="9564" w:type="dxa"/>
                        <w:gridSpan w:val="5"/>
                        <w:tcBorders>
                          <w:insideH w:val="single" w:sz="8" w:space="0"/>
                          <w:insideV w:val="nil"/>
                        </w:tcBorders>
                        <w:shd w:val="clear" w:color="auto" w:fill="DBE5F1"/>
                      </w:tcPr>
                      <w:p>
                        <w:pPr>
                          <w:pStyle w:val="5"/>
                          <w:keepNext/>
                          <w:keepLines w:val="0"/>
                          <w:pageBreakBefore w:val="0"/>
                          <w:widowControl/>
                          <w:kinsoku/>
                          <w:wordWrap/>
                          <w:overflowPunct/>
                          <w:topLinePunct w:val="0"/>
                          <w:autoSpaceDE/>
                          <w:autoSpaceDN/>
                          <w:bidi w:val="0"/>
                          <w:adjustRightInd/>
                          <w:snapToGrid/>
                          <w:spacing w:after="0"/>
                          <w:textAlignment w:val="auto"/>
                          <w:rPr>
                            <w:rFonts w:hint="default" w:ascii="Times New Roman" w:hAnsi="Times New Roman" w:cs="Times New Roman"/>
                            <w:b/>
                            <w:bCs/>
                            <w:color w:val="000000"/>
                            <w:sz w:val="18"/>
                            <w:szCs w:val="18"/>
                            <w:lang w:val="en-US"/>
                          </w:rPr>
                        </w:pPr>
                        <w:r>
                          <w:rPr>
                            <w:rFonts w:hint="default" w:ascii="Times New Roman" w:hAnsi="Times New Roman" w:cs="Times New Roman"/>
                            <w:color w:val="000000"/>
                            <w:sz w:val="18"/>
                            <w:szCs w:val="18"/>
                            <w:u w:val="none"/>
                            <w:lang w:val="fr-FR"/>
                          </w:rPr>
                          <w:t>T</w:t>
                        </w:r>
                        <w:r>
                          <w:rPr>
                            <w:rFonts w:hint="default" w:ascii="Times New Roman" w:hAnsi="Times New Roman" w:cs="Times New Roman"/>
                            <w:color w:val="000000"/>
                            <w:sz w:val="18"/>
                            <w:szCs w:val="18"/>
                            <w:u w:val="none"/>
                          </w:rPr>
                          <w:t>able</w:t>
                        </w:r>
                        <w:r>
                          <w:rPr>
                            <w:rFonts w:hint="default" w:ascii="Times New Roman" w:hAnsi="Times New Roman" w:cs="Times New Roman"/>
                            <w:color w:val="000000"/>
                            <w:sz w:val="18"/>
                            <w:szCs w:val="18"/>
                            <w:u w:val="none"/>
                            <w:lang w:val="fr-FR"/>
                          </w:rPr>
                          <w:t>au</w:t>
                        </w:r>
                        <w:r>
                          <w:rPr>
                            <w:rFonts w:hint="default" w:ascii="Times New Roman" w:hAnsi="Times New Roman" w:cs="Times New Roman"/>
                            <w:color w:val="000000"/>
                            <w:sz w:val="18"/>
                            <w:szCs w:val="18"/>
                            <w:u w:val="none"/>
                          </w:rPr>
                          <w:t xml:space="preserve"> III: Diagnotic</w:t>
                        </w:r>
                        <w:r>
                          <w:rPr>
                            <w:rFonts w:hint="default" w:ascii="Times New Roman" w:hAnsi="Times New Roman" w:cs="Times New Roman"/>
                            <w:color w:val="000000"/>
                            <w:sz w:val="18"/>
                            <w:szCs w:val="18"/>
                            <w:u w:val="none"/>
                            <w:lang w:val="fr-FR"/>
                          </w:rPr>
                          <w:t>s</w:t>
                        </w:r>
                        <w:r>
                          <w:rPr>
                            <w:rFonts w:hint="default" w:ascii="Times New Roman" w:hAnsi="Times New Roman" w:cs="Times New Roman"/>
                            <w:color w:val="000000"/>
                            <w:sz w:val="18"/>
                            <w:szCs w:val="18"/>
                            <w:u w:val="none"/>
                          </w:rPr>
                          <w:t xml:space="preserve"> et indications opératoires</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4" w:hRule="atLeast"/>
                    </w:trPr>
                    <w:tc>
                      <w:tcPr>
                        <w:tcW w:w="7927" w:type="dxa"/>
                        <w:gridSpan w:val="3"/>
                        <w:tcBorders>
                          <w:insideH w:val="single" w:sz="8" w:space="0"/>
                          <w:insideV w:val="nil"/>
                        </w:tcBorders>
                        <w:shd w:val="clear" w:color="auto" w:fill="FFFFFF"/>
                      </w:tcPr>
                      <w:p>
                        <w:pPr>
                          <w:spacing w:before="0" w:after="0" w:line="240" w:lineRule="auto"/>
                          <w:rPr>
                            <w:rFonts w:hint="default" w:ascii="Times New Roman" w:hAnsi="Times New Roman" w:cs="Times New Roman"/>
                            <w:b w:val="0"/>
                            <w:bCs/>
                            <w:color w:val="000000" w:themeColor="text1" w:themeShade="BF"/>
                            <w:sz w:val="18"/>
                            <w:szCs w:val="18"/>
                            <w:lang w:val="en-US"/>
                          </w:rPr>
                        </w:pPr>
                        <w:r>
                          <w:rPr>
                            <w:rFonts w:hint="default" w:ascii="Times New Roman" w:hAnsi="Times New Roman" w:cs="Times New Roman"/>
                            <w:b/>
                            <w:bCs/>
                            <w:color w:val="000000" w:themeColor="text1" w:themeShade="BF"/>
                            <w:sz w:val="18"/>
                            <w:szCs w:val="18"/>
                            <w:lang w:val="en-US"/>
                          </w:rPr>
                          <w:t>Items</w:t>
                        </w:r>
                      </w:p>
                    </w:tc>
                    <w:tc>
                      <w:tcPr>
                        <w:tcW w:w="825" w:type="dxa"/>
                        <w:tcBorders>
                          <w:insideH w:val="single" w:sz="8" w:space="0"/>
                          <w:insideV w:val="nil"/>
                        </w:tcBorders>
                        <w:shd w:val="clear" w:color="auto" w:fill="FFFFFF"/>
                      </w:tcPr>
                      <w:p>
                        <w:pPr>
                          <w:spacing w:before="0" w:after="0" w:line="240" w:lineRule="auto"/>
                          <w:jc w:val="center"/>
                          <w:rPr>
                            <w:rFonts w:hint="default" w:ascii="Times New Roman" w:hAnsi="Times New Roman" w:cs="Times New Roman"/>
                            <w:b w:val="0"/>
                            <w:bCs/>
                            <w:color w:val="000000" w:themeColor="text1" w:themeShade="BF"/>
                            <w:sz w:val="18"/>
                            <w:szCs w:val="18"/>
                            <w:lang w:val="fr-FR"/>
                          </w:rPr>
                        </w:pPr>
                        <w:r>
                          <w:rPr>
                            <w:rFonts w:hint="default" w:ascii="Times New Roman" w:hAnsi="Times New Roman" w:cs="Times New Roman"/>
                            <w:b/>
                            <w:bCs/>
                            <w:color w:val="000000" w:themeColor="text1" w:themeShade="BF"/>
                            <w:sz w:val="18"/>
                            <w:szCs w:val="18"/>
                            <w:lang w:val="fr-FR"/>
                          </w:rPr>
                          <w:t>n</w:t>
                        </w:r>
                      </w:p>
                    </w:tc>
                    <w:tc>
                      <w:tcPr>
                        <w:tcW w:w="812" w:type="dxa"/>
                        <w:tcBorders>
                          <w:insideH w:val="single" w:sz="8" w:space="0"/>
                          <w:insideV w:val="nil"/>
                        </w:tcBorders>
                        <w:shd w:val="clear" w:color="auto" w:fill="FFFFFF"/>
                      </w:tcPr>
                      <w:p>
                        <w:pPr>
                          <w:spacing w:before="0" w:after="0" w:line="240" w:lineRule="auto"/>
                          <w:jc w:val="center"/>
                          <w:rPr>
                            <w:rFonts w:hint="default" w:ascii="Times New Roman" w:hAnsi="Times New Roman" w:cs="Times New Roman"/>
                            <w:b/>
                            <w:bCs/>
                            <w:color w:val="000000" w:themeColor="text1" w:themeShade="BF"/>
                            <w:sz w:val="18"/>
                            <w:szCs w:val="18"/>
                            <w:lang w:val="en-US"/>
                          </w:rPr>
                        </w:pPr>
                        <w:r>
                          <w:rPr>
                            <w:rFonts w:hint="default" w:ascii="Times New Roman" w:hAnsi="Times New Roman" w:cs="Times New Roman"/>
                            <w:b/>
                            <w:bCs/>
                            <w:color w:val="000000" w:themeColor="text1" w:themeShade="BF"/>
                            <w:sz w:val="18"/>
                            <w:szCs w:val="18"/>
                            <w:lang w:val="en-US"/>
                          </w:rPr>
                          <w:t>%</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564" w:type="dxa"/>
                        <w:gridSpan w:val="5"/>
                        <w:tcBorders>
                          <w:insideV w:val="nil"/>
                        </w:tcBorders>
                        <w:shd w:val="clear" w:color="auto" w:fill="DBE5F1"/>
                      </w:tcPr>
                      <w:p>
                        <w:pPr>
                          <w:spacing w:after="0" w:line="240" w:lineRule="auto"/>
                          <w:rPr>
                            <w:rFonts w:hint="default" w:ascii="Times New Roman" w:hAnsi="Times New Roman" w:cs="Times New Roman"/>
                            <w:b/>
                            <w:color w:val="000000" w:themeColor="text1" w:themeShade="BF"/>
                            <w:sz w:val="18"/>
                            <w:szCs w:val="18"/>
                            <w:lang w:val="en-US"/>
                          </w:rPr>
                        </w:pPr>
                        <w:r>
                          <w:rPr>
                            <w:rFonts w:hint="default" w:ascii="Times New Roman" w:hAnsi="Times New Roman" w:cs="Times New Roman"/>
                            <w:b/>
                            <w:bCs/>
                            <w:color w:val="000000" w:themeColor="text1" w:themeShade="BF"/>
                            <w:sz w:val="18"/>
                            <w:szCs w:val="18"/>
                            <w:lang w:val="en-US"/>
                          </w:rPr>
                          <w:t>Diagnostic</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6" w:hRule="atLeast"/>
                    </w:trPr>
                    <w:tc>
                      <w:tcPr>
                        <w:tcW w:w="4214" w:type="dxa"/>
                        <w:gridSpan w:val="2"/>
                        <w:shd w:val="clear" w:color="auto" w:fill="FFFFFF"/>
                      </w:tcPr>
                      <w:p>
                        <w:pPr>
                          <w:spacing w:after="0" w:line="240" w:lineRule="auto"/>
                          <w:rPr>
                            <w:rFonts w:hint="default" w:ascii="Times New Roman" w:hAnsi="Times New Roman" w:cs="Times New Roman"/>
                            <w:b/>
                            <w:bCs/>
                            <w:color w:val="000000" w:themeColor="text1" w:themeShade="BF"/>
                            <w:sz w:val="18"/>
                            <w:szCs w:val="18"/>
                            <w:lang w:val="en-US"/>
                          </w:rPr>
                        </w:pPr>
                        <w:r>
                          <w:rPr>
                            <w:rFonts w:hint="default" w:ascii="Times New Roman" w:hAnsi="Times New Roman" w:cs="Times New Roman"/>
                            <w:b/>
                            <w:bCs/>
                            <w:color w:val="000000" w:themeColor="text1" w:themeShade="BF"/>
                            <w:sz w:val="18"/>
                            <w:szCs w:val="18"/>
                            <w:lang w:val="en-US"/>
                          </w:rPr>
                          <w:t xml:space="preserve">Plaies abdominales simples </w:t>
                        </w:r>
                      </w:p>
                    </w:tc>
                    <w:tc>
                      <w:tcPr>
                        <w:tcW w:w="3713" w:type="dxa"/>
                        <w:shd w:val="clear" w:color="auto" w:fill="FFFFFF"/>
                      </w:tcPr>
                      <w:p>
                        <w:pPr>
                          <w:spacing w:after="0" w:line="240" w:lineRule="auto"/>
                          <w:rPr>
                            <w:rFonts w:hint="default" w:ascii="Times New Roman" w:hAnsi="Times New Roman" w:cs="Times New Roman"/>
                            <w:color w:val="000000" w:themeColor="text1" w:themeShade="BF"/>
                            <w:sz w:val="18"/>
                            <w:szCs w:val="18"/>
                            <w:lang w:val="en-US"/>
                          </w:rPr>
                        </w:pPr>
                      </w:p>
                    </w:tc>
                    <w:tc>
                      <w:tcPr>
                        <w:tcW w:w="825" w:type="dxa"/>
                        <w:shd w:val="clear" w:color="auto" w:fill="FFFFFF"/>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14</w:t>
                        </w:r>
                      </w:p>
                    </w:tc>
                    <w:tc>
                      <w:tcPr>
                        <w:tcW w:w="812" w:type="dxa"/>
                        <w:shd w:val="clear" w:color="auto" w:fill="FFFFFF"/>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37.9</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14" w:type="dxa"/>
                        <w:gridSpan w:val="2"/>
                        <w:tcBorders>
                          <w:insideV w:val="nil"/>
                        </w:tcBorders>
                        <w:shd w:val="clear" w:color="auto" w:fill="DBE5F1"/>
                      </w:tcPr>
                      <w:p>
                        <w:pPr>
                          <w:spacing w:after="0" w:line="240" w:lineRule="auto"/>
                          <w:rPr>
                            <w:rFonts w:hint="default" w:ascii="Times New Roman" w:hAnsi="Times New Roman" w:cs="Times New Roman"/>
                            <w:b/>
                            <w:bCs/>
                            <w:color w:val="000000" w:themeColor="text1" w:themeShade="BF"/>
                            <w:sz w:val="18"/>
                            <w:szCs w:val="18"/>
                            <w:lang w:val="en-US"/>
                          </w:rPr>
                        </w:pPr>
                        <w:r>
                          <w:rPr>
                            <w:rFonts w:hint="default" w:ascii="Times New Roman" w:hAnsi="Times New Roman" w:cs="Times New Roman"/>
                            <w:b/>
                            <w:bCs/>
                            <w:color w:val="000000" w:themeColor="text1" w:themeShade="BF"/>
                            <w:sz w:val="18"/>
                            <w:szCs w:val="18"/>
                            <w:lang w:val="en-US"/>
                          </w:rPr>
                          <w:t>Plaies abdominales avec éviscération</w:t>
                        </w:r>
                      </w:p>
                    </w:tc>
                    <w:tc>
                      <w:tcPr>
                        <w:tcW w:w="3713" w:type="dxa"/>
                        <w:tcBorders>
                          <w:insideV w:val="nil"/>
                        </w:tcBorders>
                        <w:shd w:val="clear" w:color="auto" w:fill="DBE5F1"/>
                      </w:tcPr>
                      <w:p>
                        <w:pPr>
                          <w:spacing w:after="0" w:line="240" w:lineRule="auto"/>
                          <w:rPr>
                            <w:rFonts w:hint="default" w:ascii="Times New Roman" w:hAnsi="Times New Roman" w:cs="Times New Roman"/>
                            <w:color w:val="000000" w:themeColor="text1" w:themeShade="BF"/>
                            <w:sz w:val="18"/>
                            <w:szCs w:val="18"/>
                            <w:lang w:val="en-US"/>
                          </w:rPr>
                        </w:pPr>
                      </w:p>
                    </w:tc>
                    <w:tc>
                      <w:tcPr>
                        <w:tcW w:w="825" w:type="dxa"/>
                        <w:tcBorders>
                          <w:insideV w:val="nil"/>
                        </w:tcBorders>
                        <w:shd w:val="clear" w:color="auto" w:fill="DBE5F1"/>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10</w:t>
                        </w:r>
                      </w:p>
                    </w:tc>
                    <w:tc>
                      <w:tcPr>
                        <w:tcW w:w="812" w:type="dxa"/>
                        <w:tcBorders>
                          <w:insideV w:val="nil"/>
                        </w:tcBorders>
                        <w:shd w:val="clear" w:color="auto" w:fill="DBE5F1"/>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27</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14" w:type="dxa"/>
                        <w:gridSpan w:val="2"/>
                        <w:vMerge w:val="restart"/>
                        <w:shd w:val="clear" w:color="auto" w:fill="FFFFFF"/>
                      </w:tcPr>
                      <w:p>
                        <w:pPr>
                          <w:spacing w:after="0" w:line="240" w:lineRule="auto"/>
                          <w:rPr>
                            <w:rFonts w:hint="default" w:ascii="Times New Roman" w:hAnsi="Times New Roman" w:cs="Times New Roman"/>
                            <w:b/>
                            <w:bCs/>
                            <w:color w:val="000000" w:themeColor="text1" w:themeShade="BF"/>
                            <w:sz w:val="18"/>
                            <w:szCs w:val="18"/>
                            <w:lang w:val="en-US"/>
                          </w:rPr>
                        </w:pPr>
                        <w:r>
                          <w:rPr>
                            <w:rFonts w:hint="default" w:ascii="Times New Roman" w:hAnsi="Times New Roman" w:cs="Times New Roman"/>
                            <w:b/>
                            <w:bCs/>
                            <w:color w:val="000000" w:themeColor="text1" w:themeShade="BF"/>
                            <w:sz w:val="18"/>
                            <w:szCs w:val="18"/>
                            <w:lang w:val="en-US"/>
                          </w:rPr>
                          <w:t>Plaies abdominales compliqués</w:t>
                        </w:r>
                      </w:p>
                    </w:tc>
                    <w:tc>
                      <w:tcPr>
                        <w:tcW w:w="3713" w:type="dxa"/>
                        <w:shd w:val="clear" w:color="auto" w:fill="FFFFFF"/>
                      </w:tcPr>
                      <w:p>
                        <w:pPr>
                          <w:spacing w:after="0" w:line="240" w:lineRule="auto"/>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Hémodynamie stable</w:t>
                        </w:r>
                      </w:p>
                    </w:tc>
                    <w:tc>
                      <w:tcPr>
                        <w:tcW w:w="825" w:type="dxa"/>
                        <w:shd w:val="clear" w:color="auto" w:fill="FFFFFF"/>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1</w:t>
                        </w:r>
                      </w:p>
                    </w:tc>
                    <w:tc>
                      <w:tcPr>
                        <w:tcW w:w="812" w:type="dxa"/>
                        <w:shd w:val="clear" w:color="auto" w:fill="FFFFFF"/>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2.7</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14" w:type="dxa"/>
                        <w:gridSpan w:val="2"/>
                        <w:vMerge w:val="continue"/>
                        <w:tcBorders>
                          <w:insideV w:val="nil"/>
                        </w:tcBorders>
                        <w:shd w:val="clear" w:color="auto" w:fill="DBE5F1"/>
                      </w:tcPr>
                      <w:p>
                        <w:pPr>
                          <w:spacing w:after="0" w:line="240" w:lineRule="auto"/>
                          <w:rPr>
                            <w:rFonts w:hint="default" w:ascii="Times New Roman" w:hAnsi="Times New Roman" w:cs="Times New Roman"/>
                            <w:b/>
                            <w:bCs/>
                            <w:color w:val="000000" w:themeColor="text1" w:themeShade="BF"/>
                            <w:sz w:val="18"/>
                            <w:szCs w:val="18"/>
                            <w:lang w:val="en-US"/>
                          </w:rPr>
                        </w:pPr>
                      </w:p>
                    </w:tc>
                    <w:tc>
                      <w:tcPr>
                        <w:tcW w:w="3713" w:type="dxa"/>
                        <w:tcBorders>
                          <w:insideV w:val="nil"/>
                        </w:tcBorders>
                        <w:shd w:val="clear" w:color="auto" w:fill="DBE5F1"/>
                      </w:tcPr>
                      <w:p>
                        <w:pPr>
                          <w:spacing w:after="0" w:line="240" w:lineRule="auto"/>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Hémodynamie instable</w:t>
                        </w:r>
                      </w:p>
                    </w:tc>
                    <w:tc>
                      <w:tcPr>
                        <w:tcW w:w="825" w:type="dxa"/>
                        <w:tcBorders>
                          <w:insideV w:val="nil"/>
                        </w:tcBorders>
                        <w:shd w:val="clear" w:color="auto" w:fill="DBE5F1"/>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4</w:t>
                        </w:r>
                      </w:p>
                    </w:tc>
                    <w:tc>
                      <w:tcPr>
                        <w:tcW w:w="812" w:type="dxa"/>
                        <w:tcBorders>
                          <w:insideV w:val="nil"/>
                        </w:tcBorders>
                        <w:shd w:val="clear" w:color="auto" w:fill="DBE5F1"/>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10.8</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14" w:type="dxa"/>
                        <w:gridSpan w:val="2"/>
                        <w:vMerge w:val="continue"/>
                        <w:shd w:val="clear" w:color="auto" w:fill="FFFFFF"/>
                      </w:tcPr>
                      <w:p>
                        <w:pPr>
                          <w:spacing w:after="0" w:line="240" w:lineRule="auto"/>
                          <w:rPr>
                            <w:rFonts w:hint="default" w:ascii="Times New Roman" w:hAnsi="Times New Roman" w:cs="Times New Roman"/>
                            <w:b/>
                            <w:bCs/>
                            <w:color w:val="000000" w:themeColor="text1" w:themeShade="BF"/>
                            <w:sz w:val="18"/>
                            <w:szCs w:val="18"/>
                            <w:lang w:val="en-US"/>
                          </w:rPr>
                        </w:pPr>
                      </w:p>
                    </w:tc>
                    <w:tc>
                      <w:tcPr>
                        <w:tcW w:w="3713" w:type="dxa"/>
                        <w:shd w:val="clear" w:color="auto" w:fill="FFFFFF"/>
                      </w:tcPr>
                      <w:p>
                        <w:pPr>
                          <w:spacing w:after="0" w:line="240" w:lineRule="auto"/>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Péritonite</w:t>
                        </w:r>
                      </w:p>
                    </w:tc>
                    <w:tc>
                      <w:tcPr>
                        <w:tcW w:w="825" w:type="dxa"/>
                        <w:shd w:val="clear" w:color="auto" w:fill="FFFFFF"/>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4</w:t>
                        </w:r>
                      </w:p>
                    </w:tc>
                    <w:tc>
                      <w:tcPr>
                        <w:tcW w:w="812" w:type="dxa"/>
                        <w:shd w:val="clear" w:color="auto" w:fill="FFFFFF"/>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10.8</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14" w:type="dxa"/>
                        <w:gridSpan w:val="2"/>
                        <w:vMerge w:val="restart"/>
                        <w:tcBorders>
                          <w:insideV w:val="nil"/>
                        </w:tcBorders>
                        <w:shd w:val="clear" w:color="auto" w:fill="DBE5F1"/>
                      </w:tcPr>
                      <w:p>
                        <w:pPr>
                          <w:spacing w:after="0" w:line="240" w:lineRule="auto"/>
                          <w:rPr>
                            <w:rFonts w:hint="default" w:ascii="Times New Roman" w:hAnsi="Times New Roman" w:cs="Times New Roman"/>
                            <w:b/>
                            <w:bCs/>
                            <w:color w:val="000000" w:themeColor="text1" w:themeShade="BF"/>
                            <w:sz w:val="18"/>
                            <w:szCs w:val="18"/>
                            <w:lang w:val="fr-FR"/>
                          </w:rPr>
                        </w:pPr>
                        <w:r>
                          <w:rPr>
                            <w:rFonts w:hint="default" w:ascii="Times New Roman" w:hAnsi="Times New Roman" w:cs="Times New Roman"/>
                            <w:b/>
                            <w:bCs/>
                            <w:color w:val="000000" w:themeColor="text1" w:themeShade="BF"/>
                            <w:sz w:val="18"/>
                            <w:szCs w:val="18"/>
                          </w:rPr>
                          <w:t>Plaies abdominales associées à des</w:t>
                        </w:r>
                        <w:r>
                          <w:rPr>
                            <w:rFonts w:hint="default" w:ascii="Times New Roman" w:hAnsi="Times New Roman" w:cs="Times New Roman"/>
                            <w:b/>
                            <w:bCs/>
                            <w:color w:val="000000" w:themeColor="text1" w:themeShade="BF"/>
                            <w:sz w:val="18"/>
                            <w:szCs w:val="18"/>
                            <w:lang w:val="fr-FR"/>
                          </w:rPr>
                          <w:t xml:space="preserve"> </w:t>
                        </w:r>
                      </w:p>
                      <w:p>
                        <w:pPr>
                          <w:spacing w:after="0" w:line="240" w:lineRule="auto"/>
                          <w:rPr>
                            <w:rFonts w:hint="default" w:ascii="Times New Roman" w:hAnsi="Times New Roman" w:cs="Times New Roman"/>
                            <w:b/>
                            <w:bCs/>
                            <w:color w:val="000000" w:themeColor="text1" w:themeShade="BF"/>
                            <w:sz w:val="18"/>
                            <w:szCs w:val="18"/>
                          </w:rPr>
                        </w:pPr>
                        <w:r>
                          <w:rPr>
                            <w:rFonts w:hint="default" w:ascii="Times New Roman" w:hAnsi="Times New Roman" w:cs="Times New Roman"/>
                            <w:b/>
                            <w:bCs/>
                            <w:color w:val="000000" w:themeColor="text1" w:themeShade="BF"/>
                            <w:sz w:val="18"/>
                            <w:szCs w:val="18"/>
                          </w:rPr>
                          <w:t>lésions d’autres systèmes /organes</w:t>
                        </w:r>
                      </w:p>
                    </w:tc>
                    <w:tc>
                      <w:tcPr>
                        <w:tcW w:w="3713" w:type="dxa"/>
                        <w:tcBorders>
                          <w:insideV w:val="nil"/>
                        </w:tcBorders>
                        <w:shd w:val="clear" w:color="auto" w:fill="DBE5F1"/>
                      </w:tcPr>
                      <w:p>
                        <w:pPr>
                          <w:spacing w:after="0" w:line="240" w:lineRule="auto"/>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 xml:space="preserve">musculo-squelettique </w:t>
                        </w:r>
                      </w:p>
                    </w:tc>
                    <w:tc>
                      <w:tcPr>
                        <w:tcW w:w="825" w:type="dxa"/>
                        <w:tcBorders>
                          <w:insideV w:val="nil"/>
                        </w:tcBorders>
                        <w:shd w:val="clear" w:color="auto" w:fill="DBE5F1"/>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2</w:t>
                        </w:r>
                      </w:p>
                    </w:tc>
                    <w:tc>
                      <w:tcPr>
                        <w:tcW w:w="812" w:type="dxa"/>
                        <w:tcBorders>
                          <w:insideV w:val="nil"/>
                        </w:tcBorders>
                        <w:shd w:val="clear" w:color="auto" w:fill="DBE5F1"/>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5.4</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14" w:type="dxa"/>
                        <w:gridSpan w:val="2"/>
                        <w:vMerge w:val="continue"/>
                        <w:shd w:val="clear" w:color="auto" w:fill="FFFFFF"/>
                      </w:tcPr>
                      <w:p>
                        <w:pPr>
                          <w:spacing w:after="0" w:line="240" w:lineRule="auto"/>
                          <w:rPr>
                            <w:rFonts w:hint="default" w:ascii="Times New Roman" w:hAnsi="Times New Roman" w:cs="Times New Roman"/>
                            <w:b/>
                            <w:bCs/>
                            <w:color w:val="000000" w:themeColor="text1" w:themeShade="BF"/>
                            <w:sz w:val="18"/>
                            <w:szCs w:val="18"/>
                            <w:lang w:val="en-US"/>
                          </w:rPr>
                        </w:pPr>
                      </w:p>
                    </w:tc>
                    <w:tc>
                      <w:tcPr>
                        <w:tcW w:w="3713" w:type="dxa"/>
                        <w:shd w:val="clear" w:color="auto" w:fill="FFFFFF"/>
                      </w:tcPr>
                      <w:p>
                        <w:pPr>
                          <w:spacing w:after="0" w:line="240" w:lineRule="auto"/>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 xml:space="preserve">Cervico-cérébrale </w:t>
                        </w:r>
                      </w:p>
                    </w:tc>
                    <w:tc>
                      <w:tcPr>
                        <w:tcW w:w="825" w:type="dxa"/>
                        <w:shd w:val="clear" w:color="auto" w:fill="FFFFFF"/>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1</w:t>
                        </w:r>
                      </w:p>
                    </w:tc>
                    <w:tc>
                      <w:tcPr>
                        <w:tcW w:w="812" w:type="dxa"/>
                        <w:shd w:val="clear" w:color="auto" w:fill="FFFFFF"/>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2.7</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14" w:type="dxa"/>
                        <w:gridSpan w:val="2"/>
                        <w:vMerge w:val="continue"/>
                        <w:tcBorders>
                          <w:insideV w:val="nil"/>
                        </w:tcBorders>
                        <w:shd w:val="clear" w:color="auto" w:fill="DBE5F1"/>
                      </w:tcPr>
                      <w:p>
                        <w:pPr>
                          <w:spacing w:after="0" w:line="240" w:lineRule="auto"/>
                          <w:rPr>
                            <w:rFonts w:hint="default" w:ascii="Times New Roman" w:hAnsi="Times New Roman" w:cs="Times New Roman"/>
                            <w:b/>
                            <w:bCs/>
                            <w:color w:val="000000" w:themeColor="text1" w:themeShade="BF"/>
                            <w:sz w:val="18"/>
                            <w:szCs w:val="18"/>
                            <w:lang w:val="en-US"/>
                          </w:rPr>
                        </w:pPr>
                      </w:p>
                    </w:tc>
                    <w:tc>
                      <w:tcPr>
                        <w:tcW w:w="3713" w:type="dxa"/>
                        <w:tcBorders>
                          <w:insideV w:val="nil"/>
                        </w:tcBorders>
                        <w:shd w:val="clear" w:color="auto" w:fill="DBE5F1"/>
                      </w:tcPr>
                      <w:p>
                        <w:pPr>
                          <w:spacing w:after="0" w:line="240" w:lineRule="auto"/>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Polytraumatisés</w:t>
                        </w:r>
                      </w:p>
                    </w:tc>
                    <w:tc>
                      <w:tcPr>
                        <w:tcW w:w="825" w:type="dxa"/>
                        <w:tcBorders>
                          <w:insideV w:val="nil"/>
                        </w:tcBorders>
                        <w:shd w:val="clear" w:color="auto" w:fill="DBE5F1"/>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1</w:t>
                        </w:r>
                      </w:p>
                    </w:tc>
                    <w:tc>
                      <w:tcPr>
                        <w:tcW w:w="812" w:type="dxa"/>
                        <w:tcBorders>
                          <w:insideV w:val="nil"/>
                        </w:tcBorders>
                        <w:shd w:val="clear" w:color="auto" w:fill="DBE5F1"/>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2.7</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564" w:type="dxa"/>
                        <w:gridSpan w:val="5"/>
                        <w:tcBorders>
                          <w:insideV w:val="nil"/>
                        </w:tcBorders>
                        <w:shd w:val="clear" w:color="auto" w:fill="FFFFFF"/>
                      </w:tcPr>
                      <w:p>
                        <w:pPr>
                          <w:spacing w:after="0" w:line="240" w:lineRule="auto"/>
                          <w:jc w:val="left"/>
                          <w:rPr>
                            <w:rFonts w:hint="default" w:ascii="Times New Roman" w:hAnsi="Times New Roman" w:cs="Times New Roman"/>
                            <w:b/>
                            <w:color w:val="000000" w:themeColor="text1" w:themeShade="BF"/>
                            <w:sz w:val="18"/>
                            <w:szCs w:val="18"/>
                            <w:lang w:val="en-US"/>
                          </w:rPr>
                        </w:pPr>
                        <w:r>
                          <w:rPr>
                            <w:rFonts w:hint="default" w:ascii="Times New Roman" w:hAnsi="Times New Roman" w:cs="Times New Roman"/>
                            <w:b/>
                            <w:bCs/>
                            <w:color w:val="000000" w:themeColor="text1" w:themeShade="BF"/>
                            <w:sz w:val="18"/>
                            <w:szCs w:val="18"/>
                            <w:lang w:val="en-US"/>
                          </w:rPr>
                          <w:t>Indications opératoires</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14" w:type="dxa"/>
                        <w:gridSpan w:val="2"/>
                        <w:vMerge w:val="restart"/>
                        <w:shd w:val="clear" w:color="auto" w:fill="DBE5F1"/>
                      </w:tcPr>
                      <w:p>
                        <w:pPr>
                          <w:spacing w:after="0" w:line="240" w:lineRule="auto"/>
                          <w:rPr>
                            <w:rFonts w:hint="default" w:ascii="Times New Roman" w:hAnsi="Times New Roman" w:cs="Times New Roman"/>
                            <w:b/>
                            <w:bCs/>
                            <w:color w:val="000000" w:themeColor="text1" w:themeShade="BF"/>
                            <w:sz w:val="18"/>
                            <w:szCs w:val="18"/>
                            <w:lang w:val="en-US"/>
                          </w:rPr>
                        </w:pPr>
                        <w:r>
                          <w:rPr>
                            <w:rFonts w:hint="default" w:ascii="Times New Roman" w:hAnsi="Times New Roman" w:cs="Times New Roman"/>
                            <w:b/>
                            <w:bCs/>
                            <w:color w:val="000000" w:themeColor="text1" w:themeShade="BF"/>
                            <w:sz w:val="18"/>
                            <w:szCs w:val="18"/>
                            <w:lang w:val="en-US"/>
                          </w:rPr>
                          <w:t>Indications opératoires</w:t>
                        </w:r>
                      </w:p>
                      <w:p>
                        <w:pPr>
                          <w:spacing w:after="0" w:line="240" w:lineRule="auto"/>
                          <w:rPr>
                            <w:rFonts w:hint="default" w:ascii="Times New Roman" w:hAnsi="Times New Roman" w:cs="Times New Roman"/>
                            <w:b/>
                            <w:bCs/>
                            <w:color w:val="000000" w:themeColor="text1" w:themeShade="BF"/>
                            <w:sz w:val="18"/>
                            <w:szCs w:val="18"/>
                            <w:lang w:val="en-US"/>
                          </w:rPr>
                        </w:pPr>
                        <w:r>
                          <w:rPr>
                            <w:rFonts w:hint="default" w:ascii="Times New Roman" w:hAnsi="Times New Roman" w:cs="Times New Roman"/>
                            <w:b/>
                            <w:bCs/>
                            <w:color w:val="000000" w:themeColor="text1" w:themeShade="BF"/>
                            <w:sz w:val="18"/>
                            <w:szCs w:val="18"/>
                            <w:lang w:val="en-US"/>
                          </w:rPr>
                          <w:t>d’emblée</w:t>
                        </w:r>
                      </w:p>
                    </w:tc>
                    <w:tc>
                      <w:tcPr>
                        <w:tcW w:w="3713" w:type="dxa"/>
                        <w:shd w:val="clear" w:color="auto" w:fill="DBE5F1"/>
                      </w:tcPr>
                      <w:p>
                        <w:pPr>
                          <w:spacing w:after="0" w:line="240" w:lineRule="auto"/>
                          <w:rPr>
                            <w:rFonts w:hint="default" w:ascii="Times New Roman" w:hAnsi="Times New Roman" w:cs="Times New Roman"/>
                            <w:color w:val="000000" w:themeColor="text1" w:themeShade="BF"/>
                            <w:sz w:val="18"/>
                            <w:szCs w:val="18"/>
                          </w:rPr>
                        </w:pPr>
                        <w:r>
                          <w:rPr>
                            <w:rFonts w:hint="default" w:ascii="Times New Roman" w:hAnsi="Times New Roman" w:cs="Times New Roman"/>
                            <w:color w:val="000000" w:themeColor="text1" w:themeShade="BF"/>
                            <w:sz w:val="18"/>
                            <w:szCs w:val="18"/>
                          </w:rPr>
                          <w:t>Polytraumatisés</w:t>
                        </w:r>
                      </w:p>
                    </w:tc>
                    <w:tc>
                      <w:tcPr>
                        <w:tcW w:w="825" w:type="dxa"/>
                        <w:shd w:val="clear" w:color="auto" w:fill="DBE5F1"/>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1</w:t>
                        </w:r>
                      </w:p>
                    </w:tc>
                    <w:tc>
                      <w:tcPr>
                        <w:tcW w:w="812" w:type="dxa"/>
                        <w:shd w:val="clear" w:color="auto" w:fill="DBE5F1"/>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2.7</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14" w:type="dxa"/>
                        <w:gridSpan w:val="2"/>
                        <w:vMerge w:val="continue"/>
                        <w:tcBorders>
                          <w:insideV w:val="nil"/>
                        </w:tcBorders>
                        <w:shd w:val="clear" w:color="auto" w:fill="FFFFFF"/>
                      </w:tcPr>
                      <w:p>
                        <w:pPr>
                          <w:spacing w:after="0" w:line="240" w:lineRule="auto"/>
                          <w:rPr>
                            <w:rFonts w:hint="default" w:ascii="Times New Roman" w:hAnsi="Times New Roman" w:cs="Times New Roman"/>
                            <w:b/>
                            <w:bCs/>
                            <w:color w:val="000000" w:themeColor="text1" w:themeShade="BF"/>
                            <w:sz w:val="18"/>
                            <w:szCs w:val="18"/>
                            <w:lang w:val="en-US"/>
                          </w:rPr>
                        </w:pPr>
                      </w:p>
                    </w:tc>
                    <w:tc>
                      <w:tcPr>
                        <w:tcW w:w="3713" w:type="dxa"/>
                        <w:tcBorders>
                          <w:insideV w:val="nil"/>
                        </w:tcBorders>
                        <w:shd w:val="clear" w:color="auto" w:fill="FFFFFF"/>
                      </w:tcPr>
                      <w:p>
                        <w:pPr>
                          <w:spacing w:after="0" w:line="240" w:lineRule="auto"/>
                          <w:rPr>
                            <w:rFonts w:hint="default" w:ascii="Times New Roman" w:hAnsi="Times New Roman" w:cs="Times New Roman"/>
                            <w:color w:val="000000" w:themeColor="text1" w:themeShade="BF"/>
                            <w:sz w:val="18"/>
                            <w:szCs w:val="18"/>
                          </w:rPr>
                        </w:pPr>
                        <w:r>
                          <w:rPr>
                            <w:rFonts w:hint="default" w:ascii="Times New Roman" w:hAnsi="Times New Roman" w:cs="Times New Roman"/>
                            <w:color w:val="000000" w:themeColor="text1" w:themeShade="BF"/>
                            <w:sz w:val="18"/>
                            <w:szCs w:val="18"/>
                          </w:rPr>
                          <w:t>Plaies avec instabilité Hémodynamique</w:t>
                        </w:r>
                      </w:p>
                    </w:tc>
                    <w:tc>
                      <w:tcPr>
                        <w:tcW w:w="825" w:type="dxa"/>
                        <w:tcBorders>
                          <w:insideV w:val="nil"/>
                        </w:tcBorders>
                        <w:shd w:val="clear" w:color="auto" w:fill="FFFFFF"/>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4</w:t>
                        </w:r>
                      </w:p>
                    </w:tc>
                    <w:tc>
                      <w:tcPr>
                        <w:tcW w:w="812" w:type="dxa"/>
                        <w:tcBorders>
                          <w:insideV w:val="nil"/>
                        </w:tcBorders>
                        <w:shd w:val="clear" w:color="auto" w:fill="FFFFFF"/>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10.8</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14" w:type="dxa"/>
                        <w:gridSpan w:val="2"/>
                        <w:vMerge w:val="continue"/>
                        <w:shd w:val="clear" w:color="auto" w:fill="DBE5F1"/>
                      </w:tcPr>
                      <w:p>
                        <w:pPr>
                          <w:spacing w:after="0" w:line="240" w:lineRule="auto"/>
                          <w:rPr>
                            <w:rFonts w:hint="default" w:ascii="Times New Roman" w:hAnsi="Times New Roman" w:cs="Times New Roman"/>
                            <w:b/>
                            <w:bCs/>
                            <w:color w:val="000000" w:themeColor="text1" w:themeShade="BF"/>
                            <w:sz w:val="18"/>
                            <w:szCs w:val="18"/>
                            <w:lang w:val="en-US"/>
                          </w:rPr>
                        </w:pPr>
                      </w:p>
                    </w:tc>
                    <w:tc>
                      <w:tcPr>
                        <w:tcW w:w="3713" w:type="dxa"/>
                        <w:shd w:val="clear" w:color="auto" w:fill="DBE5F1"/>
                      </w:tcPr>
                      <w:p>
                        <w:pPr>
                          <w:spacing w:after="0" w:line="240" w:lineRule="auto"/>
                          <w:rPr>
                            <w:rFonts w:hint="default" w:ascii="Times New Roman" w:hAnsi="Times New Roman" w:cs="Times New Roman"/>
                            <w:color w:val="000000" w:themeColor="text1" w:themeShade="BF"/>
                            <w:sz w:val="18"/>
                            <w:szCs w:val="18"/>
                          </w:rPr>
                        </w:pPr>
                        <w:r>
                          <w:rPr>
                            <w:rFonts w:hint="default" w:ascii="Times New Roman" w:hAnsi="Times New Roman" w:cs="Times New Roman"/>
                            <w:color w:val="000000" w:themeColor="text1" w:themeShade="BF"/>
                            <w:sz w:val="18"/>
                            <w:szCs w:val="18"/>
                          </w:rPr>
                          <w:t>PPA +péritonite d’emblée</w:t>
                        </w:r>
                      </w:p>
                    </w:tc>
                    <w:tc>
                      <w:tcPr>
                        <w:tcW w:w="825" w:type="dxa"/>
                        <w:shd w:val="clear" w:color="auto" w:fill="DBE5F1"/>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4</w:t>
                        </w:r>
                      </w:p>
                    </w:tc>
                    <w:tc>
                      <w:tcPr>
                        <w:tcW w:w="812" w:type="dxa"/>
                        <w:shd w:val="clear" w:color="auto" w:fill="DBE5F1"/>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10.8</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14" w:type="dxa"/>
                        <w:gridSpan w:val="2"/>
                        <w:vMerge w:val="continue"/>
                        <w:tcBorders>
                          <w:insideV w:val="nil"/>
                        </w:tcBorders>
                        <w:shd w:val="clear" w:color="auto" w:fill="FFFFFF"/>
                      </w:tcPr>
                      <w:p>
                        <w:pPr>
                          <w:spacing w:after="0" w:line="240" w:lineRule="auto"/>
                          <w:rPr>
                            <w:rFonts w:hint="default" w:ascii="Times New Roman" w:hAnsi="Times New Roman" w:cs="Times New Roman"/>
                            <w:b/>
                            <w:bCs/>
                            <w:color w:val="000000" w:themeColor="text1" w:themeShade="BF"/>
                            <w:sz w:val="18"/>
                            <w:szCs w:val="18"/>
                            <w:lang w:val="en-US"/>
                          </w:rPr>
                        </w:pPr>
                      </w:p>
                    </w:tc>
                    <w:tc>
                      <w:tcPr>
                        <w:tcW w:w="3713" w:type="dxa"/>
                        <w:tcBorders>
                          <w:insideV w:val="nil"/>
                        </w:tcBorders>
                        <w:shd w:val="clear" w:color="auto" w:fill="FFFFFF"/>
                      </w:tcPr>
                      <w:p>
                        <w:pPr>
                          <w:spacing w:after="0" w:line="240" w:lineRule="auto"/>
                          <w:rPr>
                            <w:rFonts w:hint="default" w:ascii="Times New Roman" w:hAnsi="Times New Roman" w:cs="Times New Roman"/>
                            <w:color w:val="000000" w:themeColor="text1" w:themeShade="BF"/>
                            <w:sz w:val="18"/>
                            <w:szCs w:val="18"/>
                          </w:rPr>
                        </w:pPr>
                        <w:r>
                          <w:rPr>
                            <w:rFonts w:hint="default" w:ascii="Times New Roman" w:hAnsi="Times New Roman" w:cs="Times New Roman"/>
                            <w:color w:val="000000" w:themeColor="text1" w:themeShade="BF"/>
                            <w:sz w:val="18"/>
                            <w:szCs w:val="18"/>
                          </w:rPr>
                          <w:t>Plaies avec eviscération</w:t>
                        </w:r>
                      </w:p>
                    </w:tc>
                    <w:tc>
                      <w:tcPr>
                        <w:tcW w:w="825" w:type="dxa"/>
                        <w:tcBorders>
                          <w:insideV w:val="nil"/>
                        </w:tcBorders>
                        <w:shd w:val="clear" w:color="auto" w:fill="FFFFFF"/>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10</w:t>
                        </w:r>
                      </w:p>
                    </w:tc>
                    <w:tc>
                      <w:tcPr>
                        <w:tcW w:w="812" w:type="dxa"/>
                        <w:tcBorders>
                          <w:insideV w:val="nil"/>
                        </w:tcBorders>
                        <w:shd w:val="clear" w:color="auto" w:fill="FFFFFF"/>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27</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14" w:type="dxa"/>
                        <w:gridSpan w:val="2"/>
                        <w:vMerge w:val="continue"/>
                        <w:shd w:val="clear" w:color="auto" w:fill="DBE5F1"/>
                      </w:tcPr>
                      <w:p>
                        <w:pPr>
                          <w:spacing w:after="0" w:line="240" w:lineRule="auto"/>
                          <w:rPr>
                            <w:rFonts w:hint="default" w:ascii="Times New Roman" w:hAnsi="Times New Roman" w:cs="Times New Roman"/>
                            <w:b/>
                            <w:bCs/>
                            <w:color w:val="000000" w:themeColor="text1" w:themeShade="BF"/>
                            <w:sz w:val="18"/>
                            <w:szCs w:val="18"/>
                            <w:lang w:val="en-US"/>
                          </w:rPr>
                        </w:pPr>
                      </w:p>
                    </w:tc>
                    <w:tc>
                      <w:tcPr>
                        <w:tcW w:w="3713" w:type="dxa"/>
                        <w:shd w:val="clear" w:color="auto" w:fill="DBE5F1"/>
                      </w:tcPr>
                      <w:p>
                        <w:pPr>
                          <w:spacing w:after="0" w:line="240" w:lineRule="auto"/>
                          <w:rPr>
                            <w:rFonts w:hint="default" w:ascii="Times New Roman" w:hAnsi="Times New Roman" w:cs="Times New Roman"/>
                            <w:color w:val="000000" w:themeColor="text1" w:themeShade="BF"/>
                            <w:sz w:val="18"/>
                            <w:szCs w:val="18"/>
                          </w:rPr>
                        </w:pPr>
                        <w:r>
                          <w:rPr>
                            <w:rFonts w:hint="default" w:ascii="Times New Roman" w:hAnsi="Times New Roman" w:cs="Times New Roman"/>
                            <w:color w:val="000000" w:themeColor="text1" w:themeShade="BF"/>
                            <w:sz w:val="18"/>
                            <w:szCs w:val="18"/>
                          </w:rPr>
                          <w:t>Plaies par armes à feu</w:t>
                        </w:r>
                      </w:p>
                    </w:tc>
                    <w:tc>
                      <w:tcPr>
                        <w:tcW w:w="825" w:type="dxa"/>
                        <w:shd w:val="clear" w:color="auto" w:fill="DBE5F1"/>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2</w:t>
                        </w:r>
                      </w:p>
                    </w:tc>
                    <w:tc>
                      <w:tcPr>
                        <w:tcW w:w="812" w:type="dxa"/>
                        <w:shd w:val="clear" w:color="auto" w:fill="DBE5F1"/>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5.4</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14" w:type="dxa"/>
                        <w:gridSpan w:val="2"/>
                        <w:vMerge w:val="continue"/>
                        <w:tcBorders>
                          <w:insideV w:val="nil"/>
                        </w:tcBorders>
                        <w:shd w:val="clear" w:color="auto" w:fill="FFFFFF"/>
                      </w:tcPr>
                      <w:p>
                        <w:pPr>
                          <w:spacing w:after="0" w:line="240" w:lineRule="auto"/>
                          <w:rPr>
                            <w:rFonts w:hint="default" w:ascii="Times New Roman" w:hAnsi="Times New Roman" w:cs="Times New Roman"/>
                            <w:b/>
                            <w:bCs/>
                            <w:color w:val="000000" w:themeColor="text1" w:themeShade="BF"/>
                            <w:sz w:val="18"/>
                            <w:szCs w:val="18"/>
                            <w:lang w:val="en-US"/>
                          </w:rPr>
                        </w:pPr>
                      </w:p>
                    </w:tc>
                    <w:tc>
                      <w:tcPr>
                        <w:tcW w:w="3713" w:type="dxa"/>
                        <w:tcBorders>
                          <w:insideV w:val="nil"/>
                        </w:tcBorders>
                        <w:shd w:val="clear" w:color="auto" w:fill="FFFFFF"/>
                      </w:tcPr>
                      <w:p>
                        <w:pPr>
                          <w:spacing w:after="0" w:line="240" w:lineRule="auto"/>
                          <w:rPr>
                            <w:rFonts w:hint="default" w:ascii="Times New Roman" w:hAnsi="Times New Roman" w:cs="Times New Roman"/>
                            <w:color w:val="000000" w:themeColor="text1" w:themeShade="BF"/>
                            <w:sz w:val="18"/>
                            <w:szCs w:val="18"/>
                          </w:rPr>
                        </w:pPr>
                        <w:r>
                          <w:rPr>
                            <w:rFonts w:hint="default" w:ascii="Times New Roman" w:hAnsi="Times New Roman" w:cs="Times New Roman"/>
                            <w:color w:val="000000" w:themeColor="text1" w:themeShade="BF"/>
                            <w:sz w:val="18"/>
                            <w:szCs w:val="18"/>
                          </w:rPr>
                          <w:t>Plaies avec arme blanche in situ</w:t>
                        </w:r>
                      </w:p>
                    </w:tc>
                    <w:tc>
                      <w:tcPr>
                        <w:tcW w:w="825" w:type="dxa"/>
                        <w:tcBorders>
                          <w:insideV w:val="nil"/>
                        </w:tcBorders>
                        <w:shd w:val="clear" w:color="auto" w:fill="FFFFFF"/>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1</w:t>
                        </w:r>
                      </w:p>
                    </w:tc>
                    <w:tc>
                      <w:tcPr>
                        <w:tcW w:w="812" w:type="dxa"/>
                        <w:tcBorders>
                          <w:insideV w:val="nil"/>
                        </w:tcBorders>
                        <w:shd w:val="clear" w:color="auto" w:fill="FFFFFF"/>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2.7</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14" w:type="dxa"/>
                        <w:gridSpan w:val="2"/>
                        <w:vMerge w:val="continue"/>
                        <w:shd w:val="clear" w:color="auto" w:fill="DBE5F1"/>
                      </w:tcPr>
                      <w:p>
                        <w:pPr>
                          <w:spacing w:after="0" w:line="240" w:lineRule="auto"/>
                          <w:rPr>
                            <w:rFonts w:hint="default" w:ascii="Times New Roman" w:hAnsi="Times New Roman" w:cs="Times New Roman"/>
                            <w:b/>
                            <w:bCs/>
                            <w:color w:val="000000" w:themeColor="text1" w:themeShade="BF"/>
                            <w:sz w:val="18"/>
                            <w:szCs w:val="18"/>
                            <w:lang w:val="en-US"/>
                          </w:rPr>
                        </w:pPr>
                      </w:p>
                    </w:tc>
                    <w:tc>
                      <w:tcPr>
                        <w:tcW w:w="3713" w:type="dxa"/>
                        <w:shd w:val="clear" w:color="auto" w:fill="DBE5F1"/>
                      </w:tcPr>
                      <w:p>
                        <w:pPr>
                          <w:spacing w:after="0" w:line="240" w:lineRule="auto"/>
                          <w:rPr>
                            <w:rFonts w:hint="default" w:ascii="Times New Roman" w:hAnsi="Times New Roman" w:cs="Times New Roman"/>
                            <w:color w:val="000000" w:themeColor="text1" w:themeShade="BF"/>
                            <w:sz w:val="18"/>
                            <w:szCs w:val="18"/>
                          </w:rPr>
                        </w:pPr>
                        <w:r>
                          <w:rPr>
                            <w:rFonts w:hint="default" w:ascii="Times New Roman" w:hAnsi="Times New Roman" w:cs="Times New Roman"/>
                            <w:color w:val="000000" w:themeColor="text1" w:themeShade="BF"/>
                            <w:sz w:val="18"/>
                            <w:szCs w:val="18"/>
                          </w:rPr>
                          <w:t>Plaies thoraco abdominale</w:t>
                        </w:r>
                      </w:p>
                    </w:tc>
                    <w:tc>
                      <w:tcPr>
                        <w:tcW w:w="825" w:type="dxa"/>
                        <w:shd w:val="clear" w:color="auto" w:fill="DBE5F1"/>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2</w:t>
                        </w:r>
                      </w:p>
                    </w:tc>
                    <w:tc>
                      <w:tcPr>
                        <w:tcW w:w="812" w:type="dxa"/>
                        <w:shd w:val="clear" w:color="auto" w:fill="DBE5F1"/>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5.4</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264" w:type="dxa"/>
                        <w:vMerge w:val="restart"/>
                        <w:shd w:val="clear" w:color="auto" w:fill="FFFFFF"/>
                      </w:tcPr>
                      <w:p>
                        <w:pPr>
                          <w:spacing w:after="0" w:line="240" w:lineRule="auto"/>
                          <w:rPr>
                            <w:rFonts w:hint="default" w:ascii="Times New Roman" w:hAnsi="Times New Roman" w:cs="Times New Roman"/>
                            <w:b/>
                            <w:bCs/>
                            <w:color w:val="000000" w:themeColor="text1" w:themeShade="BF"/>
                            <w:sz w:val="18"/>
                            <w:szCs w:val="18"/>
                            <w:lang w:val="fr-FR"/>
                          </w:rPr>
                        </w:pPr>
                        <w:r>
                          <w:rPr>
                            <w:rFonts w:hint="default" w:ascii="Times New Roman" w:hAnsi="Times New Roman" w:cs="Times New Roman"/>
                            <w:b/>
                            <w:bCs/>
                            <w:color w:val="000000" w:themeColor="text1" w:themeShade="BF"/>
                            <w:sz w:val="18"/>
                            <w:szCs w:val="18"/>
                            <w:lang w:val="en-US"/>
                          </w:rPr>
                          <w:t>Surveillance</w:t>
                        </w:r>
                        <w:r>
                          <w:rPr>
                            <w:rFonts w:hint="default" w:ascii="Times New Roman" w:hAnsi="Times New Roman" w:cs="Times New Roman"/>
                            <w:b/>
                            <w:bCs/>
                            <w:color w:val="000000" w:themeColor="text1" w:themeShade="BF"/>
                            <w:sz w:val="18"/>
                            <w:szCs w:val="18"/>
                            <w:lang w:val="fr-FR"/>
                          </w:rPr>
                          <w:t xml:space="preserve"> ou </w:t>
                        </w:r>
                      </w:p>
                      <w:p>
                        <w:pPr>
                          <w:spacing w:after="0" w:line="240" w:lineRule="auto"/>
                          <w:rPr>
                            <w:rFonts w:hint="default" w:ascii="Times New Roman" w:hAnsi="Times New Roman" w:cs="Times New Roman"/>
                            <w:b/>
                            <w:bCs/>
                            <w:color w:val="000000" w:themeColor="text1" w:themeShade="BF"/>
                            <w:sz w:val="18"/>
                            <w:szCs w:val="18"/>
                            <w:lang w:val="en-US"/>
                          </w:rPr>
                        </w:pPr>
                        <w:r>
                          <w:rPr>
                            <w:rFonts w:hint="default" w:ascii="Times New Roman" w:hAnsi="Times New Roman" w:cs="Times New Roman"/>
                            <w:b/>
                            <w:bCs/>
                            <w:color w:val="000000" w:themeColor="text1" w:themeShade="BF"/>
                            <w:sz w:val="18"/>
                            <w:szCs w:val="18"/>
                            <w:lang w:val="en-US"/>
                          </w:rPr>
                          <w:t>abstentionnisme sélectif</w:t>
                        </w:r>
                      </w:p>
                    </w:tc>
                    <w:tc>
                      <w:tcPr>
                        <w:tcW w:w="1950" w:type="dxa"/>
                        <w:vMerge w:val="restart"/>
                        <w:shd w:val="clear" w:color="auto" w:fill="FFFFFF"/>
                      </w:tcPr>
                      <w:p>
                        <w:pPr>
                          <w:spacing w:after="0" w:line="240" w:lineRule="auto"/>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Indications secondaires</w:t>
                        </w:r>
                      </w:p>
                    </w:tc>
                    <w:tc>
                      <w:tcPr>
                        <w:tcW w:w="3713" w:type="dxa"/>
                        <w:shd w:val="clear" w:color="auto" w:fill="FFFFFF"/>
                      </w:tcPr>
                      <w:p>
                        <w:pPr>
                          <w:spacing w:after="0" w:line="240" w:lineRule="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Plaies simples avec pneumopéritoine à l’ASP</w:t>
                        </w:r>
                      </w:p>
                    </w:tc>
                    <w:tc>
                      <w:tcPr>
                        <w:tcW w:w="825" w:type="dxa"/>
                        <w:shd w:val="clear" w:color="auto" w:fill="FFFFFF"/>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6</w:t>
                        </w:r>
                      </w:p>
                    </w:tc>
                    <w:tc>
                      <w:tcPr>
                        <w:tcW w:w="812" w:type="dxa"/>
                        <w:shd w:val="clear" w:color="auto" w:fill="FFFFFF"/>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16.2</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264" w:type="dxa"/>
                        <w:vMerge w:val="continue"/>
                        <w:tcBorders>
                          <w:insideV w:val="nil"/>
                        </w:tcBorders>
                        <w:shd w:val="clear" w:color="auto" w:fill="DBE5F1"/>
                      </w:tcPr>
                      <w:p>
                        <w:pPr>
                          <w:spacing w:after="0" w:line="240" w:lineRule="auto"/>
                          <w:rPr>
                            <w:rFonts w:hint="default" w:ascii="Times New Roman" w:hAnsi="Times New Roman" w:cs="Times New Roman"/>
                            <w:b/>
                            <w:bCs/>
                            <w:color w:val="000000" w:themeColor="text1" w:themeShade="BF"/>
                            <w:sz w:val="18"/>
                            <w:szCs w:val="18"/>
                            <w:lang w:val="en-US"/>
                          </w:rPr>
                        </w:pPr>
                      </w:p>
                    </w:tc>
                    <w:tc>
                      <w:tcPr>
                        <w:tcW w:w="1950" w:type="dxa"/>
                        <w:vMerge w:val="continue"/>
                        <w:tcBorders>
                          <w:insideV w:val="nil"/>
                        </w:tcBorders>
                        <w:shd w:val="clear" w:color="auto" w:fill="DBE5F1"/>
                      </w:tcPr>
                      <w:p>
                        <w:pPr>
                          <w:spacing w:after="0" w:line="240" w:lineRule="auto"/>
                          <w:rPr>
                            <w:rFonts w:hint="default" w:ascii="Times New Roman" w:hAnsi="Times New Roman" w:cs="Times New Roman"/>
                            <w:color w:val="000000" w:themeColor="text1" w:themeShade="BF"/>
                            <w:sz w:val="18"/>
                            <w:szCs w:val="18"/>
                            <w:lang w:val="en-US"/>
                          </w:rPr>
                        </w:pPr>
                      </w:p>
                    </w:tc>
                    <w:tc>
                      <w:tcPr>
                        <w:tcW w:w="3713" w:type="dxa"/>
                        <w:tcBorders>
                          <w:insideV w:val="nil"/>
                        </w:tcBorders>
                        <w:shd w:val="clear" w:color="auto" w:fill="DBE5F1"/>
                      </w:tcPr>
                      <w:p>
                        <w:pPr>
                          <w:spacing w:after="0" w:line="240" w:lineRule="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Plaies simples avec installation de syndrome hémorragique</w:t>
                        </w:r>
                      </w:p>
                    </w:tc>
                    <w:tc>
                      <w:tcPr>
                        <w:tcW w:w="825" w:type="dxa"/>
                        <w:tcBorders>
                          <w:insideV w:val="nil"/>
                        </w:tcBorders>
                        <w:shd w:val="clear" w:color="auto" w:fill="DBE5F1"/>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2</w:t>
                        </w:r>
                      </w:p>
                    </w:tc>
                    <w:tc>
                      <w:tcPr>
                        <w:tcW w:w="812" w:type="dxa"/>
                        <w:tcBorders>
                          <w:insideV w:val="nil"/>
                        </w:tcBorders>
                        <w:shd w:val="clear" w:color="auto" w:fill="DBE5F1"/>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5.4</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264" w:type="dxa"/>
                        <w:vMerge w:val="continue"/>
                        <w:shd w:val="clear" w:color="auto" w:fill="FFFFFF"/>
                      </w:tcPr>
                      <w:p>
                        <w:pPr>
                          <w:spacing w:after="0" w:line="240" w:lineRule="auto"/>
                          <w:rPr>
                            <w:rFonts w:hint="default" w:ascii="Times New Roman" w:hAnsi="Times New Roman" w:cs="Times New Roman"/>
                            <w:b/>
                            <w:bCs/>
                            <w:color w:val="000000" w:themeColor="text1" w:themeShade="BF"/>
                            <w:sz w:val="18"/>
                            <w:szCs w:val="18"/>
                            <w:lang w:val="en-US"/>
                          </w:rPr>
                        </w:pPr>
                      </w:p>
                    </w:tc>
                    <w:tc>
                      <w:tcPr>
                        <w:tcW w:w="1950" w:type="dxa"/>
                        <w:vMerge w:val="continue"/>
                        <w:shd w:val="clear" w:color="auto" w:fill="FFFFFF"/>
                      </w:tcPr>
                      <w:p>
                        <w:pPr>
                          <w:spacing w:after="0" w:line="240" w:lineRule="auto"/>
                          <w:rPr>
                            <w:rFonts w:hint="default" w:ascii="Times New Roman" w:hAnsi="Times New Roman" w:cs="Times New Roman"/>
                            <w:color w:val="000000" w:themeColor="text1" w:themeShade="BF"/>
                            <w:sz w:val="18"/>
                            <w:szCs w:val="18"/>
                            <w:lang w:val="en-US"/>
                          </w:rPr>
                        </w:pPr>
                      </w:p>
                    </w:tc>
                    <w:tc>
                      <w:tcPr>
                        <w:tcW w:w="3713" w:type="dxa"/>
                        <w:shd w:val="clear" w:color="auto" w:fill="FFFFFF"/>
                      </w:tcPr>
                      <w:p>
                        <w:pPr>
                          <w:spacing w:after="0" w:line="240" w:lineRule="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Plaies simples compliquées de péritonite</w:t>
                        </w:r>
                      </w:p>
                    </w:tc>
                    <w:tc>
                      <w:tcPr>
                        <w:tcW w:w="825" w:type="dxa"/>
                        <w:shd w:val="clear" w:color="auto" w:fill="FFFFFF"/>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5</w:t>
                        </w:r>
                      </w:p>
                    </w:tc>
                    <w:tc>
                      <w:tcPr>
                        <w:tcW w:w="812" w:type="dxa"/>
                        <w:shd w:val="clear" w:color="auto" w:fill="FFFFFF"/>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13.5</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264" w:type="dxa"/>
                        <w:vMerge w:val="continue"/>
                        <w:shd w:val="clear" w:color="auto" w:fill="DBE5F1"/>
                      </w:tcPr>
                      <w:p>
                        <w:pPr>
                          <w:spacing w:after="0" w:line="240" w:lineRule="auto"/>
                          <w:rPr>
                            <w:rFonts w:hint="default" w:ascii="Times New Roman" w:hAnsi="Times New Roman" w:cs="Times New Roman"/>
                            <w:b/>
                            <w:bCs/>
                            <w:color w:val="000000" w:themeColor="text1" w:themeShade="BF"/>
                            <w:sz w:val="18"/>
                            <w:szCs w:val="18"/>
                            <w:lang w:val="en-US"/>
                          </w:rPr>
                        </w:pPr>
                      </w:p>
                    </w:tc>
                    <w:tc>
                      <w:tcPr>
                        <w:tcW w:w="1950" w:type="dxa"/>
                        <w:shd w:val="clear" w:color="auto" w:fill="DBE5F1"/>
                      </w:tcPr>
                      <w:p>
                        <w:pPr>
                          <w:spacing w:after="0" w:line="240" w:lineRule="auto"/>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Non indication</w:t>
                        </w:r>
                      </w:p>
                    </w:tc>
                    <w:tc>
                      <w:tcPr>
                        <w:tcW w:w="3713" w:type="dxa"/>
                        <w:shd w:val="clear" w:color="auto" w:fill="DBE5F1"/>
                      </w:tcPr>
                      <w:p>
                        <w:pPr>
                          <w:spacing w:after="0" w:line="240" w:lineRule="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Plaies simples avec bonne evolution Clinique</w:t>
                        </w:r>
                      </w:p>
                    </w:tc>
                    <w:tc>
                      <w:tcPr>
                        <w:tcW w:w="825" w:type="dxa"/>
                        <w:shd w:val="clear" w:color="auto" w:fill="DBE5F1"/>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1</w:t>
                        </w:r>
                      </w:p>
                    </w:tc>
                    <w:tc>
                      <w:tcPr>
                        <w:tcW w:w="812" w:type="dxa"/>
                        <w:shd w:val="clear" w:color="auto" w:fill="DBE5F1"/>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2.7</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6" w:hRule="atLeast"/>
                    </w:trPr>
                    <w:tc>
                      <w:tcPr>
                        <w:tcW w:w="9564" w:type="dxa"/>
                        <w:gridSpan w:val="5"/>
                        <w:tcBorders>
                          <w:insideV w:val="nil"/>
                        </w:tcBorders>
                        <w:shd w:val="clear" w:color="auto" w:fill="FFFFFF"/>
                      </w:tcPr>
                      <w:p>
                        <w:pPr>
                          <w:spacing w:after="0" w:line="240" w:lineRule="auto"/>
                          <w:jc w:val="left"/>
                          <w:rPr>
                            <w:rFonts w:hint="default" w:ascii="Times New Roman" w:hAnsi="Times New Roman" w:cs="Times New Roman"/>
                            <w:color w:val="000000" w:themeColor="text1" w:themeShade="BF"/>
                            <w:sz w:val="18"/>
                            <w:szCs w:val="18"/>
                            <w:lang w:val="fr-FR"/>
                          </w:rPr>
                        </w:pPr>
                        <w:r>
                          <w:rPr>
                            <w:rFonts w:hint="default" w:ascii="Times New Roman" w:hAnsi="Times New Roman" w:cs="Times New Roman"/>
                            <w:color w:val="000000" w:themeColor="text1" w:themeShade="BF"/>
                            <w:sz w:val="18"/>
                            <w:szCs w:val="18"/>
                            <w:lang w:val="fr-FR"/>
                          </w:rPr>
                          <w:t>ASP: Abdomen sans préparation</w:t>
                        </w:r>
                      </w:p>
                    </w:tc>
                  </w:tr>
                </w:tbl>
                <w:p/>
              </w:txbxContent>
            </v:textbox>
          </v:shape>
        </w:pict>
      </w: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rPr>
        <w:sectPr>
          <w:type w:val="continuous"/>
          <w:pgSz w:w="11850" w:h="16783"/>
          <w:pgMar w:top="1134" w:right="850" w:bottom="1417" w:left="1134" w:header="708" w:footer="708" w:gutter="0"/>
          <w:cols w:space="425" w:num="1"/>
          <w:docGrid w:linePitch="360" w:charSpace="0"/>
        </w:sectPr>
      </w:pPr>
    </w:p>
    <w:p>
      <w:pPr>
        <w:keepNext w:val="0"/>
        <w:keepLines w:val="0"/>
        <w:pageBreakBefore w:val="0"/>
        <w:widowControl/>
        <w:tabs>
          <w:tab w:val="left" w:pos="1275"/>
        </w:tabs>
        <w:kinsoku/>
        <w:wordWrap/>
        <w:overflowPunct/>
        <w:topLinePunct w:val="0"/>
        <w:autoSpaceDE/>
        <w:autoSpaceDN/>
        <w:bidi w:val="0"/>
        <w:adjustRightInd/>
        <w:snapToGrid/>
        <w:spacing w:after="0" w:line="240" w:lineRule="auto"/>
        <w:jc w:val="both"/>
        <w:textAlignment w:val="auto"/>
        <w:rPr>
          <w:rFonts w:ascii="Times New Roman" w:hAnsi="Times New Roman" w:cs="Times New Roman"/>
          <w:sz w:val="20"/>
          <w:szCs w:val="20"/>
        </w:rPr>
      </w:pPr>
      <w:r>
        <w:rPr>
          <w:rFonts w:ascii="Times New Roman" w:hAnsi="Times New Roman" w:cs="Times New Roman"/>
          <w:sz w:val="20"/>
          <w:szCs w:val="20"/>
        </w:rPr>
        <w:t xml:space="preserve">La durée de préparation et de surveillance des malades variait entre </w:t>
      </w:r>
      <w:r>
        <w:rPr>
          <w:rFonts w:hint="default" w:ascii="Times New Roman" w:hAnsi="Times New Roman" w:cs="Times New Roman"/>
          <w:sz w:val="20"/>
          <w:szCs w:val="20"/>
          <w:lang w:val="fr-FR"/>
        </w:rPr>
        <w:t>1 et</w:t>
      </w:r>
      <w:r>
        <w:rPr>
          <w:rFonts w:ascii="Times New Roman" w:hAnsi="Times New Roman" w:cs="Times New Roman"/>
          <w:sz w:val="20"/>
          <w:szCs w:val="20"/>
        </w:rPr>
        <w:t xml:space="preserve"> 72 heures</w:t>
      </w:r>
      <w:r>
        <w:rPr>
          <w:rFonts w:hint="default" w:ascii="Times New Roman" w:hAnsi="Times New Roman" w:cs="Times New Roman"/>
          <w:sz w:val="20"/>
          <w:szCs w:val="20"/>
          <w:lang w:val="fr-FR"/>
        </w:rPr>
        <w:t>, p</w:t>
      </w:r>
      <w:r>
        <w:rPr>
          <w:rFonts w:ascii="Times New Roman" w:hAnsi="Times New Roman" w:cs="Times New Roman"/>
          <w:sz w:val="20"/>
          <w:szCs w:val="20"/>
        </w:rPr>
        <w:t>ériode pendant laquelle était initiée la réanimation pré-opératoire et la consultation pré-anesthésique.</w:t>
      </w:r>
    </w:p>
    <w:p>
      <w:pPr>
        <w:keepNext w:val="0"/>
        <w:keepLines w:val="0"/>
        <w:pageBreakBefore w:val="0"/>
        <w:widowControl/>
        <w:tabs>
          <w:tab w:val="left" w:pos="1275"/>
        </w:tabs>
        <w:kinsoku/>
        <w:wordWrap/>
        <w:overflowPunct/>
        <w:topLinePunct w:val="0"/>
        <w:autoSpaceDE/>
        <w:autoSpaceDN/>
        <w:bidi w:val="0"/>
        <w:adjustRightInd/>
        <w:snapToGrid/>
        <w:spacing w:after="0" w:line="240" w:lineRule="auto"/>
        <w:jc w:val="both"/>
        <w:textAlignment w:val="auto"/>
        <w:rPr>
          <w:rFonts w:ascii="Times New Roman" w:hAnsi="Times New Roman" w:cs="Times New Roman"/>
          <w:sz w:val="20"/>
          <w:szCs w:val="20"/>
          <w:lang w:val="en-US"/>
        </w:rPr>
      </w:pPr>
      <w:r>
        <w:rPr>
          <w:rFonts w:ascii="Times New Roman" w:hAnsi="Times New Roman" w:cs="Times New Roman"/>
          <w:sz w:val="20"/>
          <w:szCs w:val="20"/>
        </w:rPr>
        <w:t>A l’issue de leur consultation pré-anesthésique 33</w:t>
      </w:r>
      <w:r>
        <w:rPr>
          <w:rFonts w:hint="default" w:ascii="Times New Roman" w:hAnsi="Times New Roman" w:cs="Times New Roman"/>
          <w:sz w:val="20"/>
          <w:szCs w:val="20"/>
          <w:lang w:val="fr-FR"/>
        </w:rPr>
        <w:t xml:space="preserve"> </w:t>
      </w:r>
      <w:r>
        <w:rPr>
          <w:rFonts w:ascii="Times New Roman" w:hAnsi="Times New Roman" w:cs="Times New Roman"/>
          <w:sz w:val="20"/>
          <w:szCs w:val="20"/>
        </w:rPr>
        <w:t>(89,2%) étaient classées ASA III et 4</w:t>
      </w:r>
      <w:r>
        <w:rPr>
          <w:rFonts w:hint="default" w:ascii="Times New Roman" w:hAnsi="Times New Roman" w:cs="Times New Roman"/>
          <w:sz w:val="20"/>
          <w:szCs w:val="20"/>
          <w:lang w:val="fr-FR"/>
        </w:rPr>
        <w:t xml:space="preserve"> </w:t>
      </w:r>
      <w:r>
        <w:rPr>
          <w:rFonts w:ascii="Times New Roman" w:hAnsi="Times New Roman" w:cs="Times New Roman"/>
          <w:sz w:val="20"/>
          <w:szCs w:val="20"/>
        </w:rPr>
        <w:t xml:space="preserve">(10,8%) ASA IV. </w:t>
      </w:r>
      <w:r>
        <w:rPr>
          <w:rFonts w:ascii="Times New Roman" w:hAnsi="Times New Roman" w:cs="Times New Roman"/>
          <w:sz w:val="20"/>
          <w:szCs w:val="20"/>
          <w:lang w:val="en-US"/>
        </w:rPr>
        <w:t>36</w:t>
      </w:r>
      <w:r>
        <w:rPr>
          <w:rFonts w:hint="default" w:ascii="Times New Roman" w:hAnsi="Times New Roman" w:cs="Times New Roman"/>
          <w:sz w:val="20"/>
          <w:szCs w:val="20"/>
          <w:lang w:val="fr-FR"/>
        </w:rPr>
        <w:t xml:space="preserve"> </w:t>
      </w:r>
      <w:r>
        <w:rPr>
          <w:rFonts w:ascii="Times New Roman" w:hAnsi="Times New Roman" w:cs="Times New Roman"/>
          <w:sz w:val="20"/>
          <w:szCs w:val="20"/>
          <w:lang w:val="en-US"/>
        </w:rPr>
        <w:t>(97,3 %)</w:t>
      </w:r>
      <w:r>
        <w:rPr>
          <w:rFonts w:hint="default" w:ascii="Times New Roman" w:hAnsi="Times New Roman" w:cs="Times New Roman"/>
          <w:sz w:val="20"/>
          <w:szCs w:val="20"/>
          <w:lang w:val="fr-FR"/>
        </w:rPr>
        <w:t xml:space="preserve"> </w:t>
      </w:r>
      <w:r>
        <w:rPr>
          <w:rFonts w:ascii="Times New Roman" w:hAnsi="Times New Roman" w:cs="Times New Roman"/>
          <w:sz w:val="20"/>
          <w:szCs w:val="20"/>
          <w:lang w:val="en-US"/>
        </w:rPr>
        <w:t>patients ont été opérés sous anesthésie générale.</w:t>
      </w:r>
    </w:p>
    <w:p>
      <w:pPr>
        <w:keepNext w:val="0"/>
        <w:keepLines w:val="0"/>
        <w:pageBreakBefore w:val="0"/>
        <w:widowControl/>
        <w:tabs>
          <w:tab w:val="left" w:pos="1275"/>
        </w:tabs>
        <w:kinsoku/>
        <w:wordWrap/>
        <w:overflowPunct/>
        <w:topLinePunct w:val="0"/>
        <w:autoSpaceDE/>
        <w:autoSpaceDN/>
        <w:bidi w:val="0"/>
        <w:adjustRightInd/>
        <w:snapToGrid/>
        <w:spacing w:after="0" w:line="240" w:lineRule="auto"/>
        <w:jc w:val="both"/>
        <w:textAlignment w:val="auto"/>
        <w:rPr>
          <w:rFonts w:ascii="Times New Roman" w:hAnsi="Times New Roman" w:cs="Times New Roman"/>
          <w:sz w:val="20"/>
          <w:szCs w:val="20"/>
        </w:rPr>
      </w:pPr>
      <w:r>
        <w:rPr>
          <w:rFonts w:ascii="Times New Roman" w:hAnsi="Times New Roman" w:cs="Times New Roman"/>
          <w:sz w:val="20"/>
          <w:szCs w:val="20"/>
        </w:rPr>
        <w:t>100% des abdomens des patients ont été abordés par voie médiane sus et sous ombilicale. Selon la zone de la plaie abdominale les abords étaient en 2 temps, ainsi: 3</w:t>
      </w:r>
      <w:r>
        <w:rPr>
          <w:rFonts w:hint="default" w:ascii="Times New Roman" w:hAnsi="Times New Roman" w:cs="Times New Roman"/>
          <w:sz w:val="20"/>
          <w:szCs w:val="20"/>
          <w:lang w:val="fr-FR"/>
        </w:rPr>
        <w:t xml:space="preserve"> </w:t>
      </w:r>
      <w:r>
        <w:rPr>
          <w:rFonts w:ascii="Times New Roman" w:hAnsi="Times New Roman" w:cs="Times New Roman"/>
          <w:sz w:val="20"/>
          <w:szCs w:val="20"/>
        </w:rPr>
        <w:t>(8,3%)</w:t>
      </w:r>
      <w:r>
        <w:rPr>
          <w:rFonts w:hint="default" w:ascii="Times New Roman" w:hAnsi="Times New Roman" w:cs="Times New Roman"/>
          <w:sz w:val="20"/>
          <w:szCs w:val="20"/>
          <w:lang w:val="fr-FR"/>
        </w:rPr>
        <w:t xml:space="preserve"> patients </w:t>
      </w:r>
      <w:r>
        <w:rPr>
          <w:rFonts w:ascii="Times New Roman" w:hAnsi="Times New Roman" w:cs="Times New Roman"/>
          <w:sz w:val="20"/>
          <w:szCs w:val="20"/>
        </w:rPr>
        <w:t>ont eu un abord abdominal puis thoracique, 3</w:t>
      </w:r>
      <w:r>
        <w:rPr>
          <w:rFonts w:hint="default" w:ascii="Times New Roman" w:hAnsi="Times New Roman" w:cs="Times New Roman"/>
          <w:sz w:val="20"/>
          <w:szCs w:val="20"/>
          <w:lang w:val="fr-FR"/>
        </w:rPr>
        <w:t xml:space="preserve"> </w:t>
      </w:r>
      <w:r>
        <w:rPr>
          <w:rFonts w:ascii="Times New Roman" w:hAnsi="Times New Roman" w:cs="Times New Roman"/>
          <w:sz w:val="20"/>
          <w:szCs w:val="20"/>
        </w:rPr>
        <w:t xml:space="preserve">(8,3%) ont eu un abord abdominal puis </w:t>
      </w:r>
      <w:r>
        <w:rPr>
          <w:rFonts w:ascii="Times New Roman" w:hAnsi="Times New Roman" w:cs="Times New Roman"/>
          <w:sz w:val="20"/>
          <w:szCs w:val="20"/>
          <w:lang w:val="fr-FR"/>
        </w:rPr>
        <w:t>périnéal</w:t>
      </w:r>
      <w:r>
        <w:rPr>
          <w:rFonts w:ascii="Times New Roman" w:hAnsi="Times New Roman" w:cs="Times New Roman"/>
          <w:sz w:val="20"/>
          <w:szCs w:val="20"/>
        </w:rPr>
        <w:t>, 1</w:t>
      </w:r>
      <w:r>
        <w:rPr>
          <w:rFonts w:hint="default" w:ascii="Times New Roman" w:hAnsi="Times New Roman" w:cs="Times New Roman"/>
          <w:sz w:val="20"/>
          <w:szCs w:val="20"/>
          <w:lang w:val="fr-FR"/>
        </w:rPr>
        <w:t xml:space="preserve"> </w:t>
      </w:r>
      <w:r>
        <w:rPr>
          <w:rFonts w:ascii="Times New Roman" w:hAnsi="Times New Roman" w:cs="Times New Roman"/>
          <w:sz w:val="20"/>
          <w:szCs w:val="20"/>
        </w:rPr>
        <w:t xml:space="preserve">(2 ,8%) </w:t>
      </w:r>
      <w:r>
        <w:rPr>
          <w:rFonts w:hint="default" w:ascii="Times New Roman" w:hAnsi="Times New Roman" w:cs="Times New Roman"/>
          <w:sz w:val="20"/>
          <w:szCs w:val="20"/>
          <w:lang w:val="fr-FR"/>
        </w:rPr>
        <w:t>a</w:t>
      </w:r>
      <w:r>
        <w:rPr>
          <w:rFonts w:ascii="Times New Roman" w:hAnsi="Times New Roman" w:cs="Times New Roman"/>
          <w:sz w:val="20"/>
          <w:szCs w:val="20"/>
        </w:rPr>
        <w:t xml:space="preserve"> eu un abord abdominal puis dorso –lombaire et 20</w:t>
      </w:r>
      <w:r>
        <w:rPr>
          <w:rFonts w:hint="default" w:ascii="Times New Roman" w:hAnsi="Times New Roman" w:cs="Times New Roman"/>
          <w:sz w:val="20"/>
          <w:szCs w:val="20"/>
          <w:lang w:val="fr-FR"/>
        </w:rPr>
        <w:t xml:space="preserve"> </w:t>
      </w:r>
      <w:r>
        <w:rPr>
          <w:rFonts w:ascii="Times New Roman" w:hAnsi="Times New Roman" w:cs="Times New Roman"/>
          <w:sz w:val="20"/>
          <w:szCs w:val="20"/>
        </w:rPr>
        <w:t>( 80,6%) ont eu un double abord abdominal (</w:t>
      </w:r>
      <w:r>
        <w:rPr>
          <w:rFonts w:ascii="Times New Roman" w:hAnsi="Times New Roman" w:eastAsia="Times New Roman" w:cs="Times New Roman"/>
          <w:b w:val="0"/>
          <w:bCs/>
          <w:color w:val="000000"/>
          <w:sz w:val="20"/>
          <w:szCs w:val="20"/>
        </w:rPr>
        <w:t>Tableau IV</w:t>
      </w:r>
      <w:r>
        <w:rPr>
          <w:rFonts w:ascii="Times New Roman" w:hAnsi="Times New Roman" w:cs="Times New Roman"/>
          <w:sz w:val="20"/>
          <w:szCs w:val="20"/>
        </w:rPr>
        <w:t>).</w:t>
      </w:r>
    </w:p>
    <w:p>
      <w:pPr>
        <w:keepNext w:val="0"/>
        <w:keepLines w:val="0"/>
        <w:pageBreakBefore w:val="0"/>
        <w:widowControl/>
        <w:tabs>
          <w:tab w:val="left" w:pos="1275"/>
        </w:tabs>
        <w:kinsoku/>
        <w:wordWrap/>
        <w:overflowPunct/>
        <w:topLinePunct w:val="0"/>
        <w:autoSpaceDE/>
        <w:autoSpaceDN/>
        <w:bidi w:val="0"/>
        <w:adjustRightInd/>
        <w:snapToGrid/>
        <w:spacing w:after="0" w:line="240" w:lineRule="auto"/>
        <w:jc w:val="both"/>
        <w:textAlignment w:val="auto"/>
        <w:rPr>
          <w:rFonts w:ascii="Times New Roman" w:hAnsi="Times New Roman" w:cs="Times New Roman"/>
          <w:sz w:val="20"/>
          <w:szCs w:val="20"/>
        </w:rPr>
      </w:pPr>
      <w:r>
        <w:rPr>
          <w:rFonts w:ascii="Times New Roman" w:hAnsi="Times New Roman" w:cs="Times New Roman"/>
          <w:sz w:val="20"/>
          <w:szCs w:val="20"/>
        </w:rPr>
        <w:t>L’organe touché était le grêle chez 18</w:t>
      </w:r>
      <w:r>
        <w:rPr>
          <w:rFonts w:hint="default" w:ascii="Times New Roman" w:hAnsi="Times New Roman" w:cs="Times New Roman"/>
          <w:sz w:val="20"/>
          <w:szCs w:val="20"/>
          <w:lang w:val="fr-FR"/>
        </w:rPr>
        <w:t xml:space="preserve"> </w:t>
      </w:r>
      <w:r>
        <w:rPr>
          <w:rFonts w:ascii="Times New Roman" w:hAnsi="Times New Roman" w:cs="Times New Roman"/>
          <w:sz w:val="20"/>
          <w:szCs w:val="20"/>
        </w:rPr>
        <w:t>(50%) des patients opéré</w:t>
      </w:r>
      <w:r>
        <w:rPr>
          <w:rFonts w:hint="default" w:ascii="Times New Roman" w:hAnsi="Times New Roman" w:cs="Times New Roman"/>
          <w:sz w:val="20"/>
          <w:szCs w:val="20"/>
          <w:lang w:val="fr-FR"/>
        </w:rPr>
        <w:t xml:space="preserve">s, </w:t>
      </w:r>
      <w:r>
        <w:rPr>
          <w:rFonts w:ascii="Times New Roman" w:hAnsi="Times New Roman" w:cs="Times New Roman"/>
          <w:sz w:val="20"/>
          <w:szCs w:val="20"/>
        </w:rPr>
        <w:t xml:space="preserve">le colon </w:t>
      </w:r>
      <w:r>
        <w:rPr>
          <w:rFonts w:hint="default" w:ascii="Times New Roman" w:hAnsi="Times New Roman" w:cs="Times New Roman"/>
          <w:sz w:val="20"/>
          <w:szCs w:val="20"/>
          <w:lang w:val="fr-FR"/>
        </w:rPr>
        <w:t xml:space="preserve">chez </w:t>
      </w:r>
      <w:r>
        <w:rPr>
          <w:rFonts w:ascii="Times New Roman" w:hAnsi="Times New Roman" w:cs="Times New Roman"/>
          <w:sz w:val="20"/>
          <w:szCs w:val="20"/>
        </w:rPr>
        <w:t>5</w:t>
      </w:r>
      <w:r>
        <w:rPr>
          <w:rFonts w:hint="default" w:ascii="Times New Roman" w:hAnsi="Times New Roman" w:cs="Times New Roman"/>
          <w:sz w:val="20"/>
          <w:szCs w:val="20"/>
          <w:lang w:val="fr-FR"/>
        </w:rPr>
        <w:t xml:space="preserve"> </w:t>
      </w:r>
      <w:r>
        <w:rPr>
          <w:rFonts w:ascii="Times New Roman" w:hAnsi="Times New Roman" w:cs="Times New Roman"/>
          <w:sz w:val="20"/>
          <w:szCs w:val="20"/>
        </w:rPr>
        <w:t>(14%)</w:t>
      </w:r>
      <w:r>
        <w:rPr>
          <w:rFonts w:hint="default" w:ascii="Times New Roman" w:hAnsi="Times New Roman" w:cs="Times New Roman"/>
          <w:sz w:val="20"/>
          <w:szCs w:val="20"/>
          <w:lang w:val="fr-FR"/>
        </w:rPr>
        <w:t xml:space="preserve"> patients,</w:t>
      </w:r>
      <w:r>
        <w:rPr>
          <w:rFonts w:ascii="Times New Roman" w:hAnsi="Times New Roman" w:cs="Times New Roman"/>
          <w:sz w:val="20"/>
          <w:szCs w:val="20"/>
        </w:rPr>
        <w:t xml:space="preserve"> l’estomac </w:t>
      </w:r>
      <w:r>
        <w:rPr>
          <w:rFonts w:hint="default" w:ascii="Times New Roman" w:hAnsi="Times New Roman" w:cs="Times New Roman"/>
          <w:sz w:val="20"/>
          <w:szCs w:val="20"/>
          <w:lang w:val="fr-FR"/>
        </w:rPr>
        <w:t xml:space="preserve">chez </w:t>
      </w:r>
      <w:r>
        <w:rPr>
          <w:rFonts w:ascii="Times New Roman" w:hAnsi="Times New Roman" w:cs="Times New Roman"/>
          <w:sz w:val="20"/>
          <w:szCs w:val="20"/>
        </w:rPr>
        <w:t>4</w:t>
      </w:r>
      <w:r>
        <w:rPr>
          <w:rFonts w:hint="default" w:ascii="Times New Roman" w:hAnsi="Times New Roman" w:cs="Times New Roman"/>
          <w:sz w:val="20"/>
          <w:szCs w:val="20"/>
          <w:lang w:val="fr-FR"/>
        </w:rPr>
        <w:t xml:space="preserve"> </w:t>
      </w:r>
      <w:r>
        <w:rPr>
          <w:rFonts w:ascii="Times New Roman" w:hAnsi="Times New Roman" w:cs="Times New Roman"/>
          <w:sz w:val="20"/>
          <w:szCs w:val="20"/>
        </w:rPr>
        <w:t>(11,1%</w:t>
      </w:r>
      <w:r>
        <w:rPr>
          <w:rFonts w:hint="default" w:ascii="Times New Roman" w:hAnsi="Times New Roman" w:cs="Times New Roman"/>
          <w:sz w:val="20"/>
          <w:szCs w:val="20"/>
          <w:lang w:val="fr-FR"/>
        </w:rPr>
        <w:t>) patients</w:t>
      </w:r>
      <w:r>
        <w:rPr>
          <w:rFonts w:ascii="Times New Roman" w:hAnsi="Times New Roman" w:cs="Times New Roman"/>
          <w:sz w:val="20"/>
          <w:szCs w:val="20"/>
        </w:rPr>
        <w:t xml:space="preserve">. </w:t>
      </w:r>
      <w:r>
        <w:rPr>
          <w:rFonts w:hint="default" w:ascii="Times New Roman" w:hAnsi="Times New Roman" w:cs="Times New Roman"/>
          <w:sz w:val="20"/>
          <w:szCs w:val="20"/>
          <w:lang w:val="fr-FR"/>
        </w:rPr>
        <w:t>L</w:t>
      </w:r>
      <w:r>
        <w:rPr>
          <w:rFonts w:ascii="Times New Roman" w:hAnsi="Times New Roman" w:cs="Times New Roman"/>
          <w:sz w:val="20"/>
          <w:szCs w:val="20"/>
        </w:rPr>
        <w:t>e rectum, la rate,</w:t>
      </w:r>
      <w:r>
        <w:rPr>
          <w:rFonts w:hint="default" w:ascii="Times New Roman" w:hAnsi="Times New Roman" w:cs="Times New Roman"/>
          <w:sz w:val="20"/>
          <w:szCs w:val="20"/>
          <w:lang w:val="fr-FR"/>
        </w:rPr>
        <w:t xml:space="preserve"> </w:t>
      </w:r>
      <w:r>
        <w:rPr>
          <w:rFonts w:ascii="Times New Roman" w:hAnsi="Times New Roman" w:cs="Times New Roman"/>
          <w:sz w:val="20"/>
          <w:szCs w:val="20"/>
        </w:rPr>
        <w:t>le foie, le diaphragme et l’épiplon représentaient chacun 8,3%</w:t>
      </w:r>
      <w:r>
        <w:rPr>
          <w:rFonts w:hint="default" w:ascii="Times New Roman" w:hAnsi="Times New Roman" w:cs="Times New Roman"/>
          <w:sz w:val="20"/>
          <w:szCs w:val="20"/>
          <w:lang w:val="fr-FR"/>
        </w:rPr>
        <w:t xml:space="preserve"> des lésions</w:t>
      </w:r>
      <w:r>
        <w:rPr>
          <w:rFonts w:ascii="Times New Roman" w:hAnsi="Times New Roman" w:cs="Times New Roman"/>
          <w:sz w:val="20"/>
          <w:szCs w:val="20"/>
        </w:rPr>
        <w:t xml:space="preserve">. Les lésions pouvaient atteindre un organe ou plusieurs à la fois comme le montre le </w:t>
      </w:r>
      <w:r>
        <w:rPr>
          <w:rFonts w:ascii="Times New Roman" w:hAnsi="Times New Roman" w:eastAsia="Times New Roman" w:cs="Times New Roman"/>
          <w:b w:val="0"/>
          <w:bCs/>
          <w:color w:val="000000"/>
          <w:sz w:val="20"/>
          <w:szCs w:val="20"/>
        </w:rPr>
        <w:t>Tableau IV</w:t>
      </w:r>
      <w:r>
        <w:rPr>
          <w:rFonts w:ascii="Times New Roman" w:hAnsi="Times New Roman" w:cs="Times New Roman"/>
          <w:sz w:val="20"/>
          <w:szCs w:val="20"/>
        </w:rPr>
        <w:t xml:space="preserve"> et l</w:t>
      </w:r>
      <w:r>
        <w:rPr>
          <w:rFonts w:hint="default" w:ascii="Times New Roman" w:hAnsi="Times New Roman" w:cs="Times New Roman"/>
          <w:sz w:val="20"/>
          <w:szCs w:val="20"/>
          <w:lang w:val="fr-FR"/>
        </w:rPr>
        <w:t>a</w:t>
      </w:r>
      <w:r>
        <w:rPr>
          <w:rFonts w:ascii="Times New Roman" w:hAnsi="Times New Roman" w:cs="Times New Roman"/>
          <w:sz w:val="20"/>
          <w:szCs w:val="20"/>
        </w:rPr>
        <w:t xml:space="preserve"> </w:t>
      </w:r>
      <w:r>
        <w:rPr>
          <w:rFonts w:hint="default" w:ascii="Times New Roman" w:hAnsi="Times New Roman" w:cs="Times New Roman"/>
          <w:sz w:val="20"/>
          <w:szCs w:val="20"/>
          <w:lang w:val="fr-FR"/>
        </w:rPr>
        <w:t>F</w:t>
      </w:r>
      <w:r>
        <w:rPr>
          <w:rFonts w:ascii="Times New Roman" w:hAnsi="Times New Roman" w:cs="Times New Roman"/>
          <w:sz w:val="20"/>
          <w:szCs w:val="20"/>
        </w:rPr>
        <w:t>igure</w:t>
      </w:r>
      <w:r>
        <w:rPr>
          <w:rFonts w:hint="default" w:ascii="Times New Roman" w:hAnsi="Times New Roman" w:cs="Times New Roman"/>
          <w:sz w:val="20"/>
          <w:szCs w:val="20"/>
          <w:lang w:val="fr-FR"/>
        </w:rPr>
        <w:t xml:space="preserve"> 1</w:t>
      </w:r>
      <w:r>
        <w:rPr>
          <w:rFonts w:ascii="Times New Roman" w:hAnsi="Times New Roman" w:cs="Times New Roman"/>
          <w:sz w:val="20"/>
          <w:szCs w:val="20"/>
        </w:rPr>
        <w:t xml:space="preserve">. Au cours de cette étude 6 (16,2%) laparotomies </w:t>
      </w:r>
      <w:r>
        <w:rPr>
          <w:rFonts w:hint="default" w:ascii="Times New Roman" w:hAnsi="Times New Roman" w:cs="Times New Roman"/>
          <w:sz w:val="20"/>
          <w:szCs w:val="20"/>
          <w:lang w:val="fr-FR"/>
        </w:rPr>
        <w:t xml:space="preserve">ont </w:t>
      </w:r>
      <w:r>
        <w:rPr>
          <w:rFonts w:ascii="Times New Roman" w:hAnsi="Times New Roman" w:cs="Times New Roman"/>
          <w:sz w:val="20"/>
          <w:szCs w:val="20"/>
        </w:rPr>
        <w:t>ét</w:t>
      </w:r>
      <w:r>
        <w:rPr>
          <w:rFonts w:hint="default" w:ascii="Times New Roman" w:hAnsi="Times New Roman" w:cs="Times New Roman"/>
          <w:sz w:val="20"/>
          <w:szCs w:val="20"/>
          <w:lang w:val="fr-FR"/>
        </w:rPr>
        <w:t>é</w:t>
      </w:r>
      <w:r>
        <w:rPr>
          <w:rFonts w:ascii="Times New Roman" w:hAnsi="Times New Roman" w:cs="Times New Roman"/>
          <w:sz w:val="20"/>
          <w:szCs w:val="20"/>
        </w:rPr>
        <w:t xml:space="preserve"> blanches.</w:t>
      </w:r>
    </w:p>
    <w:p>
      <w:pPr>
        <w:tabs>
          <w:tab w:val="left" w:pos="1275"/>
        </w:tabs>
        <w:spacing w:line="240" w:lineRule="auto"/>
        <w:jc w:val="both"/>
        <w:rPr>
          <w:rFonts w:ascii="Times New Roman" w:hAnsi="Times New Roman" w:cs="Times New Roman"/>
          <w:sz w:val="20"/>
          <w:szCs w:val="20"/>
        </w:rPr>
      </w:pPr>
      <w:r>
        <w:rPr>
          <w:sz w:val="20"/>
        </w:rPr>
        <w:pict>
          <v:shape id="_x0000_s1031" o:spid="_x0000_s1031" o:spt="202" type="#_x0000_t202" style="position:absolute;left:0pt;margin-left:-4.45pt;margin-top:9.85pt;height:353.35pt;width:248.65pt;z-index:251659264;mso-width-relative:page;mso-height-relative:page;" fillcolor="#FFFFFF" filled="t" stroked="f" coordsize="21600,21600">
            <v:path/>
            <v:fill on="t" color2="#FFFFFF" focussize="0,0"/>
            <v:stroke on="f"/>
            <v:imagedata o:title=""/>
            <o:lock v:ext="edit" aspectratio="f"/>
            <v:textbox>
              <w:txbxContent>
                <w:tbl>
                  <w:tblPr>
                    <w:tblStyle w:val="20"/>
                    <w:tblW w:w="4816" w:type="dxa"/>
                    <w:tblInd w:w="0" w:type="dxa"/>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6"/>
                    <w:gridCol w:w="2612"/>
                    <w:gridCol w:w="600"/>
                    <w:gridCol w:w="638"/>
                  </w:tblGrid>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48" w:hRule="atLeast"/>
                    </w:trPr>
                    <w:tc>
                      <w:tcPr>
                        <w:tcW w:w="4816" w:type="dxa"/>
                        <w:gridSpan w:val="4"/>
                        <w:tcBorders>
                          <w:insideH w:val="single" w:sz="8" w:space="0"/>
                          <w:insideV w:val="nil"/>
                        </w:tcBorders>
                        <w:shd w:val="clear" w:color="auto" w:fill="DBE5F1"/>
                      </w:tcPr>
                      <w:p>
                        <w:pPr>
                          <w:pStyle w:val="5"/>
                          <w:keepNext/>
                          <w:keepLines w:val="0"/>
                          <w:pageBreakBefore w:val="0"/>
                          <w:widowControl/>
                          <w:kinsoku/>
                          <w:wordWrap/>
                          <w:overflowPunct/>
                          <w:topLinePunct w:val="0"/>
                          <w:autoSpaceDE/>
                          <w:autoSpaceDN/>
                          <w:bidi w:val="0"/>
                          <w:adjustRightInd/>
                          <w:snapToGrid/>
                          <w:spacing w:after="0"/>
                          <w:textAlignment w:val="auto"/>
                          <w:rPr>
                            <w:rFonts w:hint="default" w:ascii="Times New Roman" w:hAnsi="Times New Roman" w:cs="Times New Roman"/>
                            <w:b/>
                            <w:bCs/>
                            <w:color w:val="000000"/>
                            <w:sz w:val="18"/>
                            <w:szCs w:val="18"/>
                            <w:lang w:val="en-US"/>
                          </w:rPr>
                        </w:pPr>
                        <w:r>
                          <w:rPr>
                            <w:rFonts w:hint="default" w:ascii="Times New Roman" w:hAnsi="Times New Roman" w:cs="Times New Roman"/>
                            <w:color w:val="000000"/>
                            <w:sz w:val="18"/>
                            <w:szCs w:val="18"/>
                            <w:u w:val="none"/>
                          </w:rPr>
                          <w:t>Table</w:t>
                        </w:r>
                        <w:r>
                          <w:rPr>
                            <w:rFonts w:hint="default" w:ascii="Times New Roman" w:hAnsi="Times New Roman" w:cs="Times New Roman"/>
                            <w:color w:val="000000"/>
                            <w:sz w:val="18"/>
                            <w:szCs w:val="18"/>
                            <w:u w:val="none"/>
                            <w:lang w:val="fr-FR"/>
                          </w:rPr>
                          <w:t>au</w:t>
                        </w:r>
                        <w:r>
                          <w:rPr>
                            <w:rFonts w:hint="default" w:ascii="Times New Roman" w:hAnsi="Times New Roman" w:cs="Times New Roman"/>
                            <w:color w:val="000000"/>
                            <w:sz w:val="18"/>
                            <w:szCs w:val="18"/>
                            <w:u w:val="none"/>
                          </w:rPr>
                          <w:t xml:space="preserve"> IV:</w:t>
                        </w:r>
                        <w:r>
                          <w:rPr>
                            <w:rFonts w:hint="default" w:ascii="Times New Roman" w:hAnsi="Times New Roman" w:cs="Times New Roman"/>
                            <w:color w:val="000000"/>
                            <w:sz w:val="18"/>
                            <w:szCs w:val="18"/>
                          </w:rPr>
                          <w:t xml:space="preserve"> Voies d’abord et découvertes</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8" w:hRule="atLeast"/>
                    </w:trPr>
                    <w:tc>
                      <w:tcPr>
                        <w:tcW w:w="3578" w:type="dxa"/>
                        <w:gridSpan w:val="2"/>
                        <w:tcBorders>
                          <w:insideH w:val="single" w:sz="8" w:space="0"/>
                          <w:insideV w:val="nil"/>
                        </w:tcBorders>
                        <w:shd w:val="clear" w:color="auto" w:fill="FFFFFF"/>
                      </w:tcPr>
                      <w:p>
                        <w:pPr>
                          <w:spacing w:before="0" w:after="0" w:line="240" w:lineRule="auto"/>
                          <w:rPr>
                            <w:rFonts w:hint="default" w:ascii="Times New Roman" w:hAnsi="Times New Roman" w:cs="Times New Roman"/>
                            <w:b/>
                            <w:bCs w:val="0"/>
                            <w:color w:val="000000" w:themeColor="text1" w:themeShade="BF"/>
                            <w:sz w:val="18"/>
                            <w:szCs w:val="18"/>
                            <w:lang w:val="en-US"/>
                          </w:rPr>
                        </w:pPr>
                        <w:r>
                          <w:rPr>
                            <w:rFonts w:hint="default" w:ascii="Times New Roman" w:hAnsi="Times New Roman" w:cs="Times New Roman"/>
                            <w:b/>
                            <w:bCs w:val="0"/>
                            <w:color w:val="000000" w:themeColor="text1" w:themeShade="BF"/>
                            <w:sz w:val="18"/>
                            <w:szCs w:val="18"/>
                            <w:lang w:val="en-US"/>
                          </w:rPr>
                          <w:t>Items</w:t>
                        </w:r>
                      </w:p>
                    </w:tc>
                    <w:tc>
                      <w:tcPr>
                        <w:tcW w:w="600" w:type="dxa"/>
                        <w:tcBorders>
                          <w:insideH w:val="single" w:sz="8" w:space="0"/>
                          <w:insideV w:val="nil"/>
                        </w:tcBorders>
                        <w:shd w:val="clear" w:color="auto" w:fill="FFFFFF"/>
                      </w:tcPr>
                      <w:p>
                        <w:pPr>
                          <w:spacing w:before="0" w:after="0" w:line="240" w:lineRule="auto"/>
                          <w:jc w:val="center"/>
                          <w:rPr>
                            <w:rFonts w:hint="default" w:ascii="Times New Roman" w:hAnsi="Times New Roman" w:cs="Times New Roman"/>
                            <w:b/>
                            <w:bCs w:val="0"/>
                            <w:color w:val="000000" w:themeColor="text1" w:themeShade="BF"/>
                            <w:sz w:val="18"/>
                            <w:szCs w:val="18"/>
                            <w:lang w:val="en-US"/>
                          </w:rPr>
                        </w:pPr>
                        <w:r>
                          <w:rPr>
                            <w:rFonts w:hint="default" w:ascii="Times New Roman" w:hAnsi="Times New Roman" w:cs="Times New Roman"/>
                            <w:b/>
                            <w:bCs w:val="0"/>
                            <w:color w:val="000000" w:themeColor="text1" w:themeShade="BF"/>
                            <w:sz w:val="18"/>
                            <w:szCs w:val="18"/>
                            <w:lang w:val="en-US"/>
                          </w:rPr>
                          <w:t>n</w:t>
                        </w:r>
                      </w:p>
                    </w:tc>
                    <w:tc>
                      <w:tcPr>
                        <w:tcW w:w="638" w:type="dxa"/>
                        <w:tcBorders>
                          <w:insideH w:val="single" w:sz="8" w:space="0"/>
                          <w:insideV w:val="nil"/>
                        </w:tcBorders>
                        <w:shd w:val="clear" w:color="auto" w:fill="FFFFFF"/>
                      </w:tcPr>
                      <w:p>
                        <w:pPr>
                          <w:spacing w:before="0" w:after="0" w:line="240" w:lineRule="auto"/>
                          <w:jc w:val="center"/>
                          <w:rPr>
                            <w:rFonts w:hint="default" w:ascii="Times New Roman" w:hAnsi="Times New Roman" w:cs="Times New Roman"/>
                            <w:b/>
                            <w:bCs w:val="0"/>
                            <w:color w:val="000000" w:themeColor="text1" w:themeShade="BF"/>
                            <w:sz w:val="18"/>
                            <w:szCs w:val="18"/>
                            <w:lang w:val="en-US"/>
                          </w:rPr>
                        </w:pPr>
                        <w:r>
                          <w:rPr>
                            <w:rFonts w:hint="default" w:ascii="Times New Roman" w:hAnsi="Times New Roman" w:cs="Times New Roman"/>
                            <w:b/>
                            <w:bCs w:val="0"/>
                            <w:color w:val="000000" w:themeColor="text1" w:themeShade="BF"/>
                            <w:sz w:val="18"/>
                            <w:szCs w:val="18"/>
                            <w:lang w:val="en-US"/>
                          </w:rPr>
                          <w:t>%</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8" w:hRule="atLeast"/>
                    </w:trPr>
                    <w:tc>
                      <w:tcPr>
                        <w:tcW w:w="4816" w:type="dxa"/>
                        <w:gridSpan w:val="4"/>
                        <w:tcBorders>
                          <w:insideH w:val="single" w:sz="8" w:space="0"/>
                          <w:insideV w:val="nil"/>
                        </w:tcBorders>
                        <w:shd w:val="clear" w:color="auto" w:fill="DBE5F1"/>
                      </w:tcPr>
                      <w:p>
                        <w:pPr>
                          <w:spacing w:before="0" w:after="0" w:line="240" w:lineRule="auto"/>
                          <w:rPr>
                            <w:rFonts w:hint="default" w:ascii="Times New Roman" w:hAnsi="Times New Roman" w:cs="Times New Roman"/>
                            <w:b/>
                            <w:bCs/>
                            <w:color w:val="000000" w:themeColor="text1" w:themeShade="BF"/>
                            <w:sz w:val="18"/>
                            <w:szCs w:val="18"/>
                            <w:lang w:val="en-US"/>
                          </w:rPr>
                        </w:pPr>
                        <w:r>
                          <w:rPr>
                            <w:rFonts w:hint="default" w:ascii="Times New Roman" w:hAnsi="Times New Roman" w:cs="Times New Roman"/>
                            <w:b/>
                            <w:bCs/>
                            <w:color w:val="000000" w:themeColor="text1" w:themeShade="BF"/>
                            <w:sz w:val="18"/>
                            <w:szCs w:val="18"/>
                            <w:lang w:val="en-US"/>
                          </w:rPr>
                          <w:t>Voies d’abord</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7" w:hRule="atLeast"/>
                    </w:trPr>
                    <w:tc>
                      <w:tcPr>
                        <w:tcW w:w="966" w:type="dxa"/>
                        <w:vMerge w:val="restart"/>
                        <w:tcBorders>
                          <w:insideV w:val="nil"/>
                        </w:tcBorders>
                        <w:shd w:val="clear" w:color="auto" w:fill="FFFFFF"/>
                      </w:tcPr>
                      <w:p>
                        <w:pPr>
                          <w:spacing w:before="0" w:after="0" w:line="240" w:lineRule="auto"/>
                          <w:rPr>
                            <w:rFonts w:hint="default" w:ascii="Times New Roman" w:hAnsi="Times New Roman" w:cs="Times New Roman"/>
                            <w:b w:val="0"/>
                            <w:bCs/>
                            <w:color w:val="000000" w:themeColor="text1" w:themeShade="BF"/>
                            <w:sz w:val="18"/>
                            <w:szCs w:val="18"/>
                            <w:lang w:val="en-US"/>
                          </w:rPr>
                        </w:pPr>
                      </w:p>
                    </w:tc>
                    <w:tc>
                      <w:tcPr>
                        <w:tcW w:w="2612" w:type="dxa"/>
                        <w:tcBorders>
                          <w:insideV w:val="nil"/>
                        </w:tcBorders>
                        <w:shd w:val="clear" w:color="auto" w:fill="FFFFFF"/>
                      </w:tcPr>
                      <w:p>
                        <w:pPr>
                          <w:spacing w:after="0" w:line="240" w:lineRule="auto"/>
                          <w:rPr>
                            <w:rFonts w:hint="default" w:ascii="Times New Roman" w:hAnsi="Times New Roman" w:cs="Times New Roman"/>
                            <w:b/>
                            <w:bCs/>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Abord abdomino-thoracique</w:t>
                        </w:r>
                      </w:p>
                    </w:tc>
                    <w:tc>
                      <w:tcPr>
                        <w:tcW w:w="600" w:type="dxa"/>
                        <w:tcBorders>
                          <w:insideV w:val="nil"/>
                        </w:tcBorders>
                        <w:shd w:val="clear" w:color="auto" w:fill="FFFFFF"/>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3</w:t>
                        </w:r>
                      </w:p>
                    </w:tc>
                    <w:tc>
                      <w:tcPr>
                        <w:tcW w:w="638" w:type="dxa"/>
                        <w:tcBorders>
                          <w:insideV w:val="nil"/>
                        </w:tcBorders>
                        <w:shd w:val="clear" w:color="auto" w:fill="FFFFFF"/>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8.1</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8" w:hRule="atLeast"/>
                    </w:trPr>
                    <w:tc>
                      <w:tcPr>
                        <w:tcW w:w="966" w:type="dxa"/>
                        <w:vMerge w:val="continue"/>
                        <w:shd w:val="clear" w:color="auto" w:fill="DBE5F1"/>
                      </w:tcPr>
                      <w:p>
                        <w:pPr>
                          <w:spacing w:after="0" w:line="240" w:lineRule="auto"/>
                          <w:rPr>
                            <w:rFonts w:hint="default" w:ascii="Times New Roman" w:hAnsi="Times New Roman" w:cs="Times New Roman"/>
                            <w:b/>
                            <w:bCs/>
                            <w:color w:val="000000" w:themeColor="text1" w:themeShade="BF"/>
                            <w:sz w:val="18"/>
                            <w:szCs w:val="18"/>
                            <w:lang w:val="en-US"/>
                          </w:rPr>
                        </w:pPr>
                      </w:p>
                    </w:tc>
                    <w:tc>
                      <w:tcPr>
                        <w:tcW w:w="2612" w:type="dxa"/>
                        <w:shd w:val="clear" w:color="auto" w:fill="DBE5F1"/>
                      </w:tcPr>
                      <w:p>
                        <w:pPr>
                          <w:spacing w:after="0" w:line="240" w:lineRule="auto"/>
                          <w:rPr>
                            <w:rFonts w:hint="default" w:ascii="Times New Roman" w:hAnsi="Times New Roman" w:cs="Times New Roman"/>
                            <w:color w:val="000000" w:themeColor="text1" w:themeShade="BF"/>
                            <w:sz w:val="18"/>
                            <w:szCs w:val="18"/>
                          </w:rPr>
                        </w:pPr>
                        <w:r>
                          <w:rPr>
                            <w:rFonts w:hint="default" w:ascii="Times New Roman" w:hAnsi="Times New Roman" w:cs="Times New Roman"/>
                            <w:color w:val="000000" w:themeColor="text1" w:themeShade="BF"/>
                            <w:sz w:val="18"/>
                            <w:szCs w:val="18"/>
                            <w:lang w:val="en-US"/>
                          </w:rPr>
                          <w:t>Abord abdomino-périnéal</w:t>
                        </w:r>
                      </w:p>
                    </w:tc>
                    <w:tc>
                      <w:tcPr>
                        <w:tcW w:w="600" w:type="dxa"/>
                        <w:shd w:val="clear" w:color="auto" w:fill="DBE5F1"/>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3</w:t>
                        </w:r>
                      </w:p>
                    </w:tc>
                    <w:tc>
                      <w:tcPr>
                        <w:tcW w:w="638" w:type="dxa"/>
                        <w:shd w:val="clear" w:color="auto" w:fill="DBE5F1"/>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8.1</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8" w:hRule="atLeast"/>
                    </w:trPr>
                    <w:tc>
                      <w:tcPr>
                        <w:tcW w:w="966" w:type="dxa"/>
                        <w:vMerge w:val="continue"/>
                        <w:tcBorders>
                          <w:insideV w:val="nil"/>
                        </w:tcBorders>
                        <w:shd w:val="clear" w:color="auto" w:fill="FFFFFF"/>
                      </w:tcPr>
                      <w:p>
                        <w:pPr>
                          <w:spacing w:after="0" w:line="240" w:lineRule="auto"/>
                          <w:rPr>
                            <w:rFonts w:hint="default" w:ascii="Times New Roman" w:hAnsi="Times New Roman" w:cs="Times New Roman"/>
                            <w:b/>
                            <w:bCs/>
                            <w:color w:val="000000" w:themeColor="text1" w:themeShade="BF"/>
                            <w:sz w:val="18"/>
                            <w:szCs w:val="18"/>
                            <w:lang w:val="en-US"/>
                          </w:rPr>
                        </w:pPr>
                      </w:p>
                    </w:tc>
                    <w:tc>
                      <w:tcPr>
                        <w:tcW w:w="2612" w:type="dxa"/>
                        <w:tcBorders>
                          <w:insideV w:val="nil"/>
                        </w:tcBorders>
                        <w:shd w:val="clear" w:color="auto" w:fill="FFFFFF"/>
                      </w:tcPr>
                      <w:p>
                        <w:pPr>
                          <w:spacing w:after="0" w:line="240" w:lineRule="auto"/>
                          <w:rPr>
                            <w:rFonts w:hint="default" w:ascii="Times New Roman" w:hAnsi="Times New Roman" w:cs="Times New Roman"/>
                            <w:color w:val="000000" w:themeColor="text1" w:themeShade="BF"/>
                            <w:sz w:val="18"/>
                            <w:szCs w:val="18"/>
                          </w:rPr>
                        </w:pPr>
                        <w:r>
                          <w:rPr>
                            <w:rFonts w:hint="default" w:ascii="Times New Roman" w:hAnsi="Times New Roman" w:cs="Times New Roman"/>
                            <w:color w:val="000000" w:themeColor="text1" w:themeShade="BF"/>
                            <w:sz w:val="18"/>
                            <w:szCs w:val="18"/>
                            <w:lang w:val="en-US"/>
                          </w:rPr>
                          <w:t>Abord abdomino-dorsolombaire</w:t>
                        </w:r>
                      </w:p>
                    </w:tc>
                    <w:tc>
                      <w:tcPr>
                        <w:tcW w:w="600" w:type="dxa"/>
                        <w:tcBorders>
                          <w:insideV w:val="nil"/>
                        </w:tcBorders>
                        <w:shd w:val="clear" w:color="auto" w:fill="FFFFFF"/>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1</w:t>
                        </w:r>
                      </w:p>
                    </w:tc>
                    <w:tc>
                      <w:tcPr>
                        <w:tcW w:w="638" w:type="dxa"/>
                        <w:tcBorders>
                          <w:insideV w:val="nil"/>
                        </w:tcBorders>
                        <w:shd w:val="clear" w:color="auto" w:fill="FFFFFF"/>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2.7</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8" w:hRule="atLeast"/>
                    </w:trPr>
                    <w:tc>
                      <w:tcPr>
                        <w:tcW w:w="966" w:type="dxa"/>
                        <w:vMerge w:val="continue"/>
                        <w:shd w:val="clear" w:color="auto" w:fill="DBE5F1"/>
                      </w:tcPr>
                      <w:p>
                        <w:pPr>
                          <w:spacing w:after="0" w:line="240" w:lineRule="auto"/>
                          <w:rPr>
                            <w:rFonts w:hint="default" w:ascii="Times New Roman" w:hAnsi="Times New Roman" w:cs="Times New Roman"/>
                            <w:b/>
                            <w:bCs/>
                            <w:color w:val="000000" w:themeColor="text1" w:themeShade="BF"/>
                            <w:sz w:val="18"/>
                            <w:szCs w:val="18"/>
                            <w:lang w:val="en-US"/>
                          </w:rPr>
                        </w:pPr>
                      </w:p>
                    </w:tc>
                    <w:tc>
                      <w:tcPr>
                        <w:tcW w:w="2612" w:type="dxa"/>
                        <w:shd w:val="clear" w:color="auto" w:fill="DBE5F1"/>
                      </w:tcPr>
                      <w:p>
                        <w:pPr>
                          <w:spacing w:after="0" w:line="240" w:lineRule="auto"/>
                          <w:rPr>
                            <w:rFonts w:hint="default" w:ascii="Times New Roman" w:hAnsi="Times New Roman" w:cs="Times New Roman"/>
                            <w:color w:val="000000" w:themeColor="text1" w:themeShade="BF"/>
                            <w:sz w:val="18"/>
                            <w:szCs w:val="18"/>
                          </w:rPr>
                        </w:pPr>
                        <w:r>
                          <w:rPr>
                            <w:rFonts w:hint="default" w:ascii="Times New Roman" w:hAnsi="Times New Roman" w:cs="Times New Roman"/>
                            <w:color w:val="000000" w:themeColor="text1" w:themeShade="BF"/>
                            <w:sz w:val="18"/>
                            <w:szCs w:val="18"/>
                            <w:lang w:val="en-US"/>
                          </w:rPr>
                          <w:t>Double abord abdominal</w:t>
                        </w:r>
                      </w:p>
                    </w:tc>
                    <w:tc>
                      <w:tcPr>
                        <w:tcW w:w="600" w:type="dxa"/>
                        <w:shd w:val="clear" w:color="auto" w:fill="DBE5F1"/>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20</w:t>
                        </w:r>
                      </w:p>
                    </w:tc>
                    <w:tc>
                      <w:tcPr>
                        <w:tcW w:w="638" w:type="dxa"/>
                        <w:shd w:val="clear" w:color="auto" w:fill="DBE5F1"/>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54</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7" w:hRule="atLeast"/>
                    </w:trPr>
                    <w:tc>
                      <w:tcPr>
                        <w:tcW w:w="4816" w:type="dxa"/>
                        <w:gridSpan w:val="4"/>
                        <w:shd w:val="clear" w:color="auto" w:fill="FFFFFF"/>
                      </w:tcPr>
                      <w:p>
                        <w:pPr>
                          <w:spacing w:after="0" w:line="240" w:lineRule="auto"/>
                          <w:jc w:val="left"/>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b/>
                            <w:bCs/>
                            <w:color w:val="000000" w:themeColor="text1" w:themeShade="BF"/>
                            <w:sz w:val="18"/>
                            <w:szCs w:val="18"/>
                            <w:lang w:val="en-US"/>
                          </w:rPr>
                          <w:t>Découvertes per opératoires</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9" w:hRule="atLeast"/>
                    </w:trPr>
                    <w:tc>
                      <w:tcPr>
                        <w:tcW w:w="966" w:type="dxa"/>
                        <w:vMerge w:val="restart"/>
                        <w:tcBorders>
                          <w:insideV w:val="nil"/>
                        </w:tcBorders>
                        <w:shd w:val="clear" w:color="auto" w:fill="DBE5F1"/>
                      </w:tcPr>
                      <w:p>
                        <w:pPr>
                          <w:spacing w:after="0" w:line="240" w:lineRule="auto"/>
                          <w:rPr>
                            <w:rFonts w:hint="default" w:ascii="Times New Roman" w:hAnsi="Times New Roman" w:cs="Times New Roman"/>
                            <w:b/>
                            <w:bCs/>
                            <w:color w:val="000000" w:themeColor="text1" w:themeShade="BF"/>
                            <w:sz w:val="18"/>
                            <w:szCs w:val="18"/>
                            <w:lang w:val="en-US"/>
                          </w:rPr>
                        </w:pPr>
                        <w:r>
                          <w:rPr>
                            <w:rFonts w:hint="default" w:ascii="Times New Roman" w:hAnsi="Times New Roman" w:cs="Times New Roman"/>
                            <w:b/>
                            <w:bCs/>
                            <w:color w:val="000000" w:themeColor="text1" w:themeShade="BF"/>
                            <w:sz w:val="18"/>
                            <w:szCs w:val="18"/>
                            <w:lang w:val="en-US"/>
                          </w:rPr>
                          <w:t xml:space="preserve">Lésions </w:t>
                        </w:r>
                        <w:r>
                          <w:rPr>
                            <w:rFonts w:hint="default" w:ascii="Times New Roman" w:hAnsi="Times New Roman" w:cs="Times New Roman"/>
                            <w:b/>
                            <w:bCs/>
                            <w:color w:val="000000" w:themeColor="text1" w:themeShade="BF"/>
                            <w:sz w:val="18"/>
                            <w:szCs w:val="18"/>
                            <w:lang w:val="fr-FR"/>
                          </w:rPr>
                          <w:t xml:space="preserve">isolées </w:t>
                        </w:r>
                        <w:r>
                          <w:rPr>
                            <w:rFonts w:hint="default" w:ascii="Times New Roman" w:hAnsi="Times New Roman" w:cs="Times New Roman"/>
                            <w:b/>
                            <w:bCs/>
                            <w:color w:val="000000" w:themeColor="text1" w:themeShade="BF"/>
                            <w:sz w:val="18"/>
                            <w:szCs w:val="18"/>
                            <w:lang w:val="en-US"/>
                          </w:rPr>
                          <w:t>d’organe</w:t>
                        </w:r>
                      </w:p>
                    </w:tc>
                    <w:tc>
                      <w:tcPr>
                        <w:tcW w:w="2612" w:type="dxa"/>
                        <w:tcBorders>
                          <w:insideV w:val="nil"/>
                        </w:tcBorders>
                        <w:shd w:val="clear" w:color="auto" w:fill="DBE5F1"/>
                      </w:tcPr>
                      <w:p>
                        <w:pPr>
                          <w:spacing w:after="0" w:line="240" w:lineRule="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Grêle (j</w:t>
                        </w:r>
                        <w:r>
                          <w:rPr>
                            <w:rFonts w:hint="default" w:ascii="Times New Roman" w:hAnsi="Times New Roman" w:cs="Times New Roman"/>
                            <w:color w:val="000000"/>
                            <w:sz w:val="18"/>
                            <w:szCs w:val="18"/>
                            <w:lang w:val="fr-FR"/>
                          </w:rPr>
                          <w:t>é</w:t>
                        </w:r>
                        <w:r>
                          <w:rPr>
                            <w:rFonts w:hint="default" w:ascii="Times New Roman" w:hAnsi="Times New Roman" w:cs="Times New Roman"/>
                            <w:color w:val="000000"/>
                            <w:sz w:val="18"/>
                            <w:szCs w:val="18"/>
                          </w:rPr>
                          <w:t>junum et/ou iléon</w:t>
                        </w:r>
                      </w:p>
                    </w:tc>
                    <w:tc>
                      <w:tcPr>
                        <w:tcW w:w="600" w:type="dxa"/>
                        <w:tcBorders>
                          <w:insideV w:val="nil"/>
                        </w:tcBorders>
                        <w:shd w:val="clear" w:color="auto" w:fill="DBE5F1"/>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9</w:t>
                        </w:r>
                      </w:p>
                    </w:tc>
                    <w:tc>
                      <w:tcPr>
                        <w:tcW w:w="638" w:type="dxa"/>
                        <w:tcBorders>
                          <w:insideV w:val="nil"/>
                        </w:tcBorders>
                        <w:shd w:val="clear" w:color="auto" w:fill="DBE5F1"/>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24.3</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8" w:hRule="atLeast"/>
                    </w:trPr>
                    <w:tc>
                      <w:tcPr>
                        <w:tcW w:w="966" w:type="dxa"/>
                        <w:vMerge w:val="continue"/>
                        <w:shd w:val="clear" w:color="auto" w:fill="FFFFFF"/>
                      </w:tcPr>
                      <w:p>
                        <w:pPr>
                          <w:spacing w:after="0" w:line="240" w:lineRule="auto"/>
                          <w:rPr>
                            <w:rFonts w:hint="default" w:ascii="Times New Roman" w:hAnsi="Times New Roman" w:cs="Times New Roman"/>
                            <w:b/>
                            <w:bCs/>
                            <w:color w:val="000000" w:themeColor="text1" w:themeShade="BF"/>
                            <w:sz w:val="18"/>
                            <w:szCs w:val="18"/>
                            <w:lang w:val="en-US"/>
                          </w:rPr>
                        </w:pPr>
                      </w:p>
                    </w:tc>
                    <w:tc>
                      <w:tcPr>
                        <w:tcW w:w="2612" w:type="dxa"/>
                        <w:shd w:val="clear" w:color="auto" w:fill="FFFFFF"/>
                      </w:tcPr>
                      <w:p>
                        <w:pPr>
                          <w:spacing w:after="0" w:line="240" w:lineRule="auto"/>
                          <w:rPr>
                            <w:rFonts w:hint="default" w:ascii="Times New Roman" w:hAnsi="Times New Roman" w:cs="Times New Roman"/>
                            <w:color w:val="000000"/>
                            <w:sz w:val="18"/>
                            <w:szCs w:val="18"/>
                            <w:lang w:val="en-US"/>
                          </w:rPr>
                        </w:pPr>
                        <w:r>
                          <w:rPr>
                            <w:rFonts w:hint="default" w:ascii="Times New Roman" w:hAnsi="Times New Roman" w:cs="Times New Roman"/>
                            <w:color w:val="000000"/>
                            <w:sz w:val="18"/>
                            <w:szCs w:val="18"/>
                            <w:lang w:val="en-US"/>
                          </w:rPr>
                          <w:t>Estomac</w:t>
                        </w:r>
                      </w:p>
                    </w:tc>
                    <w:tc>
                      <w:tcPr>
                        <w:tcW w:w="600" w:type="dxa"/>
                        <w:shd w:val="clear" w:color="auto" w:fill="FFFFFF"/>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1</w:t>
                        </w:r>
                      </w:p>
                    </w:tc>
                    <w:tc>
                      <w:tcPr>
                        <w:tcW w:w="638" w:type="dxa"/>
                        <w:shd w:val="clear" w:color="auto" w:fill="FFFFFF"/>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2.7</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8" w:hRule="atLeast"/>
                    </w:trPr>
                    <w:tc>
                      <w:tcPr>
                        <w:tcW w:w="966" w:type="dxa"/>
                        <w:vMerge w:val="continue"/>
                        <w:tcBorders>
                          <w:insideV w:val="nil"/>
                        </w:tcBorders>
                        <w:shd w:val="clear" w:color="auto" w:fill="DBE5F1"/>
                      </w:tcPr>
                      <w:p>
                        <w:pPr>
                          <w:spacing w:after="0" w:line="240" w:lineRule="auto"/>
                          <w:rPr>
                            <w:rFonts w:hint="default" w:ascii="Times New Roman" w:hAnsi="Times New Roman" w:cs="Times New Roman"/>
                            <w:b/>
                            <w:bCs/>
                            <w:color w:val="000000" w:themeColor="text1" w:themeShade="BF"/>
                            <w:sz w:val="18"/>
                            <w:szCs w:val="18"/>
                            <w:lang w:val="en-US"/>
                          </w:rPr>
                        </w:pPr>
                      </w:p>
                    </w:tc>
                    <w:tc>
                      <w:tcPr>
                        <w:tcW w:w="2612" w:type="dxa"/>
                        <w:tcBorders>
                          <w:insideV w:val="nil"/>
                        </w:tcBorders>
                        <w:shd w:val="clear" w:color="auto" w:fill="DBE5F1"/>
                      </w:tcPr>
                      <w:p>
                        <w:pPr>
                          <w:spacing w:after="0" w:line="240" w:lineRule="auto"/>
                          <w:rPr>
                            <w:rFonts w:hint="default" w:ascii="Times New Roman" w:hAnsi="Times New Roman" w:cs="Times New Roman"/>
                            <w:color w:val="000000"/>
                            <w:sz w:val="18"/>
                            <w:szCs w:val="18"/>
                            <w:lang w:val="en-US"/>
                          </w:rPr>
                        </w:pPr>
                        <w:r>
                          <w:rPr>
                            <w:rFonts w:hint="default" w:ascii="Times New Roman" w:hAnsi="Times New Roman" w:cs="Times New Roman"/>
                            <w:color w:val="000000"/>
                            <w:sz w:val="18"/>
                            <w:szCs w:val="18"/>
                            <w:lang w:val="en-US"/>
                          </w:rPr>
                          <w:t>Rectum</w:t>
                        </w:r>
                      </w:p>
                    </w:tc>
                    <w:tc>
                      <w:tcPr>
                        <w:tcW w:w="600" w:type="dxa"/>
                        <w:tcBorders>
                          <w:insideV w:val="nil"/>
                        </w:tcBorders>
                        <w:shd w:val="clear" w:color="auto" w:fill="DBE5F1"/>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2</w:t>
                        </w:r>
                      </w:p>
                    </w:tc>
                    <w:tc>
                      <w:tcPr>
                        <w:tcW w:w="638" w:type="dxa"/>
                        <w:tcBorders>
                          <w:insideV w:val="nil"/>
                        </w:tcBorders>
                        <w:shd w:val="clear" w:color="auto" w:fill="DBE5F1"/>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5.4</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8" w:hRule="atLeast"/>
                    </w:trPr>
                    <w:tc>
                      <w:tcPr>
                        <w:tcW w:w="966" w:type="dxa"/>
                        <w:vMerge w:val="continue"/>
                        <w:shd w:val="clear" w:color="auto" w:fill="FFFFFF"/>
                      </w:tcPr>
                      <w:p>
                        <w:pPr>
                          <w:spacing w:after="0" w:line="240" w:lineRule="auto"/>
                          <w:rPr>
                            <w:rFonts w:hint="default" w:ascii="Times New Roman" w:hAnsi="Times New Roman" w:cs="Times New Roman"/>
                            <w:b/>
                            <w:bCs/>
                            <w:color w:val="000000" w:themeColor="text1" w:themeShade="BF"/>
                            <w:sz w:val="18"/>
                            <w:szCs w:val="18"/>
                            <w:lang w:val="en-US"/>
                          </w:rPr>
                        </w:pPr>
                      </w:p>
                    </w:tc>
                    <w:tc>
                      <w:tcPr>
                        <w:tcW w:w="2612" w:type="dxa"/>
                        <w:shd w:val="clear" w:color="auto" w:fill="FFFFFF"/>
                      </w:tcPr>
                      <w:p>
                        <w:pPr>
                          <w:spacing w:after="0" w:line="240" w:lineRule="auto"/>
                          <w:rPr>
                            <w:rFonts w:hint="default" w:ascii="Times New Roman" w:hAnsi="Times New Roman" w:cs="Times New Roman"/>
                            <w:color w:val="000000"/>
                            <w:sz w:val="18"/>
                            <w:szCs w:val="18"/>
                            <w:lang w:val="en-US"/>
                          </w:rPr>
                        </w:pPr>
                        <w:r>
                          <w:rPr>
                            <w:rFonts w:hint="default" w:ascii="Times New Roman" w:hAnsi="Times New Roman" w:cs="Times New Roman"/>
                            <w:color w:val="000000"/>
                            <w:sz w:val="18"/>
                            <w:szCs w:val="18"/>
                            <w:lang w:val="en-US"/>
                          </w:rPr>
                          <w:t>Epiplon</w:t>
                        </w:r>
                      </w:p>
                    </w:tc>
                    <w:tc>
                      <w:tcPr>
                        <w:tcW w:w="600" w:type="dxa"/>
                        <w:shd w:val="clear" w:color="auto" w:fill="FFFFFF"/>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1</w:t>
                        </w:r>
                      </w:p>
                    </w:tc>
                    <w:tc>
                      <w:tcPr>
                        <w:tcW w:w="638" w:type="dxa"/>
                        <w:shd w:val="clear" w:color="auto" w:fill="FFFFFF"/>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2.7</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8" w:hRule="atLeast"/>
                    </w:trPr>
                    <w:tc>
                      <w:tcPr>
                        <w:tcW w:w="966" w:type="dxa"/>
                        <w:vMerge w:val="continue"/>
                        <w:tcBorders>
                          <w:insideV w:val="nil"/>
                        </w:tcBorders>
                        <w:shd w:val="clear" w:color="auto" w:fill="DBE5F1"/>
                      </w:tcPr>
                      <w:p>
                        <w:pPr>
                          <w:spacing w:after="0" w:line="240" w:lineRule="auto"/>
                          <w:rPr>
                            <w:rFonts w:hint="default" w:ascii="Times New Roman" w:hAnsi="Times New Roman" w:cs="Times New Roman"/>
                            <w:b/>
                            <w:bCs/>
                            <w:color w:val="000000" w:themeColor="text1" w:themeShade="BF"/>
                            <w:sz w:val="18"/>
                            <w:szCs w:val="18"/>
                            <w:lang w:val="en-US"/>
                          </w:rPr>
                        </w:pPr>
                      </w:p>
                    </w:tc>
                    <w:tc>
                      <w:tcPr>
                        <w:tcW w:w="2612" w:type="dxa"/>
                        <w:tcBorders>
                          <w:insideV w:val="nil"/>
                        </w:tcBorders>
                        <w:shd w:val="clear" w:color="auto" w:fill="DBE5F1"/>
                      </w:tcPr>
                      <w:p>
                        <w:pPr>
                          <w:spacing w:after="0" w:line="240" w:lineRule="auto"/>
                          <w:rPr>
                            <w:rFonts w:hint="default" w:ascii="Times New Roman" w:hAnsi="Times New Roman" w:cs="Times New Roman"/>
                            <w:color w:val="000000"/>
                            <w:sz w:val="18"/>
                            <w:szCs w:val="18"/>
                            <w:lang w:val="en-US"/>
                          </w:rPr>
                        </w:pPr>
                        <w:r>
                          <w:rPr>
                            <w:rFonts w:hint="default" w:ascii="Times New Roman" w:hAnsi="Times New Roman" w:cs="Times New Roman"/>
                            <w:color w:val="000000"/>
                            <w:sz w:val="18"/>
                            <w:szCs w:val="18"/>
                            <w:lang w:val="en-US"/>
                          </w:rPr>
                          <w:t>Diaphragme</w:t>
                        </w:r>
                      </w:p>
                    </w:tc>
                    <w:tc>
                      <w:tcPr>
                        <w:tcW w:w="600" w:type="dxa"/>
                        <w:tcBorders>
                          <w:insideV w:val="nil"/>
                        </w:tcBorders>
                        <w:shd w:val="clear" w:color="auto" w:fill="DBE5F1"/>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1</w:t>
                        </w:r>
                      </w:p>
                    </w:tc>
                    <w:tc>
                      <w:tcPr>
                        <w:tcW w:w="638" w:type="dxa"/>
                        <w:tcBorders>
                          <w:insideV w:val="nil"/>
                        </w:tcBorders>
                        <w:shd w:val="clear" w:color="auto" w:fill="DBE5F1"/>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2.7</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46" w:hRule="atLeast"/>
                    </w:trPr>
                    <w:tc>
                      <w:tcPr>
                        <w:tcW w:w="966" w:type="dxa"/>
                        <w:tcBorders>
                          <w:insideV w:val="nil"/>
                        </w:tcBorders>
                        <w:shd w:val="clear" w:color="auto" w:fill="FFFFFF"/>
                      </w:tcPr>
                      <w:p>
                        <w:pPr>
                          <w:spacing w:after="0" w:line="240" w:lineRule="auto"/>
                          <w:rPr>
                            <w:rFonts w:hint="default" w:ascii="Times New Roman" w:hAnsi="Times New Roman" w:cs="Times New Roman"/>
                            <w:b/>
                            <w:bCs/>
                            <w:color w:val="000000" w:themeColor="text1" w:themeShade="BF"/>
                            <w:sz w:val="18"/>
                            <w:szCs w:val="18"/>
                            <w:lang w:val="en-US"/>
                          </w:rPr>
                        </w:pPr>
                        <w:r>
                          <w:rPr>
                            <w:rFonts w:hint="default" w:ascii="Times New Roman" w:hAnsi="Times New Roman" w:cs="Times New Roman"/>
                            <w:b/>
                            <w:bCs/>
                            <w:color w:val="000000" w:themeColor="text1" w:themeShade="BF"/>
                            <w:sz w:val="18"/>
                            <w:szCs w:val="18"/>
                            <w:lang w:val="en-US"/>
                          </w:rPr>
                          <w:t>Lésions associées</w:t>
                        </w:r>
                      </w:p>
                    </w:tc>
                    <w:tc>
                      <w:tcPr>
                        <w:tcW w:w="2612" w:type="dxa"/>
                        <w:tcBorders>
                          <w:insideV w:val="nil"/>
                        </w:tcBorders>
                        <w:shd w:val="clear" w:color="auto" w:fill="FFFFFF"/>
                      </w:tcPr>
                      <w:p>
                        <w:pPr>
                          <w:spacing w:after="0" w:line="240" w:lineRule="auto"/>
                          <w:rPr>
                            <w:rFonts w:hint="default" w:ascii="Times New Roman" w:hAnsi="Times New Roman" w:cs="Times New Roman"/>
                            <w:color w:val="000000"/>
                            <w:sz w:val="18"/>
                            <w:szCs w:val="18"/>
                            <w:lang w:val="en-US"/>
                          </w:rPr>
                        </w:pPr>
                        <w:r>
                          <w:rPr>
                            <w:rFonts w:hint="default" w:ascii="Times New Roman" w:hAnsi="Times New Roman" w:cs="Times New Roman"/>
                            <w:color w:val="000000"/>
                            <w:sz w:val="18"/>
                            <w:szCs w:val="18"/>
                            <w:lang w:val="en-US"/>
                          </w:rPr>
                          <w:t>Grêle + colon</w:t>
                        </w:r>
                      </w:p>
                    </w:tc>
                    <w:tc>
                      <w:tcPr>
                        <w:tcW w:w="600" w:type="dxa"/>
                        <w:tcBorders>
                          <w:insideV w:val="nil"/>
                        </w:tcBorders>
                        <w:shd w:val="clear" w:color="auto" w:fill="FFFFFF"/>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3</w:t>
                        </w:r>
                      </w:p>
                    </w:tc>
                    <w:tc>
                      <w:tcPr>
                        <w:tcW w:w="638" w:type="dxa"/>
                        <w:tcBorders>
                          <w:insideV w:val="nil"/>
                        </w:tcBorders>
                        <w:shd w:val="clear" w:color="auto" w:fill="FFFFFF"/>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8.1</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46" w:hRule="atLeast"/>
                    </w:trPr>
                    <w:tc>
                      <w:tcPr>
                        <w:tcW w:w="966" w:type="dxa"/>
                        <w:shd w:val="clear" w:color="auto" w:fill="DBE5F1"/>
                      </w:tcPr>
                      <w:p>
                        <w:pPr>
                          <w:spacing w:after="0" w:line="240" w:lineRule="auto"/>
                          <w:rPr>
                            <w:rFonts w:hint="default" w:ascii="Times New Roman" w:hAnsi="Times New Roman" w:cs="Times New Roman"/>
                            <w:b/>
                            <w:bCs/>
                            <w:color w:val="000000" w:themeColor="text1" w:themeShade="BF"/>
                            <w:sz w:val="18"/>
                            <w:szCs w:val="18"/>
                            <w:lang w:val="en-US"/>
                          </w:rPr>
                        </w:pPr>
                      </w:p>
                    </w:tc>
                    <w:tc>
                      <w:tcPr>
                        <w:tcW w:w="2612" w:type="dxa"/>
                        <w:shd w:val="clear" w:color="auto" w:fill="DBE5F1"/>
                      </w:tcPr>
                      <w:p>
                        <w:pPr>
                          <w:spacing w:after="0" w:line="240" w:lineRule="auto"/>
                          <w:rPr>
                            <w:rFonts w:hint="default" w:ascii="Times New Roman" w:hAnsi="Times New Roman" w:cs="Times New Roman"/>
                            <w:color w:val="000000"/>
                            <w:sz w:val="18"/>
                            <w:szCs w:val="18"/>
                            <w:lang w:val="en-US"/>
                          </w:rPr>
                        </w:pPr>
                        <w:r>
                          <w:rPr>
                            <w:rFonts w:hint="default" w:ascii="Times New Roman" w:hAnsi="Times New Roman" w:cs="Times New Roman"/>
                            <w:color w:val="000000"/>
                            <w:sz w:val="18"/>
                            <w:szCs w:val="18"/>
                            <w:lang w:val="en-US"/>
                          </w:rPr>
                          <w:t>Grêle + foie</w:t>
                        </w:r>
                      </w:p>
                    </w:tc>
                    <w:tc>
                      <w:tcPr>
                        <w:tcW w:w="600" w:type="dxa"/>
                        <w:shd w:val="clear" w:color="auto" w:fill="DBE5F1"/>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2</w:t>
                        </w:r>
                      </w:p>
                    </w:tc>
                    <w:tc>
                      <w:tcPr>
                        <w:tcW w:w="638" w:type="dxa"/>
                        <w:shd w:val="clear" w:color="auto" w:fill="DBE5F1"/>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5.4</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46" w:hRule="atLeast"/>
                    </w:trPr>
                    <w:tc>
                      <w:tcPr>
                        <w:tcW w:w="966" w:type="dxa"/>
                        <w:tcBorders>
                          <w:insideV w:val="nil"/>
                        </w:tcBorders>
                        <w:shd w:val="clear" w:color="auto" w:fill="FFFFFF"/>
                      </w:tcPr>
                      <w:p>
                        <w:pPr>
                          <w:spacing w:after="0" w:line="240" w:lineRule="auto"/>
                          <w:rPr>
                            <w:rFonts w:hint="default" w:ascii="Times New Roman" w:hAnsi="Times New Roman" w:cs="Times New Roman"/>
                            <w:b/>
                            <w:bCs/>
                            <w:color w:val="000000" w:themeColor="text1" w:themeShade="BF"/>
                            <w:sz w:val="18"/>
                            <w:szCs w:val="18"/>
                            <w:lang w:val="en-US"/>
                          </w:rPr>
                        </w:pPr>
                      </w:p>
                    </w:tc>
                    <w:tc>
                      <w:tcPr>
                        <w:tcW w:w="2612" w:type="dxa"/>
                        <w:tcBorders>
                          <w:insideV w:val="nil"/>
                        </w:tcBorders>
                        <w:shd w:val="clear" w:color="auto" w:fill="FFFFFF"/>
                      </w:tcPr>
                      <w:p>
                        <w:pPr>
                          <w:spacing w:after="0" w:line="240" w:lineRule="auto"/>
                          <w:rPr>
                            <w:rFonts w:hint="default" w:ascii="Times New Roman" w:hAnsi="Times New Roman" w:cs="Times New Roman"/>
                            <w:color w:val="000000"/>
                            <w:sz w:val="18"/>
                            <w:szCs w:val="18"/>
                            <w:lang w:val="en-US"/>
                          </w:rPr>
                        </w:pPr>
                        <w:r>
                          <w:rPr>
                            <w:rFonts w:hint="default" w:ascii="Times New Roman" w:hAnsi="Times New Roman" w:cs="Times New Roman"/>
                            <w:color w:val="000000"/>
                            <w:sz w:val="18"/>
                            <w:szCs w:val="18"/>
                            <w:lang w:val="en-US"/>
                          </w:rPr>
                          <w:t>Grêle + plaie vasculaire</w:t>
                        </w:r>
                      </w:p>
                    </w:tc>
                    <w:tc>
                      <w:tcPr>
                        <w:tcW w:w="600" w:type="dxa"/>
                        <w:tcBorders>
                          <w:insideV w:val="nil"/>
                        </w:tcBorders>
                        <w:shd w:val="clear" w:color="auto" w:fill="FFFFFF"/>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2</w:t>
                        </w:r>
                      </w:p>
                    </w:tc>
                    <w:tc>
                      <w:tcPr>
                        <w:tcW w:w="638" w:type="dxa"/>
                        <w:tcBorders>
                          <w:insideV w:val="nil"/>
                        </w:tcBorders>
                        <w:shd w:val="clear" w:color="auto" w:fill="FFFFFF"/>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5.4</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46" w:hRule="atLeast"/>
                    </w:trPr>
                    <w:tc>
                      <w:tcPr>
                        <w:tcW w:w="966" w:type="dxa"/>
                        <w:shd w:val="clear" w:color="auto" w:fill="DBE5F1"/>
                      </w:tcPr>
                      <w:p>
                        <w:pPr>
                          <w:spacing w:after="0" w:line="240" w:lineRule="auto"/>
                          <w:rPr>
                            <w:rFonts w:hint="default" w:ascii="Times New Roman" w:hAnsi="Times New Roman" w:cs="Times New Roman"/>
                            <w:b/>
                            <w:bCs/>
                            <w:color w:val="000000" w:themeColor="text1" w:themeShade="BF"/>
                            <w:sz w:val="18"/>
                            <w:szCs w:val="18"/>
                            <w:lang w:val="en-US"/>
                          </w:rPr>
                        </w:pPr>
                      </w:p>
                    </w:tc>
                    <w:tc>
                      <w:tcPr>
                        <w:tcW w:w="2612" w:type="dxa"/>
                        <w:shd w:val="clear" w:color="auto" w:fill="DBE5F1"/>
                      </w:tcPr>
                      <w:p>
                        <w:pPr>
                          <w:spacing w:after="0" w:line="240" w:lineRule="auto"/>
                          <w:rPr>
                            <w:rFonts w:hint="default" w:ascii="Times New Roman" w:hAnsi="Times New Roman" w:cs="Times New Roman"/>
                            <w:color w:val="000000"/>
                            <w:sz w:val="18"/>
                            <w:szCs w:val="18"/>
                            <w:lang w:val="en-US"/>
                          </w:rPr>
                        </w:pPr>
                        <w:r>
                          <w:rPr>
                            <w:rFonts w:hint="default" w:ascii="Times New Roman" w:hAnsi="Times New Roman" w:cs="Times New Roman"/>
                            <w:color w:val="000000"/>
                            <w:sz w:val="18"/>
                            <w:szCs w:val="18"/>
                            <w:lang w:val="en-US"/>
                          </w:rPr>
                          <w:t xml:space="preserve">Epiplon + estomac </w:t>
                        </w:r>
                      </w:p>
                    </w:tc>
                    <w:tc>
                      <w:tcPr>
                        <w:tcW w:w="600" w:type="dxa"/>
                        <w:shd w:val="clear" w:color="auto" w:fill="DBE5F1"/>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2</w:t>
                        </w:r>
                      </w:p>
                    </w:tc>
                    <w:tc>
                      <w:tcPr>
                        <w:tcW w:w="638" w:type="dxa"/>
                        <w:shd w:val="clear" w:color="auto" w:fill="DBE5F1"/>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5.4</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46" w:hRule="atLeast"/>
                    </w:trPr>
                    <w:tc>
                      <w:tcPr>
                        <w:tcW w:w="966" w:type="dxa"/>
                        <w:tcBorders>
                          <w:insideV w:val="nil"/>
                        </w:tcBorders>
                        <w:shd w:val="clear" w:color="auto" w:fill="FFFFFF"/>
                      </w:tcPr>
                      <w:p>
                        <w:pPr>
                          <w:spacing w:after="0" w:line="240" w:lineRule="auto"/>
                          <w:rPr>
                            <w:rFonts w:hint="default" w:ascii="Times New Roman" w:hAnsi="Times New Roman" w:cs="Times New Roman"/>
                            <w:b/>
                            <w:bCs/>
                            <w:color w:val="000000" w:themeColor="text1" w:themeShade="BF"/>
                            <w:sz w:val="18"/>
                            <w:szCs w:val="18"/>
                            <w:lang w:val="en-US"/>
                          </w:rPr>
                        </w:pPr>
                      </w:p>
                    </w:tc>
                    <w:tc>
                      <w:tcPr>
                        <w:tcW w:w="2612" w:type="dxa"/>
                        <w:tcBorders>
                          <w:insideV w:val="nil"/>
                        </w:tcBorders>
                        <w:shd w:val="clear" w:color="auto" w:fill="FFFFFF"/>
                      </w:tcPr>
                      <w:p>
                        <w:pPr>
                          <w:spacing w:after="0" w:line="240" w:lineRule="auto"/>
                          <w:rPr>
                            <w:rFonts w:hint="default" w:ascii="Times New Roman" w:hAnsi="Times New Roman" w:cs="Times New Roman"/>
                            <w:color w:val="000000"/>
                            <w:sz w:val="18"/>
                            <w:szCs w:val="18"/>
                            <w:lang w:val="en-US"/>
                          </w:rPr>
                        </w:pPr>
                        <w:r>
                          <w:rPr>
                            <w:rFonts w:hint="default" w:ascii="Times New Roman" w:hAnsi="Times New Roman" w:cs="Times New Roman"/>
                            <w:color w:val="000000"/>
                            <w:sz w:val="18"/>
                            <w:szCs w:val="18"/>
                            <w:lang w:val="en-US"/>
                          </w:rPr>
                          <w:t>Grêle + colon + vessie</w:t>
                        </w:r>
                      </w:p>
                    </w:tc>
                    <w:tc>
                      <w:tcPr>
                        <w:tcW w:w="600" w:type="dxa"/>
                        <w:tcBorders>
                          <w:insideV w:val="nil"/>
                        </w:tcBorders>
                        <w:shd w:val="clear" w:color="auto" w:fill="FFFFFF"/>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1</w:t>
                        </w:r>
                      </w:p>
                    </w:tc>
                    <w:tc>
                      <w:tcPr>
                        <w:tcW w:w="638" w:type="dxa"/>
                        <w:tcBorders>
                          <w:insideV w:val="nil"/>
                        </w:tcBorders>
                        <w:shd w:val="clear" w:color="auto" w:fill="FFFFFF"/>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2.7</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7" w:hRule="atLeast"/>
                    </w:trPr>
                    <w:tc>
                      <w:tcPr>
                        <w:tcW w:w="966" w:type="dxa"/>
                        <w:shd w:val="clear" w:color="auto" w:fill="DBE5F1"/>
                      </w:tcPr>
                      <w:p>
                        <w:pPr>
                          <w:spacing w:after="0" w:line="240" w:lineRule="auto"/>
                          <w:rPr>
                            <w:rFonts w:hint="default" w:ascii="Times New Roman" w:hAnsi="Times New Roman" w:cs="Times New Roman"/>
                            <w:b/>
                            <w:bCs/>
                            <w:color w:val="000000" w:themeColor="text1" w:themeShade="BF"/>
                            <w:sz w:val="18"/>
                            <w:szCs w:val="18"/>
                            <w:lang w:val="en-US"/>
                          </w:rPr>
                        </w:pPr>
                      </w:p>
                    </w:tc>
                    <w:tc>
                      <w:tcPr>
                        <w:tcW w:w="2612" w:type="dxa"/>
                        <w:shd w:val="clear" w:color="auto" w:fill="DBE5F1"/>
                      </w:tcPr>
                      <w:p>
                        <w:pPr>
                          <w:spacing w:after="0" w:line="240" w:lineRule="auto"/>
                          <w:rPr>
                            <w:rFonts w:hint="default" w:ascii="Times New Roman" w:hAnsi="Times New Roman" w:cs="Times New Roman"/>
                            <w:color w:val="000000"/>
                            <w:sz w:val="18"/>
                            <w:szCs w:val="18"/>
                            <w:lang w:val="en-US"/>
                          </w:rPr>
                        </w:pPr>
                        <w:r>
                          <w:rPr>
                            <w:rFonts w:hint="default" w:ascii="Times New Roman" w:hAnsi="Times New Roman" w:cs="Times New Roman"/>
                            <w:color w:val="000000"/>
                            <w:sz w:val="18"/>
                            <w:szCs w:val="18"/>
                            <w:lang w:val="en-US"/>
                          </w:rPr>
                          <w:t>Grêle + Rectum</w:t>
                        </w:r>
                      </w:p>
                    </w:tc>
                    <w:tc>
                      <w:tcPr>
                        <w:tcW w:w="600" w:type="dxa"/>
                        <w:shd w:val="clear" w:color="auto" w:fill="DBE5F1"/>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1</w:t>
                        </w:r>
                      </w:p>
                    </w:tc>
                    <w:tc>
                      <w:tcPr>
                        <w:tcW w:w="638" w:type="dxa"/>
                        <w:shd w:val="clear" w:color="auto" w:fill="DBE5F1"/>
                      </w:tcPr>
                      <w:p>
                        <w:pPr>
                          <w:spacing w:after="0" w:line="240" w:lineRule="auto"/>
                          <w:jc w:val="center"/>
                          <w:rPr>
                            <w:rFonts w:hint="default" w:ascii="Times New Roman" w:hAnsi="Times New Roman" w:cs="Times New Roman"/>
                            <w:color w:val="000000" w:themeColor="text1" w:themeShade="BF"/>
                            <w:sz w:val="18"/>
                            <w:szCs w:val="18"/>
                          </w:rPr>
                        </w:pPr>
                        <w:r>
                          <w:rPr>
                            <w:rFonts w:hint="default" w:ascii="Times New Roman" w:hAnsi="Times New Roman" w:cs="Times New Roman"/>
                            <w:color w:val="000000" w:themeColor="text1" w:themeShade="BF"/>
                            <w:sz w:val="18"/>
                            <w:szCs w:val="18"/>
                            <w:lang w:val="en-US"/>
                          </w:rPr>
                          <w:t>2.7</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7" w:hRule="atLeast"/>
                    </w:trPr>
                    <w:tc>
                      <w:tcPr>
                        <w:tcW w:w="966" w:type="dxa"/>
                        <w:tcBorders>
                          <w:insideV w:val="nil"/>
                        </w:tcBorders>
                        <w:shd w:val="clear" w:color="auto" w:fill="FFFFFF"/>
                      </w:tcPr>
                      <w:p>
                        <w:pPr>
                          <w:spacing w:after="0" w:line="240" w:lineRule="auto"/>
                          <w:rPr>
                            <w:rFonts w:hint="default" w:ascii="Times New Roman" w:hAnsi="Times New Roman" w:cs="Times New Roman"/>
                            <w:b/>
                            <w:bCs/>
                            <w:color w:val="000000" w:themeColor="text1" w:themeShade="BF"/>
                            <w:sz w:val="18"/>
                            <w:szCs w:val="18"/>
                            <w:lang w:val="en-US"/>
                          </w:rPr>
                        </w:pPr>
                      </w:p>
                    </w:tc>
                    <w:tc>
                      <w:tcPr>
                        <w:tcW w:w="2612" w:type="dxa"/>
                        <w:tcBorders>
                          <w:insideV w:val="nil"/>
                        </w:tcBorders>
                        <w:shd w:val="clear" w:color="auto" w:fill="FFFFFF"/>
                      </w:tcPr>
                      <w:p>
                        <w:pPr>
                          <w:spacing w:after="0" w:line="240" w:lineRule="auto"/>
                          <w:rPr>
                            <w:rFonts w:hint="default" w:ascii="Times New Roman" w:hAnsi="Times New Roman" w:cs="Times New Roman"/>
                            <w:color w:val="000000"/>
                            <w:sz w:val="18"/>
                            <w:szCs w:val="18"/>
                            <w:lang w:val="en-US"/>
                          </w:rPr>
                        </w:pPr>
                        <w:r>
                          <w:rPr>
                            <w:rFonts w:hint="default" w:ascii="Times New Roman" w:hAnsi="Times New Roman" w:cs="Times New Roman"/>
                            <w:color w:val="000000"/>
                            <w:sz w:val="18"/>
                            <w:szCs w:val="18"/>
                            <w:lang w:val="en-US"/>
                          </w:rPr>
                          <w:t>Epiplon + grêle</w:t>
                        </w:r>
                      </w:p>
                    </w:tc>
                    <w:tc>
                      <w:tcPr>
                        <w:tcW w:w="600" w:type="dxa"/>
                        <w:tcBorders>
                          <w:insideV w:val="nil"/>
                        </w:tcBorders>
                        <w:shd w:val="clear" w:color="auto" w:fill="FFFFFF"/>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1</w:t>
                        </w:r>
                      </w:p>
                    </w:tc>
                    <w:tc>
                      <w:tcPr>
                        <w:tcW w:w="638" w:type="dxa"/>
                        <w:tcBorders>
                          <w:insideV w:val="nil"/>
                        </w:tcBorders>
                        <w:shd w:val="clear" w:color="auto" w:fill="FFFFFF"/>
                      </w:tcPr>
                      <w:p>
                        <w:pPr>
                          <w:spacing w:after="0" w:line="240" w:lineRule="auto"/>
                          <w:jc w:val="center"/>
                          <w:rPr>
                            <w:rFonts w:hint="default" w:ascii="Times New Roman" w:hAnsi="Times New Roman" w:cs="Times New Roman"/>
                            <w:color w:val="000000" w:themeColor="text1" w:themeShade="BF"/>
                            <w:sz w:val="18"/>
                            <w:szCs w:val="18"/>
                          </w:rPr>
                        </w:pPr>
                        <w:r>
                          <w:rPr>
                            <w:rFonts w:hint="default" w:ascii="Times New Roman" w:hAnsi="Times New Roman" w:cs="Times New Roman"/>
                            <w:color w:val="000000" w:themeColor="text1" w:themeShade="BF"/>
                            <w:sz w:val="18"/>
                            <w:szCs w:val="18"/>
                            <w:lang w:val="en-US"/>
                          </w:rPr>
                          <w:t>2.7</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7" w:hRule="atLeast"/>
                    </w:trPr>
                    <w:tc>
                      <w:tcPr>
                        <w:tcW w:w="966" w:type="dxa"/>
                        <w:shd w:val="clear" w:color="auto" w:fill="DBE5F1"/>
                      </w:tcPr>
                      <w:p>
                        <w:pPr>
                          <w:spacing w:after="0" w:line="240" w:lineRule="auto"/>
                          <w:rPr>
                            <w:rFonts w:hint="default" w:ascii="Times New Roman" w:hAnsi="Times New Roman" w:cs="Times New Roman"/>
                            <w:b/>
                            <w:bCs/>
                            <w:color w:val="000000" w:themeColor="text1" w:themeShade="BF"/>
                            <w:sz w:val="18"/>
                            <w:szCs w:val="18"/>
                            <w:lang w:val="en-US"/>
                          </w:rPr>
                        </w:pPr>
                      </w:p>
                    </w:tc>
                    <w:tc>
                      <w:tcPr>
                        <w:tcW w:w="2612" w:type="dxa"/>
                        <w:shd w:val="clear" w:color="auto" w:fill="DBE5F1"/>
                      </w:tcPr>
                      <w:p>
                        <w:pPr>
                          <w:spacing w:after="0" w:line="240" w:lineRule="auto"/>
                          <w:rPr>
                            <w:rFonts w:hint="default" w:ascii="Times New Roman" w:hAnsi="Times New Roman" w:cs="Times New Roman"/>
                            <w:color w:val="000000"/>
                            <w:sz w:val="18"/>
                            <w:szCs w:val="18"/>
                            <w:lang w:val="en-US"/>
                          </w:rPr>
                        </w:pPr>
                        <w:r>
                          <w:rPr>
                            <w:rFonts w:hint="default" w:ascii="Times New Roman" w:hAnsi="Times New Roman" w:cs="Times New Roman"/>
                            <w:color w:val="000000"/>
                            <w:sz w:val="18"/>
                            <w:szCs w:val="18"/>
                            <w:lang w:val="en-US"/>
                          </w:rPr>
                          <w:t xml:space="preserve">Diaphragme + rate + estomac </w:t>
                        </w:r>
                      </w:p>
                    </w:tc>
                    <w:tc>
                      <w:tcPr>
                        <w:tcW w:w="600" w:type="dxa"/>
                        <w:shd w:val="clear" w:color="auto" w:fill="DBE5F1"/>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1</w:t>
                        </w:r>
                      </w:p>
                    </w:tc>
                    <w:tc>
                      <w:tcPr>
                        <w:tcW w:w="638" w:type="dxa"/>
                        <w:shd w:val="clear" w:color="auto" w:fill="DBE5F1"/>
                      </w:tcPr>
                      <w:p>
                        <w:pPr>
                          <w:spacing w:after="0" w:line="240" w:lineRule="auto"/>
                          <w:jc w:val="center"/>
                          <w:rPr>
                            <w:rFonts w:hint="default" w:ascii="Times New Roman" w:hAnsi="Times New Roman" w:cs="Times New Roman"/>
                            <w:color w:val="000000" w:themeColor="text1" w:themeShade="BF"/>
                            <w:sz w:val="18"/>
                            <w:szCs w:val="18"/>
                          </w:rPr>
                        </w:pPr>
                        <w:r>
                          <w:rPr>
                            <w:rFonts w:hint="default" w:ascii="Times New Roman" w:hAnsi="Times New Roman" w:cs="Times New Roman"/>
                            <w:color w:val="000000" w:themeColor="text1" w:themeShade="BF"/>
                            <w:sz w:val="18"/>
                            <w:szCs w:val="18"/>
                            <w:lang w:val="en-US"/>
                          </w:rPr>
                          <w:t>2.7</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7" w:hRule="atLeast"/>
                    </w:trPr>
                    <w:tc>
                      <w:tcPr>
                        <w:tcW w:w="966" w:type="dxa"/>
                        <w:tcBorders>
                          <w:insideV w:val="nil"/>
                        </w:tcBorders>
                        <w:shd w:val="clear" w:color="auto" w:fill="FFFFFF"/>
                      </w:tcPr>
                      <w:p>
                        <w:pPr>
                          <w:spacing w:after="0" w:line="240" w:lineRule="auto"/>
                          <w:rPr>
                            <w:rFonts w:hint="default" w:ascii="Times New Roman" w:hAnsi="Times New Roman" w:cs="Times New Roman"/>
                            <w:b/>
                            <w:bCs/>
                            <w:color w:val="000000" w:themeColor="text1" w:themeShade="BF"/>
                            <w:sz w:val="18"/>
                            <w:szCs w:val="18"/>
                            <w:lang w:val="en-US"/>
                          </w:rPr>
                        </w:pPr>
                      </w:p>
                    </w:tc>
                    <w:tc>
                      <w:tcPr>
                        <w:tcW w:w="2612" w:type="dxa"/>
                        <w:tcBorders>
                          <w:insideV w:val="nil"/>
                        </w:tcBorders>
                        <w:shd w:val="clear" w:color="auto" w:fill="FFFFFF"/>
                      </w:tcPr>
                      <w:p>
                        <w:pPr>
                          <w:spacing w:after="0" w:line="240" w:lineRule="auto"/>
                          <w:rPr>
                            <w:rFonts w:hint="default" w:ascii="Times New Roman" w:hAnsi="Times New Roman" w:cs="Times New Roman"/>
                            <w:color w:val="000000"/>
                            <w:sz w:val="18"/>
                            <w:szCs w:val="18"/>
                            <w:lang w:val="en-US"/>
                          </w:rPr>
                        </w:pPr>
                        <w:r>
                          <w:rPr>
                            <w:rFonts w:hint="default" w:ascii="Times New Roman" w:hAnsi="Times New Roman" w:cs="Times New Roman"/>
                            <w:color w:val="000000"/>
                            <w:sz w:val="18"/>
                            <w:szCs w:val="18"/>
                            <w:lang w:val="en-US"/>
                          </w:rPr>
                          <w:t>Diaphragme + foie</w:t>
                        </w:r>
                      </w:p>
                    </w:tc>
                    <w:tc>
                      <w:tcPr>
                        <w:tcW w:w="600" w:type="dxa"/>
                        <w:tcBorders>
                          <w:insideV w:val="nil"/>
                        </w:tcBorders>
                        <w:shd w:val="clear" w:color="auto" w:fill="FFFFFF"/>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1</w:t>
                        </w:r>
                      </w:p>
                    </w:tc>
                    <w:tc>
                      <w:tcPr>
                        <w:tcW w:w="638" w:type="dxa"/>
                        <w:tcBorders>
                          <w:insideV w:val="nil"/>
                        </w:tcBorders>
                        <w:shd w:val="clear" w:color="auto" w:fill="FFFFFF"/>
                      </w:tcPr>
                      <w:p>
                        <w:pPr>
                          <w:spacing w:after="0" w:line="240" w:lineRule="auto"/>
                          <w:jc w:val="center"/>
                          <w:rPr>
                            <w:rFonts w:hint="default" w:ascii="Times New Roman" w:hAnsi="Times New Roman" w:cs="Times New Roman"/>
                            <w:color w:val="000000" w:themeColor="text1" w:themeShade="BF"/>
                            <w:sz w:val="18"/>
                            <w:szCs w:val="18"/>
                          </w:rPr>
                        </w:pPr>
                        <w:r>
                          <w:rPr>
                            <w:rFonts w:hint="default" w:ascii="Times New Roman" w:hAnsi="Times New Roman" w:cs="Times New Roman"/>
                            <w:color w:val="000000" w:themeColor="text1" w:themeShade="BF"/>
                            <w:sz w:val="18"/>
                            <w:szCs w:val="18"/>
                            <w:lang w:val="en-US"/>
                          </w:rPr>
                          <w:t>2.7</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7" w:hRule="atLeast"/>
                    </w:trPr>
                    <w:tc>
                      <w:tcPr>
                        <w:tcW w:w="966" w:type="dxa"/>
                        <w:shd w:val="clear" w:color="auto" w:fill="DBE5F1"/>
                      </w:tcPr>
                      <w:p>
                        <w:pPr>
                          <w:spacing w:after="0" w:line="240" w:lineRule="auto"/>
                          <w:rPr>
                            <w:rFonts w:hint="default" w:ascii="Times New Roman" w:hAnsi="Times New Roman" w:cs="Times New Roman"/>
                            <w:b/>
                            <w:bCs/>
                            <w:color w:val="000000" w:themeColor="text1" w:themeShade="BF"/>
                            <w:sz w:val="18"/>
                            <w:szCs w:val="18"/>
                            <w:lang w:val="en-US"/>
                          </w:rPr>
                        </w:pPr>
                      </w:p>
                    </w:tc>
                    <w:tc>
                      <w:tcPr>
                        <w:tcW w:w="2612" w:type="dxa"/>
                        <w:shd w:val="clear" w:color="auto" w:fill="DBE5F1"/>
                      </w:tcPr>
                      <w:p>
                        <w:pPr>
                          <w:spacing w:after="0" w:line="240" w:lineRule="auto"/>
                          <w:rPr>
                            <w:rFonts w:hint="default" w:ascii="Times New Roman" w:hAnsi="Times New Roman" w:cs="Times New Roman"/>
                            <w:color w:val="000000"/>
                            <w:sz w:val="18"/>
                            <w:szCs w:val="18"/>
                            <w:lang w:val="en-US"/>
                          </w:rPr>
                        </w:pPr>
                        <w:r>
                          <w:rPr>
                            <w:rFonts w:hint="default" w:ascii="Times New Roman" w:hAnsi="Times New Roman" w:cs="Times New Roman"/>
                            <w:color w:val="000000"/>
                            <w:sz w:val="18"/>
                            <w:szCs w:val="18"/>
                            <w:lang w:val="en-US"/>
                          </w:rPr>
                          <w:t xml:space="preserve">Rate + colon </w:t>
                        </w:r>
                      </w:p>
                    </w:tc>
                    <w:tc>
                      <w:tcPr>
                        <w:tcW w:w="600" w:type="dxa"/>
                        <w:shd w:val="clear" w:color="auto" w:fill="DBE5F1"/>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1</w:t>
                        </w:r>
                      </w:p>
                    </w:tc>
                    <w:tc>
                      <w:tcPr>
                        <w:tcW w:w="638" w:type="dxa"/>
                        <w:shd w:val="clear" w:color="auto" w:fill="DBE5F1"/>
                      </w:tcPr>
                      <w:p>
                        <w:pPr>
                          <w:spacing w:after="0" w:line="240" w:lineRule="auto"/>
                          <w:jc w:val="center"/>
                          <w:rPr>
                            <w:rFonts w:hint="default" w:ascii="Times New Roman" w:hAnsi="Times New Roman" w:cs="Times New Roman"/>
                            <w:color w:val="000000" w:themeColor="text1" w:themeShade="BF"/>
                            <w:sz w:val="18"/>
                            <w:szCs w:val="18"/>
                          </w:rPr>
                        </w:pPr>
                        <w:r>
                          <w:rPr>
                            <w:rFonts w:hint="default" w:ascii="Times New Roman" w:hAnsi="Times New Roman" w:cs="Times New Roman"/>
                            <w:color w:val="000000" w:themeColor="text1" w:themeShade="BF"/>
                            <w:sz w:val="18"/>
                            <w:szCs w:val="18"/>
                            <w:lang w:val="en-US"/>
                          </w:rPr>
                          <w:t>2.7</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46" w:hRule="atLeast"/>
                    </w:trPr>
                    <w:tc>
                      <w:tcPr>
                        <w:tcW w:w="966" w:type="dxa"/>
                        <w:tcBorders>
                          <w:insideV w:val="nil"/>
                        </w:tcBorders>
                        <w:shd w:val="clear" w:color="auto" w:fill="FFFFFF"/>
                      </w:tcPr>
                      <w:p>
                        <w:pPr>
                          <w:spacing w:after="0" w:line="240" w:lineRule="auto"/>
                          <w:rPr>
                            <w:rFonts w:hint="default" w:ascii="Times New Roman" w:hAnsi="Times New Roman" w:cs="Times New Roman"/>
                            <w:b/>
                            <w:bCs/>
                            <w:color w:val="000000" w:themeColor="text1" w:themeShade="BF"/>
                            <w:sz w:val="18"/>
                            <w:szCs w:val="18"/>
                            <w:lang w:val="en-US"/>
                          </w:rPr>
                        </w:pPr>
                      </w:p>
                    </w:tc>
                    <w:tc>
                      <w:tcPr>
                        <w:tcW w:w="2612" w:type="dxa"/>
                        <w:tcBorders>
                          <w:insideV w:val="nil"/>
                        </w:tcBorders>
                        <w:shd w:val="clear" w:color="auto" w:fill="FFFFFF"/>
                      </w:tcPr>
                      <w:p>
                        <w:pPr>
                          <w:spacing w:after="0" w:line="240" w:lineRule="auto"/>
                          <w:rPr>
                            <w:rFonts w:hint="default" w:ascii="Times New Roman" w:hAnsi="Times New Roman" w:cs="Times New Roman"/>
                            <w:color w:val="000000"/>
                            <w:sz w:val="18"/>
                            <w:szCs w:val="18"/>
                            <w:lang w:val="en-US"/>
                          </w:rPr>
                        </w:pPr>
                        <w:r>
                          <w:rPr>
                            <w:rFonts w:hint="default" w:ascii="Times New Roman" w:hAnsi="Times New Roman" w:cs="Times New Roman"/>
                            <w:color w:val="000000"/>
                            <w:sz w:val="18"/>
                            <w:szCs w:val="18"/>
                            <w:lang w:val="en-US"/>
                          </w:rPr>
                          <w:t>Grêle + rate</w:t>
                        </w:r>
                      </w:p>
                    </w:tc>
                    <w:tc>
                      <w:tcPr>
                        <w:tcW w:w="600" w:type="dxa"/>
                        <w:tcBorders>
                          <w:insideV w:val="nil"/>
                        </w:tcBorders>
                        <w:shd w:val="clear" w:color="auto" w:fill="FFFFFF"/>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1</w:t>
                        </w:r>
                      </w:p>
                    </w:tc>
                    <w:tc>
                      <w:tcPr>
                        <w:tcW w:w="638" w:type="dxa"/>
                        <w:tcBorders>
                          <w:insideV w:val="nil"/>
                        </w:tcBorders>
                        <w:shd w:val="clear" w:color="auto" w:fill="FFFFFF"/>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2.7</w:t>
                        </w:r>
                      </w:p>
                    </w:tc>
                  </w:tr>
                  <w:tr>
                    <w:tblPrEx>
                      <w:tblBorders>
                        <w:top w:val="single" w:color="0070C0" w:sz="4" w:space="0"/>
                        <w:left w:val="none" w:color="auto" w:sz="0" w:space="0"/>
                        <w:bottom w:val="single" w:color="0070C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7" w:hRule="atLeast"/>
                    </w:trPr>
                    <w:tc>
                      <w:tcPr>
                        <w:tcW w:w="966" w:type="dxa"/>
                        <w:tcBorders>
                          <w:insideV w:val="nil"/>
                        </w:tcBorders>
                        <w:shd w:val="clear" w:color="auto" w:fill="DBE5F1"/>
                      </w:tcPr>
                      <w:p>
                        <w:pPr>
                          <w:spacing w:after="0" w:line="240" w:lineRule="auto"/>
                          <w:rPr>
                            <w:rFonts w:hint="default" w:ascii="Times New Roman" w:hAnsi="Times New Roman" w:cs="Times New Roman"/>
                            <w:b/>
                            <w:bCs/>
                            <w:color w:val="000000" w:themeColor="text1" w:themeShade="BF"/>
                            <w:sz w:val="18"/>
                            <w:szCs w:val="18"/>
                            <w:lang w:val="en-US"/>
                          </w:rPr>
                        </w:pPr>
                        <w:r>
                          <w:rPr>
                            <w:rFonts w:hint="default" w:ascii="Times New Roman" w:hAnsi="Times New Roman" w:cs="Times New Roman"/>
                            <w:b/>
                            <w:bCs/>
                            <w:color w:val="000000" w:themeColor="text1" w:themeShade="BF"/>
                            <w:sz w:val="18"/>
                            <w:szCs w:val="18"/>
                            <w:lang w:val="en-US"/>
                          </w:rPr>
                          <w:t>Pas de l</w:t>
                        </w:r>
                        <w:r>
                          <w:rPr>
                            <w:rFonts w:hint="default" w:ascii="Times New Roman" w:hAnsi="Times New Roman" w:cs="Times New Roman"/>
                            <w:b/>
                            <w:bCs/>
                            <w:color w:val="000000" w:themeColor="text1" w:themeShade="BF"/>
                            <w:sz w:val="18"/>
                            <w:szCs w:val="18"/>
                            <w:lang w:val="fr-FR"/>
                          </w:rPr>
                          <w:t>é</w:t>
                        </w:r>
                        <w:r>
                          <w:rPr>
                            <w:rFonts w:hint="default" w:ascii="Times New Roman" w:hAnsi="Times New Roman" w:cs="Times New Roman"/>
                            <w:b/>
                            <w:bCs/>
                            <w:color w:val="000000" w:themeColor="text1" w:themeShade="BF"/>
                            <w:sz w:val="18"/>
                            <w:szCs w:val="18"/>
                            <w:lang w:val="en-US"/>
                          </w:rPr>
                          <w:t>sions</w:t>
                        </w:r>
                      </w:p>
                    </w:tc>
                    <w:tc>
                      <w:tcPr>
                        <w:tcW w:w="2612" w:type="dxa"/>
                        <w:tcBorders>
                          <w:insideV w:val="nil"/>
                        </w:tcBorders>
                        <w:shd w:val="clear" w:color="auto" w:fill="DBE5F1"/>
                      </w:tcPr>
                      <w:p>
                        <w:pPr>
                          <w:spacing w:after="0" w:line="240" w:lineRule="auto"/>
                          <w:rPr>
                            <w:rFonts w:hint="default" w:ascii="Times New Roman" w:hAnsi="Times New Roman" w:cs="Times New Roman"/>
                            <w:b/>
                            <w:color w:val="000000"/>
                            <w:sz w:val="18"/>
                            <w:szCs w:val="18"/>
                            <w:lang w:val="en-US"/>
                          </w:rPr>
                        </w:pPr>
                      </w:p>
                    </w:tc>
                    <w:tc>
                      <w:tcPr>
                        <w:tcW w:w="600" w:type="dxa"/>
                        <w:tcBorders>
                          <w:insideV w:val="nil"/>
                        </w:tcBorders>
                        <w:shd w:val="clear" w:color="auto" w:fill="DBE5F1"/>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6</w:t>
                        </w:r>
                      </w:p>
                    </w:tc>
                    <w:tc>
                      <w:tcPr>
                        <w:tcW w:w="638" w:type="dxa"/>
                        <w:tcBorders>
                          <w:insideV w:val="nil"/>
                        </w:tcBorders>
                        <w:shd w:val="clear" w:color="auto" w:fill="DBE5F1"/>
                      </w:tcPr>
                      <w:p>
                        <w:pPr>
                          <w:spacing w:after="0" w:line="240" w:lineRule="auto"/>
                          <w:jc w:val="center"/>
                          <w:rPr>
                            <w:rFonts w:hint="default" w:ascii="Times New Roman" w:hAnsi="Times New Roman" w:cs="Times New Roman"/>
                            <w:color w:val="000000" w:themeColor="text1" w:themeShade="BF"/>
                            <w:sz w:val="18"/>
                            <w:szCs w:val="18"/>
                            <w:lang w:val="en-US"/>
                          </w:rPr>
                        </w:pPr>
                        <w:r>
                          <w:rPr>
                            <w:rFonts w:hint="default" w:ascii="Times New Roman" w:hAnsi="Times New Roman" w:cs="Times New Roman"/>
                            <w:color w:val="000000" w:themeColor="text1" w:themeShade="BF"/>
                            <w:sz w:val="18"/>
                            <w:szCs w:val="18"/>
                            <w:lang w:val="en-US"/>
                          </w:rPr>
                          <w:t>16.2</w:t>
                        </w:r>
                      </w:p>
                    </w:tc>
                  </w:tr>
                </w:tbl>
                <w:p/>
              </w:txbxContent>
            </v:textbox>
          </v:shape>
        </w:pict>
      </w:r>
    </w:p>
    <w:p>
      <w:pPr>
        <w:tabs>
          <w:tab w:val="left" w:pos="1275"/>
        </w:tabs>
        <w:spacing w:line="240" w:lineRule="auto"/>
        <w:jc w:val="both"/>
        <w:rPr>
          <w:rFonts w:ascii="Times New Roman" w:hAnsi="Times New Roman" w:cs="Times New Roman"/>
          <w:sz w:val="20"/>
          <w:szCs w:val="20"/>
        </w:rPr>
      </w:pPr>
    </w:p>
    <w:p>
      <w:pPr>
        <w:tabs>
          <w:tab w:val="left" w:pos="1275"/>
        </w:tabs>
        <w:spacing w:line="240" w:lineRule="auto"/>
        <w:jc w:val="both"/>
        <w:rPr>
          <w:rFonts w:ascii="Times New Roman" w:hAnsi="Times New Roman" w:cs="Times New Roman"/>
          <w:sz w:val="20"/>
          <w:szCs w:val="20"/>
        </w:rPr>
      </w:pPr>
    </w:p>
    <w:p>
      <w:pPr>
        <w:tabs>
          <w:tab w:val="left" w:pos="1275"/>
        </w:tabs>
        <w:spacing w:line="240" w:lineRule="auto"/>
        <w:jc w:val="both"/>
        <w:rPr>
          <w:rFonts w:ascii="Times New Roman" w:hAnsi="Times New Roman" w:cs="Times New Roman"/>
          <w:sz w:val="20"/>
          <w:szCs w:val="20"/>
        </w:rPr>
      </w:pPr>
    </w:p>
    <w:p>
      <w:pPr>
        <w:tabs>
          <w:tab w:val="left" w:pos="1275"/>
        </w:tabs>
        <w:spacing w:line="240" w:lineRule="auto"/>
        <w:jc w:val="both"/>
        <w:rPr>
          <w:rFonts w:ascii="Times New Roman" w:hAnsi="Times New Roman" w:cs="Times New Roman"/>
          <w:sz w:val="20"/>
          <w:szCs w:val="20"/>
        </w:rPr>
      </w:pPr>
    </w:p>
    <w:p>
      <w:pPr>
        <w:tabs>
          <w:tab w:val="left" w:pos="1275"/>
        </w:tabs>
        <w:spacing w:line="240" w:lineRule="auto"/>
        <w:jc w:val="both"/>
        <w:rPr>
          <w:rFonts w:ascii="Times New Roman" w:hAnsi="Times New Roman" w:cs="Times New Roman"/>
          <w:sz w:val="20"/>
          <w:szCs w:val="20"/>
        </w:rPr>
      </w:pPr>
    </w:p>
    <w:p>
      <w:pPr>
        <w:tabs>
          <w:tab w:val="left" w:pos="1275"/>
        </w:tabs>
        <w:spacing w:line="240" w:lineRule="auto"/>
        <w:jc w:val="both"/>
        <w:rPr>
          <w:rFonts w:ascii="Times New Roman" w:hAnsi="Times New Roman" w:cs="Times New Roman"/>
          <w:sz w:val="20"/>
          <w:szCs w:val="20"/>
        </w:rPr>
      </w:pPr>
    </w:p>
    <w:p>
      <w:pPr>
        <w:tabs>
          <w:tab w:val="left" w:pos="1275"/>
        </w:tabs>
        <w:spacing w:line="240" w:lineRule="auto"/>
        <w:jc w:val="both"/>
        <w:rPr>
          <w:rFonts w:ascii="Times New Roman" w:hAnsi="Times New Roman" w:cs="Times New Roman"/>
          <w:sz w:val="20"/>
          <w:szCs w:val="20"/>
        </w:rPr>
      </w:pPr>
    </w:p>
    <w:p>
      <w:pPr>
        <w:tabs>
          <w:tab w:val="left" w:pos="1275"/>
        </w:tabs>
        <w:spacing w:line="240" w:lineRule="auto"/>
        <w:jc w:val="both"/>
        <w:rPr>
          <w:rFonts w:ascii="Times New Roman" w:hAnsi="Times New Roman" w:cs="Times New Roman"/>
          <w:sz w:val="20"/>
          <w:szCs w:val="20"/>
        </w:rPr>
      </w:pPr>
    </w:p>
    <w:p>
      <w:pPr>
        <w:tabs>
          <w:tab w:val="left" w:pos="1275"/>
        </w:tabs>
        <w:spacing w:line="240" w:lineRule="auto"/>
        <w:jc w:val="both"/>
        <w:rPr>
          <w:rFonts w:ascii="Times New Roman" w:hAnsi="Times New Roman" w:cs="Times New Roman"/>
          <w:sz w:val="20"/>
          <w:szCs w:val="20"/>
        </w:rPr>
      </w:pPr>
    </w:p>
    <w:p>
      <w:pPr>
        <w:tabs>
          <w:tab w:val="left" w:pos="1275"/>
        </w:tabs>
        <w:spacing w:line="240" w:lineRule="auto"/>
        <w:jc w:val="both"/>
        <w:rPr>
          <w:rFonts w:ascii="Times New Roman" w:hAnsi="Times New Roman" w:cs="Times New Roman"/>
          <w:sz w:val="20"/>
          <w:szCs w:val="20"/>
        </w:rPr>
      </w:pPr>
    </w:p>
    <w:p>
      <w:pPr>
        <w:tabs>
          <w:tab w:val="left" w:pos="1275"/>
        </w:tabs>
        <w:spacing w:line="240" w:lineRule="auto"/>
        <w:jc w:val="both"/>
        <w:rPr>
          <w:rFonts w:ascii="Times New Roman" w:hAnsi="Times New Roman" w:cs="Times New Roman"/>
          <w:sz w:val="20"/>
          <w:szCs w:val="20"/>
        </w:rPr>
      </w:pPr>
    </w:p>
    <w:p>
      <w:pPr>
        <w:tabs>
          <w:tab w:val="left" w:pos="1275"/>
        </w:tabs>
        <w:spacing w:line="240" w:lineRule="auto"/>
        <w:jc w:val="both"/>
        <w:rPr>
          <w:rFonts w:ascii="Times New Roman" w:hAnsi="Times New Roman" w:cs="Times New Roman"/>
          <w:sz w:val="20"/>
          <w:szCs w:val="20"/>
        </w:rPr>
      </w:pPr>
    </w:p>
    <w:p>
      <w:pPr>
        <w:tabs>
          <w:tab w:val="left" w:pos="1275"/>
        </w:tabs>
        <w:spacing w:line="240" w:lineRule="auto"/>
        <w:jc w:val="both"/>
        <w:rPr>
          <w:rFonts w:ascii="Times New Roman" w:hAnsi="Times New Roman" w:cs="Times New Roman"/>
          <w:sz w:val="20"/>
          <w:szCs w:val="20"/>
        </w:rPr>
      </w:pPr>
    </w:p>
    <w:p>
      <w:pPr>
        <w:tabs>
          <w:tab w:val="left" w:pos="1275"/>
        </w:tabs>
        <w:spacing w:line="240" w:lineRule="auto"/>
        <w:jc w:val="both"/>
        <w:rPr>
          <w:rFonts w:ascii="Times New Roman" w:hAnsi="Times New Roman" w:cs="Times New Roman"/>
          <w:sz w:val="20"/>
          <w:szCs w:val="20"/>
        </w:rPr>
      </w:pPr>
    </w:p>
    <w:p>
      <w:pPr>
        <w:tabs>
          <w:tab w:val="left" w:pos="1275"/>
        </w:tabs>
        <w:spacing w:line="240" w:lineRule="auto"/>
        <w:jc w:val="both"/>
        <w:rPr>
          <w:rFonts w:ascii="Times New Roman" w:hAnsi="Times New Roman" w:cs="Times New Roman"/>
          <w:sz w:val="20"/>
          <w:szCs w:val="20"/>
        </w:rPr>
      </w:pPr>
    </w:p>
    <w:p>
      <w:pPr>
        <w:tabs>
          <w:tab w:val="left" w:pos="1275"/>
        </w:tabs>
        <w:spacing w:line="240" w:lineRule="auto"/>
        <w:jc w:val="both"/>
        <w:rPr>
          <w:rFonts w:ascii="Times New Roman" w:hAnsi="Times New Roman" w:cs="Times New Roman"/>
          <w:sz w:val="20"/>
          <w:szCs w:val="20"/>
        </w:rPr>
      </w:pPr>
    </w:p>
    <w:p>
      <w:pPr>
        <w:tabs>
          <w:tab w:val="left" w:pos="1275"/>
        </w:tabs>
        <w:spacing w:line="240" w:lineRule="auto"/>
        <w:jc w:val="both"/>
        <w:rPr>
          <w:rFonts w:hint="default" w:ascii="Times New Roman" w:hAnsi="Times New Roman" w:cs="Times New Roman"/>
          <w:sz w:val="20"/>
          <w:szCs w:val="20"/>
          <w:lang w:val="fr-FR"/>
        </w:rPr>
      </w:pPr>
      <w:r>
        <w:rPr>
          <w:sz w:val="20"/>
        </w:rPr>
        <w:pict>
          <v:shape id="_x0000_s1032" o:spid="_x0000_s1032" o:spt="202" type="#_x0000_t202" style="position:absolute;left:0pt;margin-left:256.15pt;margin-top:-499.75pt;height:342pt;width:252.45pt;z-index:251660288;mso-width-relative:page;mso-height-relative:page;" fillcolor="#FFFFFF" filled="t" stroked="f" coordsize="21600,21600">
            <v:path/>
            <v:fill on="t" color2="#FFFFFF" focussize="0,0"/>
            <v:stroke on="f"/>
            <v:imagedata o:title=""/>
            <o:lock v:ext="edit" aspectratio="f"/>
            <v:textbox>
              <w:txbxContent>
                <w:tbl>
                  <w:tblPr>
                    <w:tblStyle w:val="23"/>
                    <w:tblW w:w="4903" w:type="dxa"/>
                    <w:tblInd w:w="0" w:type="dxa"/>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5"/>
                    <w:gridCol w:w="1113"/>
                    <w:gridCol w:w="2420"/>
                    <w:gridCol w:w="538"/>
                    <w:gridCol w:w="577"/>
                  </w:tblGrid>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1" w:hRule="atLeast"/>
                    </w:trPr>
                    <w:tc>
                      <w:tcPr>
                        <w:tcW w:w="4903" w:type="dxa"/>
                        <w:gridSpan w:val="5"/>
                        <w:tcBorders>
                          <w:top w:val="single" w:color="4F81BD" w:sz="8" w:space="0"/>
                          <w:left w:val="dotted" w:color="auto" w:sz="0" w:space="0"/>
                          <w:bottom w:val="dotted" w:color="auto" w:sz="8" w:space="0"/>
                          <w:right w:val="dotted" w:color="auto" w:sz="0" w:space="0"/>
                          <w:insideH w:val="single" w:sz="8" w:space="0"/>
                          <w:insideV w:val="nil"/>
                        </w:tcBorders>
                        <w:shd w:val="clear" w:color="auto" w:fill="DBE5F1"/>
                      </w:tcPr>
                      <w:p>
                        <w:pPr>
                          <w:pStyle w:val="5"/>
                          <w:keepNext/>
                          <w:keepLines w:val="0"/>
                          <w:pageBreakBefore w:val="0"/>
                          <w:widowControl/>
                          <w:kinsoku/>
                          <w:wordWrap/>
                          <w:overflowPunct/>
                          <w:topLinePunct w:val="0"/>
                          <w:autoSpaceDE/>
                          <w:autoSpaceDN/>
                          <w:bidi w:val="0"/>
                          <w:adjustRightInd/>
                          <w:snapToGrid/>
                          <w:spacing w:after="0"/>
                          <w:textAlignment w:val="auto"/>
                          <w:rPr>
                            <w:rFonts w:hint="default" w:ascii="Times New Roman" w:hAnsi="Times New Roman" w:cs="Times New Roman"/>
                            <w:b/>
                            <w:bCs/>
                            <w:color w:val="000000"/>
                            <w:sz w:val="18"/>
                            <w:szCs w:val="18"/>
                            <w:lang w:val="fr-FR"/>
                          </w:rPr>
                        </w:pPr>
                        <w:r>
                          <w:rPr>
                            <w:rFonts w:hint="default" w:ascii="Times New Roman" w:hAnsi="Times New Roman" w:cs="Times New Roman"/>
                            <w:color w:val="000000"/>
                            <w:sz w:val="18"/>
                            <w:szCs w:val="18"/>
                            <w:u w:val="none"/>
                          </w:rPr>
                          <w:t>Tabl</w:t>
                        </w:r>
                        <w:r>
                          <w:rPr>
                            <w:rFonts w:hint="default" w:ascii="Times New Roman" w:hAnsi="Times New Roman" w:cs="Times New Roman"/>
                            <w:color w:val="000000"/>
                            <w:sz w:val="18"/>
                            <w:szCs w:val="18"/>
                            <w:u w:val="none"/>
                            <w:lang w:val="fr-FR"/>
                          </w:rPr>
                          <w:t>eau</w:t>
                        </w:r>
                        <w:r>
                          <w:rPr>
                            <w:rFonts w:hint="default" w:ascii="Times New Roman" w:hAnsi="Times New Roman" w:cs="Times New Roman"/>
                            <w:color w:val="000000"/>
                            <w:sz w:val="18"/>
                            <w:szCs w:val="18"/>
                            <w:u w:val="none"/>
                          </w:rPr>
                          <w:t xml:space="preserve"> </w:t>
                        </w:r>
                        <w:r>
                          <w:rPr>
                            <w:rFonts w:hint="default" w:ascii="Times New Roman" w:hAnsi="Times New Roman" w:cs="Times New Roman"/>
                            <w:color w:val="000000"/>
                            <w:sz w:val="18"/>
                            <w:szCs w:val="18"/>
                            <w:u w:val="none"/>
                            <w:lang w:val="en-US"/>
                          </w:rPr>
                          <w:t>V:</w:t>
                        </w:r>
                        <w:r>
                          <w:rPr>
                            <w:rFonts w:hint="default" w:ascii="Times New Roman" w:hAnsi="Times New Roman" w:cs="Times New Roman"/>
                            <w:color w:val="000000"/>
                            <w:sz w:val="18"/>
                            <w:szCs w:val="18"/>
                            <w:lang w:val="en-US"/>
                          </w:rPr>
                          <w:t xml:space="preserve"> Gestes opératoires</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368" w:type="dxa"/>
                        <w:gridSpan w:val="2"/>
                        <w:tcBorders>
                          <w:top w:val="dotted" w:color="auto" w:sz="8" w:space="0"/>
                          <w:left w:val="dotted" w:color="auto" w:sz="0" w:space="0"/>
                          <w:bottom w:val="dotted" w:color="auto" w:sz="8" w:space="0"/>
                          <w:right w:val="dotted" w:color="auto" w:sz="0" w:space="0"/>
                          <w:insideH w:val="single" w:sz="8" w:space="0"/>
                          <w:insideV w:val="nil"/>
                        </w:tcBorders>
                        <w:shd w:val="clear" w:color="auto" w:fill="FFFFFF"/>
                      </w:tcPr>
                      <w:p>
                        <w:pPr>
                          <w:spacing w:before="0" w:after="0" w:line="240" w:lineRule="auto"/>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lang w:val="fr-FR"/>
                          </w:rPr>
                          <w:t>Organes</w:t>
                        </w:r>
                      </w:p>
                    </w:tc>
                    <w:tc>
                      <w:tcPr>
                        <w:tcW w:w="2420" w:type="dxa"/>
                        <w:tcBorders>
                          <w:top w:val="dotted" w:color="auto" w:sz="8" w:space="0"/>
                          <w:left w:val="dotted" w:color="auto" w:sz="0" w:space="0"/>
                          <w:bottom w:val="dotted" w:color="auto" w:sz="8" w:space="0"/>
                          <w:right w:val="dotted" w:color="auto" w:sz="0" w:space="0"/>
                          <w:insideH w:val="single" w:sz="8" w:space="0"/>
                          <w:insideV w:val="nil"/>
                        </w:tcBorders>
                        <w:shd w:val="clear" w:color="auto" w:fill="FFFFFF"/>
                      </w:tcPr>
                      <w:p>
                        <w:pPr>
                          <w:spacing w:before="0" w:after="0" w:line="240" w:lineRule="auto"/>
                          <w:jc w:val="both"/>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Gestes</w:t>
                        </w:r>
                      </w:p>
                    </w:tc>
                    <w:tc>
                      <w:tcPr>
                        <w:tcW w:w="538" w:type="dxa"/>
                        <w:tcBorders>
                          <w:top w:val="dotted" w:color="auto" w:sz="8" w:space="0"/>
                          <w:left w:val="dotted" w:color="auto" w:sz="0" w:space="0"/>
                          <w:bottom w:val="dotted" w:color="auto" w:sz="8" w:space="0"/>
                          <w:right w:val="dotted" w:color="auto" w:sz="0" w:space="0"/>
                          <w:insideH w:val="single" w:sz="8" w:space="0"/>
                          <w:insideV w:val="nil"/>
                        </w:tcBorders>
                        <w:shd w:val="clear" w:color="auto" w:fill="FFFFFF"/>
                      </w:tcPr>
                      <w:p>
                        <w:pPr>
                          <w:spacing w:before="0" w:after="0" w:line="240" w:lineRule="auto"/>
                          <w:jc w:val="center"/>
                          <w:rPr>
                            <w:rFonts w:hint="default" w:ascii="Times New Roman" w:hAnsi="Times New Roman" w:cs="Times New Roman"/>
                            <w:b/>
                            <w:bCs/>
                            <w:color w:val="000000"/>
                            <w:sz w:val="18"/>
                            <w:szCs w:val="18"/>
                            <w:lang w:val="en-US"/>
                          </w:rPr>
                        </w:pPr>
                        <w:r>
                          <w:rPr>
                            <w:rFonts w:hint="default" w:ascii="Times New Roman" w:hAnsi="Times New Roman" w:cs="Times New Roman"/>
                            <w:b/>
                            <w:bCs/>
                            <w:color w:val="000000"/>
                            <w:sz w:val="18"/>
                            <w:szCs w:val="18"/>
                            <w:lang w:val="en-US"/>
                          </w:rPr>
                          <w:t>n</w:t>
                        </w:r>
                      </w:p>
                    </w:tc>
                    <w:tc>
                      <w:tcPr>
                        <w:tcW w:w="577" w:type="dxa"/>
                        <w:tcBorders>
                          <w:top w:val="dotted" w:color="auto" w:sz="8" w:space="0"/>
                          <w:left w:val="dotted" w:color="auto" w:sz="0" w:space="0"/>
                          <w:bottom w:val="dotted" w:color="auto" w:sz="8" w:space="0"/>
                          <w:right w:val="dotted" w:color="auto" w:sz="0" w:space="0"/>
                          <w:insideH w:val="single" w:sz="8" w:space="0"/>
                          <w:insideV w:val="nil"/>
                        </w:tcBorders>
                        <w:shd w:val="clear" w:color="auto" w:fill="FFFFFF"/>
                      </w:tcPr>
                      <w:p>
                        <w:pPr>
                          <w:spacing w:before="0" w:after="0" w:line="240" w:lineRule="auto"/>
                          <w:rPr>
                            <w:rFonts w:hint="default" w:ascii="Times New Roman" w:hAnsi="Times New Roman" w:cs="Times New Roman"/>
                            <w:b/>
                            <w:bCs/>
                            <w:color w:val="000000"/>
                            <w:sz w:val="18"/>
                            <w:szCs w:val="18"/>
                            <w:lang w:val="fr-FR"/>
                          </w:rPr>
                        </w:pPr>
                        <w:r>
                          <w:rPr>
                            <w:rFonts w:hint="default" w:ascii="Times New Roman" w:hAnsi="Times New Roman" w:cs="Times New Roman"/>
                            <w:b/>
                            <w:bCs/>
                            <w:color w:val="000000"/>
                            <w:sz w:val="18"/>
                            <w:szCs w:val="18"/>
                            <w:lang w:val="fr-FR"/>
                          </w:rPr>
                          <w:t>%</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1" w:hRule="atLeast"/>
                    </w:trPr>
                    <w:tc>
                      <w:tcPr>
                        <w:tcW w:w="4903" w:type="dxa"/>
                        <w:gridSpan w:val="5"/>
                        <w:tcBorders>
                          <w:top w:val="dotted" w:color="auto" w:sz="8" w:space="0"/>
                          <w:left w:val="dotted" w:color="auto" w:sz="0" w:space="0"/>
                          <w:bottom w:val="dotted" w:color="auto" w:sz="8" w:space="0"/>
                          <w:right w:val="dotted" w:color="auto" w:sz="0" w:space="0"/>
                          <w:insideH w:val="single" w:sz="8" w:space="0"/>
                          <w:insideV w:val="nil"/>
                        </w:tcBorders>
                        <w:shd w:val="clear" w:color="auto" w:fill="FFFFFF"/>
                      </w:tcPr>
                      <w:p>
                        <w:pPr>
                          <w:spacing w:before="0" w:after="0" w:line="240" w:lineRule="auto"/>
                          <w:rPr>
                            <w:rFonts w:hint="default" w:ascii="Times New Roman" w:hAnsi="Times New Roman" w:cs="Times New Roman"/>
                            <w:b/>
                            <w:bCs/>
                            <w:color w:val="000000"/>
                            <w:sz w:val="18"/>
                            <w:szCs w:val="18"/>
                            <w:lang w:val="fr-FR"/>
                          </w:rPr>
                        </w:pPr>
                        <w:r>
                          <w:rPr>
                            <w:rFonts w:hint="default" w:ascii="Times New Roman" w:hAnsi="Times New Roman" w:cs="Times New Roman"/>
                            <w:b/>
                            <w:bCs/>
                            <w:color w:val="000000"/>
                            <w:sz w:val="18"/>
                            <w:szCs w:val="18"/>
                            <w:lang w:val="en-US"/>
                          </w:rPr>
                          <w:t>Organes creux</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5" w:hRule="atLeast"/>
                    </w:trPr>
                    <w:tc>
                      <w:tcPr>
                        <w:tcW w:w="255" w:type="dxa"/>
                        <w:vMerge w:val="restart"/>
                        <w:tcBorders>
                          <w:top w:val="dotted" w:color="auto" w:sz="4" w:space="0"/>
                          <w:left w:val="dotted" w:color="auto" w:sz="0" w:space="0"/>
                          <w:bottom w:val="dotted" w:color="auto" w:sz="0" w:space="0"/>
                          <w:right w:val="dotted" w:color="auto" w:sz="0" w:space="0"/>
                          <w:insideV w:val="nil"/>
                        </w:tcBorders>
                        <w:shd w:val="clear" w:color="auto" w:fill="DBE5F1"/>
                      </w:tcPr>
                      <w:p>
                        <w:pPr>
                          <w:spacing w:before="0" w:after="0" w:line="240" w:lineRule="auto"/>
                          <w:rPr>
                            <w:rFonts w:hint="default" w:ascii="Times New Roman" w:hAnsi="Times New Roman" w:cs="Times New Roman"/>
                            <w:b/>
                            <w:bCs/>
                            <w:color w:val="000000"/>
                            <w:sz w:val="18"/>
                            <w:szCs w:val="18"/>
                          </w:rPr>
                        </w:pPr>
                      </w:p>
                    </w:tc>
                    <w:tc>
                      <w:tcPr>
                        <w:tcW w:w="1113" w:type="dxa"/>
                        <w:tcBorders>
                          <w:top w:val="dotted" w:color="auto" w:sz="4" w:space="0"/>
                          <w:left w:val="dotted" w:color="auto" w:sz="0" w:space="0"/>
                          <w:bottom w:val="dotted" w:color="auto" w:sz="0" w:space="0"/>
                          <w:right w:val="dotted" w:color="auto" w:sz="0" w:space="0"/>
                          <w:insideV w:val="nil"/>
                        </w:tcBorders>
                        <w:shd w:val="clear" w:color="auto" w:fill="DBE5F1"/>
                      </w:tcPr>
                      <w:p>
                        <w:pPr>
                          <w:spacing w:after="0" w:line="240" w:lineRule="auto"/>
                          <w:rPr>
                            <w:rFonts w:hint="default" w:ascii="Times New Roman" w:hAnsi="Times New Roman" w:cs="Times New Roman"/>
                            <w:b/>
                            <w:bCs/>
                            <w:color w:val="000000"/>
                            <w:sz w:val="18"/>
                            <w:szCs w:val="18"/>
                            <w:lang w:val="en-US"/>
                          </w:rPr>
                        </w:pPr>
                        <w:r>
                          <w:rPr>
                            <w:rFonts w:hint="default" w:ascii="Times New Roman" w:hAnsi="Times New Roman" w:cs="Times New Roman"/>
                            <w:color w:val="000000"/>
                            <w:sz w:val="18"/>
                            <w:szCs w:val="18"/>
                            <w:lang w:val="en-US"/>
                          </w:rPr>
                          <w:t>Grêle</w:t>
                        </w:r>
                      </w:p>
                    </w:tc>
                    <w:tc>
                      <w:tcPr>
                        <w:tcW w:w="2420" w:type="dxa"/>
                        <w:tcBorders>
                          <w:top w:val="dotted" w:color="auto" w:sz="4" w:space="0"/>
                          <w:left w:val="dotted" w:color="auto" w:sz="0" w:space="0"/>
                          <w:bottom w:val="dotted" w:color="auto" w:sz="0" w:space="0"/>
                          <w:right w:val="dotted" w:color="auto" w:sz="0" w:space="0"/>
                          <w:insideV w:val="nil"/>
                        </w:tcBorders>
                        <w:shd w:val="clear" w:color="auto" w:fill="DBE5F1"/>
                      </w:tcPr>
                      <w:p>
                        <w:pPr>
                          <w:spacing w:after="0" w:line="240" w:lineRule="auto"/>
                          <w:jc w:val="left"/>
                          <w:rPr>
                            <w:rFonts w:hint="default" w:ascii="Times New Roman" w:hAnsi="Times New Roman" w:cs="Times New Roman"/>
                            <w:color w:val="000000"/>
                            <w:sz w:val="18"/>
                            <w:szCs w:val="18"/>
                            <w:lang w:val="en-US"/>
                          </w:rPr>
                        </w:pPr>
                        <w:r>
                          <w:rPr>
                            <w:rFonts w:hint="default" w:ascii="Times New Roman" w:hAnsi="Times New Roman" w:cs="Times New Roman"/>
                            <w:color w:val="000000"/>
                            <w:sz w:val="18"/>
                            <w:szCs w:val="18"/>
                            <w:lang w:val="en-US"/>
                          </w:rPr>
                          <w:t>Débridement + sutures</w:t>
                        </w:r>
                      </w:p>
                      <w:p>
                        <w:pPr>
                          <w:spacing w:after="0" w:line="240" w:lineRule="auto"/>
                          <w:jc w:val="left"/>
                          <w:rPr>
                            <w:rFonts w:hint="default" w:ascii="Times New Roman" w:hAnsi="Times New Roman" w:cs="Times New Roman"/>
                            <w:color w:val="000000"/>
                            <w:sz w:val="18"/>
                            <w:szCs w:val="18"/>
                            <w:lang w:val="en-US"/>
                          </w:rPr>
                        </w:pPr>
                        <w:r>
                          <w:rPr>
                            <w:rFonts w:hint="default" w:ascii="Times New Roman" w:hAnsi="Times New Roman" w:cs="Times New Roman"/>
                            <w:color w:val="000000"/>
                            <w:sz w:val="18"/>
                            <w:szCs w:val="18"/>
                            <w:lang w:val="en-US"/>
                          </w:rPr>
                          <w:t>Résection + anastomoses</w:t>
                        </w:r>
                      </w:p>
                      <w:p>
                        <w:pPr>
                          <w:spacing w:after="0" w:line="240" w:lineRule="auto"/>
                          <w:jc w:val="left"/>
                          <w:rPr>
                            <w:rFonts w:hint="default" w:ascii="Times New Roman" w:hAnsi="Times New Roman" w:cs="Times New Roman"/>
                            <w:color w:val="000000"/>
                            <w:sz w:val="18"/>
                            <w:szCs w:val="18"/>
                            <w:lang w:val="en-US"/>
                          </w:rPr>
                        </w:pPr>
                        <w:r>
                          <w:rPr>
                            <w:rFonts w:hint="default" w:ascii="Times New Roman" w:hAnsi="Times New Roman" w:cs="Times New Roman"/>
                            <w:color w:val="000000"/>
                            <w:sz w:val="18"/>
                            <w:szCs w:val="18"/>
                            <w:lang w:val="en-US"/>
                          </w:rPr>
                          <w:t>Stomies</w:t>
                        </w:r>
                      </w:p>
                    </w:tc>
                    <w:tc>
                      <w:tcPr>
                        <w:tcW w:w="538" w:type="dxa"/>
                        <w:tcBorders>
                          <w:top w:val="dotted" w:color="auto" w:sz="4" w:space="0"/>
                          <w:left w:val="dotted" w:color="auto" w:sz="0" w:space="0"/>
                          <w:bottom w:val="dotted" w:color="auto" w:sz="0" w:space="0"/>
                          <w:right w:val="dotted" w:color="auto" w:sz="0" w:space="0"/>
                          <w:insideV w:val="nil"/>
                        </w:tcBorders>
                        <w:shd w:val="clear" w:color="auto" w:fill="DBE5F1"/>
                      </w:tcPr>
                      <w:p>
                        <w:pPr>
                          <w:spacing w:after="0" w:line="240" w:lineRule="auto"/>
                          <w:jc w:val="center"/>
                          <w:rPr>
                            <w:rFonts w:hint="default" w:ascii="Times New Roman" w:hAnsi="Times New Roman" w:cs="Times New Roman"/>
                            <w:color w:val="000000"/>
                            <w:sz w:val="18"/>
                            <w:szCs w:val="18"/>
                            <w:lang w:val="fr-FR"/>
                          </w:rPr>
                        </w:pPr>
                        <w:r>
                          <w:rPr>
                            <w:rFonts w:hint="default" w:ascii="Times New Roman" w:hAnsi="Times New Roman" w:cs="Times New Roman"/>
                            <w:color w:val="000000"/>
                            <w:sz w:val="18"/>
                            <w:szCs w:val="18"/>
                            <w:lang w:val="fr-FR"/>
                          </w:rPr>
                          <w:t>16</w:t>
                        </w:r>
                      </w:p>
                      <w:p>
                        <w:pPr>
                          <w:spacing w:after="0" w:line="240" w:lineRule="auto"/>
                          <w:jc w:val="center"/>
                          <w:rPr>
                            <w:rFonts w:hint="default" w:ascii="Times New Roman" w:hAnsi="Times New Roman" w:cs="Times New Roman"/>
                            <w:color w:val="000000"/>
                            <w:sz w:val="18"/>
                            <w:szCs w:val="18"/>
                            <w:lang w:val="fr-FR"/>
                          </w:rPr>
                        </w:pPr>
                        <w:r>
                          <w:rPr>
                            <w:rFonts w:hint="default" w:ascii="Times New Roman" w:hAnsi="Times New Roman" w:cs="Times New Roman"/>
                            <w:color w:val="000000"/>
                            <w:sz w:val="18"/>
                            <w:szCs w:val="18"/>
                            <w:lang w:val="fr-FR"/>
                          </w:rPr>
                          <w:t>2</w:t>
                        </w:r>
                      </w:p>
                      <w:p>
                        <w:pPr>
                          <w:spacing w:after="0" w:line="240" w:lineRule="auto"/>
                          <w:jc w:val="center"/>
                          <w:rPr>
                            <w:rFonts w:hint="default" w:ascii="Times New Roman" w:hAnsi="Times New Roman" w:cs="Times New Roman"/>
                            <w:color w:val="000000"/>
                            <w:sz w:val="18"/>
                            <w:szCs w:val="18"/>
                            <w:lang w:val="fr-FR"/>
                          </w:rPr>
                        </w:pPr>
                        <w:r>
                          <w:rPr>
                            <w:rFonts w:hint="default" w:ascii="Times New Roman" w:hAnsi="Times New Roman" w:cs="Times New Roman"/>
                            <w:color w:val="000000"/>
                            <w:sz w:val="18"/>
                            <w:szCs w:val="18"/>
                            <w:lang w:val="fr-FR"/>
                          </w:rPr>
                          <w:t>0</w:t>
                        </w:r>
                      </w:p>
                    </w:tc>
                    <w:tc>
                      <w:tcPr>
                        <w:tcW w:w="577" w:type="dxa"/>
                        <w:tcBorders>
                          <w:top w:val="dotted" w:color="auto" w:sz="4" w:space="0"/>
                          <w:left w:val="dotted" w:color="auto" w:sz="0" w:space="0"/>
                          <w:bottom w:val="dotted" w:color="auto" w:sz="0" w:space="0"/>
                          <w:right w:val="dotted" w:color="auto" w:sz="0" w:space="0"/>
                          <w:insideV w:val="nil"/>
                        </w:tcBorders>
                        <w:shd w:val="clear" w:color="auto" w:fill="DBE5F1"/>
                      </w:tcPr>
                      <w:p>
                        <w:pPr>
                          <w:spacing w:after="0" w:line="240" w:lineRule="auto"/>
                          <w:jc w:val="center"/>
                          <w:rPr>
                            <w:rFonts w:hint="default" w:ascii="Times New Roman" w:hAnsi="Times New Roman" w:cs="Times New Roman"/>
                            <w:color w:val="000000"/>
                            <w:sz w:val="18"/>
                            <w:szCs w:val="18"/>
                            <w:lang w:val="fr-FR"/>
                          </w:rPr>
                        </w:pPr>
                        <w:r>
                          <w:rPr>
                            <w:rFonts w:hint="default" w:ascii="Times New Roman" w:hAnsi="Times New Roman" w:cs="Times New Roman"/>
                            <w:color w:val="000000"/>
                            <w:sz w:val="18"/>
                            <w:szCs w:val="18"/>
                            <w:lang w:val="fr-FR"/>
                          </w:rPr>
                          <w:t>43.25.4</w:t>
                        </w:r>
                      </w:p>
                      <w:p>
                        <w:pPr>
                          <w:spacing w:after="0" w:line="240" w:lineRule="auto"/>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5" w:hRule="atLeast"/>
                    </w:trPr>
                    <w:tc>
                      <w:tcPr>
                        <w:tcW w:w="255" w:type="dxa"/>
                        <w:vMerge w:val="continue"/>
                        <w:tcBorders>
                          <w:top w:val="dotted" w:color="auto" w:sz="4" w:space="0"/>
                          <w:left w:val="dotted" w:color="auto" w:sz="0" w:space="0"/>
                          <w:bottom w:val="dotted" w:color="auto" w:sz="0" w:space="0"/>
                          <w:right w:val="dotted" w:color="auto" w:sz="0" w:space="0"/>
                        </w:tcBorders>
                        <w:shd w:val="clear" w:color="auto" w:fill="FFFFFF"/>
                      </w:tcPr>
                      <w:p>
                        <w:pPr>
                          <w:spacing w:after="0" w:line="240" w:lineRule="auto"/>
                          <w:rPr>
                            <w:rFonts w:hint="default" w:ascii="Times New Roman" w:hAnsi="Times New Roman" w:cs="Times New Roman"/>
                            <w:b/>
                            <w:bCs/>
                            <w:color w:val="000000"/>
                            <w:sz w:val="18"/>
                            <w:szCs w:val="18"/>
                          </w:rPr>
                        </w:pPr>
                      </w:p>
                    </w:tc>
                    <w:tc>
                      <w:tcPr>
                        <w:tcW w:w="1113" w:type="dxa"/>
                        <w:tcBorders>
                          <w:top w:val="dotted" w:color="auto" w:sz="4" w:space="0"/>
                          <w:left w:val="dotted" w:color="auto" w:sz="0" w:space="0"/>
                          <w:bottom w:val="dotted" w:color="auto" w:sz="0" w:space="0"/>
                          <w:right w:val="dotted" w:color="auto" w:sz="0" w:space="0"/>
                        </w:tcBorders>
                        <w:shd w:val="clear" w:color="auto" w:fill="FFFFFF"/>
                      </w:tcPr>
                      <w:p>
                        <w:pPr>
                          <w:spacing w:after="0" w:line="240" w:lineRule="auto"/>
                          <w:rPr>
                            <w:rFonts w:hint="default" w:ascii="Times New Roman" w:hAnsi="Times New Roman" w:cs="Times New Roman"/>
                            <w:color w:val="000000"/>
                            <w:sz w:val="18"/>
                            <w:szCs w:val="18"/>
                            <w:lang w:val="en-US"/>
                          </w:rPr>
                        </w:pPr>
                        <w:r>
                          <w:rPr>
                            <w:rFonts w:hint="default" w:ascii="Times New Roman" w:hAnsi="Times New Roman" w:cs="Times New Roman"/>
                            <w:color w:val="000000"/>
                            <w:sz w:val="18"/>
                            <w:szCs w:val="18"/>
                            <w:lang w:val="en-US"/>
                          </w:rPr>
                          <w:t>Colon</w:t>
                        </w:r>
                      </w:p>
                    </w:tc>
                    <w:tc>
                      <w:tcPr>
                        <w:tcW w:w="2420" w:type="dxa"/>
                        <w:tcBorders>
                          <w:top w:val="dotted" w:color="auto" w:sz="4" w:space="0"/>
                          <w:left w:val="dotted" w:color="auto" w:sz="0" w:space="0"/>
                          <w:bottom w:val="dotted" w:color="auto" w:sz="0" w:space="0"/>
                          <w:right w:val="dotted" w:color="auto" w:sz="0" w:space="0"/>
                        </w:tcBorders>
                        <w:shd w:val="clear" w:color="auto" w:fill="FFFFFF"/>
                      </w:tcPr>
                      <w:p>
                        <w:pPr>
                          <w:spacing w:after="0" w:line="240" w:lineRule="auto"/>
                          <w:jc w:val="left"/>
                          <w:rPr>
                            <w:rFonts w:hint="default" w:ascii="Times New Roman" w:hAnsi="Times New Roman" w:cs="Times New Roman"/>
                            <w:color w:val="000000"/>
                            <w:sz w:val="18"/>
                            <w:szCs w:val="18"/>
                            <w:lang w:val="en-US"/>
                          </w:rPr>
                        </w:pPr>
                        <w:r>
                          <w:rPr>
                            <w:rFonts w:hint="default" w:ascii="Times New Roman" w:hAnsi="Times New Roman" w:cs="Times New Roman"/>
                            <w:color w:val="000000"/>
                            <w:sz w:val="18"/>
                            <w:szCs w:val="18"/>
                            <w:lang w:val="en-US"/>
                          </w:rPr>
                          <w:t>Débridement + sutures</w:t>
                        </w:r>
                      </w:p>
                      <w:p>
                        <w:pPr>
                          <w:spacing w:after="0" w:line="240" w:lineRule="auto"/>
                          <w:jc w:val="left"/>
                          <w:rPr>
                            <w:rFonts w:hint="default" w:ascii="Times New Roman" w:hAnsi="Times New Roman" w:cs="Times New Roman"/>
                            <w:color w:val="000000"/>
                            <w:sz w:val="18"/>
                            <w:szCs w:val="18"/>
                            <w:lang w:val="en-US"/>
                          </w:rPr>
                        </w:pPr>
                        <w:r>
                          <w:rPr>
                            <w:rFonts w:hint="default" w:ascii="Times New Roman" w:hAnsi="Times New Roman" w:cs="Times New Roman"/>
                            <w:color w:val="000000"/>
                            <w:sz w:val="18"/>
                            <w:szCs w:val="18"/>
                            <w:lang w:val="en-US"/>
                          </w:rPr>
                          <w:t>Résection + anastomoses</w:t>
                        </w:r>
                      </w:p>
                      <w:p>
                        <w:pPr>
                          <w:spacing w:after="0" w:line="240" w:lineRule="auto"/>
                          <w:jc w:val="left"/>
                          <w:rPr>
                            <w:rFonts w:hint="default" w:ascii="Times New Roman" w:hAnsi="Times New Roman" w:cs="Times New Roman"/>
                            <w:color w:val="000000"/>
                            <w:sz w:val="18"/>
                            <w:szCs w:val="18"/>
                            <w:lang w:val="en-US"/>
                          </w:rPr>
                        </w:pPr>
                        <w:r>
                          <w:rPr>
                            <w:rFonts w:hint="default" w:ascii="Times New Roman" w:hAnsi="Times New Roman" w:cs="Times New Roman"/>
                            <w:color w:val="000000"/>
                            <w:sz w:val="18"/>
                            <w:szCs w:val="18"/>
                            <w:lang w:val="en-US"/>
                          </w:rPr>
                          <w:t>Colostomies</w:t>
                        </w:r>
                      </w:p>
                    </w:tc>
                    <w:tc>
                      <w:tcPr>
                        <w:tcW w:w="538" w:type="dxa"/>
                        <w:tcBorders>
                          <w:top w:val="dotted" w:color="auto" w:sz="4" w:space="0"/>
                          <w:left w:val="dotted" w:color="auto" w:sz="0" w:space="0"/>
                          <w:bottom w:val="dotted" w:color="auto" w:sz="0" w:space="0"/>
                          <w:right w:val="dotted" w:color="auto" w:sz="0" w:space="0"/>
                        </w:tcBorders>
                        <w:shd w:val="clear" w:color="auto" w:fill="FFFFFF"/>
                      </w:tcPr>
                      <w:p>
                        <w:pPr>
                          <w:spacing w:after="0" w:line="240" w:lineRule="auto"/>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5</w:t>
                        </w:r>
                      </w:p>
                      <w:p>
                        <w:pPr>
                          <w:spacing w:after="0" w:line="240" w:lineRule="auto"/>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w:t>
                        </w:r>
                      </w:p>
                      <w:p>
                        <w:pPr>
                          <w:spacing w:after="0" w:line="240" w:lineRule="auto"/>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w:t>
                        </w:r>
                      </w:p>
                    </w:tc>
                    <w:tc>
                      <w:tcPr>
                        <w:tcW w:w="577" w:type="dxa"/>
                        <w:tcBorders>
                          <w:top w:val="dotted" w:color="auto" w:sz="4" w:space="0"/>
                          <w:left w:val="dotted" w:color="auto" w:sz="0" w:space="0"/>
                          <w:bottom w:val="dotted" w:color="auto" w:sz="0" w:space="0"/>
                          <w:right w:val="dotted" w:color="auto" w:sz="0" w:space="0"/>
                        </w:tcBorders>
                        <w:shd w:val="clear" w:color="auto" w:fill="FFFFFF"/>
                      </w:tcPr>
                      <w:p>
                        <w:pPr>
                          <w:spacing w:after="0" w:line="240" w:lineRule="auto"/>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13.5</w:t>
                        </w:r>
                      </w:p>
                      <w:p>
                        <w:pPr>
                          <w:spacing w:after="0" w:line="240" w:lineRule="auto"/>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w:t>
                        </w:r>
                      </w:p>
                      <w:p>
                        <w:pPr>
                          <w:spacing w:after="0" w:line="240" w:lineRule="auto"/>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6" w:hRule="atLeast"/>
                    </w:trPr>
                    <w:tc>
                      <w:tcPr>
                        <w:tcW w:w="255" w:type="dxa"/>
                        <w:vMerge w:val="continue"/>
                        <w:tcBorders>
                          <w:top w:val="dotted" w:color="auto" w:sz="4" w:space="0"/>
                          <w:left w:val="dotted" w:color="auto" w:sz="0" w:space="0"/>
                          <w:bottom w:val="dotted" w:color="auto" w:sz="0" w:space="0"/>
                          <w:right w:val="dotted" w:color="auto" w:sz="0" w:space="0"/>
                          <w:insideV w:val="nil"/>
                        </w:tcBorders>
                        <w:shd w:val="clear" w:color="auto" w:fill="DBE5F1"/>
                      </w:tcPr>
                      <w:p>
                        <w:pPr>
                          <w:spacing w:after="0" w:line="240" w:lineRule="auto"/>
                          <w:rPr>
                            <w:rFonts w:hint="default" w:ascii="Times New Roman" w:hAnsi="Times New Roman" w:cs="Times New Roman"/>
                            <w:b/>
                            <w:bCs/>
                            <w:color w:val="000000"/>
                            <w:sz w:val="18"/>
                            <w:szCs w:val="18"/>
                          </w:rPr>
                        </w:pPr>
                      </w:p>
                    </w:tc>
                    <w:tc>
                      <w:tcPr>
                        <w:tcW w:w="1113" w:type="dxa"/>
                        <w:tcBorders>
                          <w:top w:val="dotted" w:color="auto" w:sz="4" w:space="0"/>
                          <w:left w:val="dotted" w:color="auto" w:sz="0" w:space="0"/>
                          <w:bottom w:val="dotted" w:color="auto" w:sz="0" w:space="0"/>
                          <w:right w:val="dotted" w:color="auto" w:sz="0" w:space="0"/>
                          <w:insideV w:val="nil"/>
                        </w:tcBorders>
                        <w:shd w:val="clear" w:color="auto" w:fill="DBE5F1"/>
                      </w:tcPr>
                      <w:p>
                        <w:pPr>
                          <w:spacing w:after="0" w:line="240" w:lineRule="auto"/>
                          <w:rPr>
                            <w:rFonts w:hint="default" w:ascii="Times New Roman" w:hAnsi="Times New Roman" w:cs="Times New Roman"/>
                            <w:color w:val="000000"/>
                            <w:sz w:val="18"/>
                            <w:szCs w:val="18"/>
                            <w:lang w:val="en-US"/>
                          </w:rPr>
                        </w:pPr>
                        <w:r>
                          <w:rPr>
                            <w:rFonts w:hint="default" w:ascii="Times New Roman" w:hAnsi="Times New Roman" w:cs="Times New Roman"/>
                            <w:color w:val="000000"/>
                            <w:sz w:val="18"/>
                            <w:szCs w:val="18"/>
                            <w:lang w:val="en-US"/>
                          </w:rPr>
                          <w:t>Estomac</w:t>
                        </w:r>
                      </w:p>
                    </w:tc>
                    <w:tc>
                      <w:tcPr>
                        <w:tcW w:w="2420" w:type="dxa"/>
                        <w:tcBorders>
                          <w:top w:val="dotted" w:color="auto" w:sz="4" w:space="0"/>
                          <w:left w:val="dotted" w:color="auto" w:sz="0" w:space="0"/>
                          <w:bottom w:val="dotted" w:color="auto" w:sz="0" w:space="0"/>
                          <w:right w:val="dotted" w:color="auto" w:sz="0" w:space="0"/>
                          <w:insideV w:val="nil"/>
                        </w:tcBorders>
                        <w:shd w:val="clear" w:color="auto" w:fill="DBE5F1"/>
                      </w:tcPr>
                      <w:p>
                        <w:pPr>
                          <w:spacing w:after="0" w:line="240" w:lineRule="auto"/>
                          <w:jc w:val="left"/>
                          <w:rPr>
                            <w:rFonts w:hint="default" w:ascii="Times New Roman" w:hAnsi="Times New Roman" w:cs="Times New Roman"/>
                            <w:color w:val="000000"/>
                            <w:sz w:val="18"/>
                            <w:szCs w:val="18"/>
                            <w:lang w:val="en-US"/>
                          </w:rPr>
                        </w:pPr>
                        <w:r>
                          <w:rPr>
                            <w:rFonts w:hint="default" w:ascii="Times New Roman" w:hAnsi="Times New Roman" w:cs="Times New Roman"/>
                            <w:color w:val="000000"/>
                            <w:sz w:val="18"/>
                            <w:szCs w:val="18"/>
                            <w:lang w:val="en-US"/>
                          </w:rPr>
                          <w:t>Débridement + sutures</w:t>
                        </w:r>
                      </w:p>
                      <w:p>
                        <w:pPr>
                          <w:spacing w:after="0" w:line="240" w:lineRule="auto"/>
                          <w:jc w:val="left"/>
                          <w:rPr>
                            <w:rFonts w:hint="default" w:ascii="Times New Roman" w:hAnsi="Times New Roman" w:cs="Times New Roman"/>
                            <w:color w:val="000000"/>
                            <w:sz w:val="18"/>
                            <w:szCs w:val="18"/>
                            <w:lang w:val="en-US"/>
                          </w:rPr>
                        </w:pPr>
                        <w:r>
                          <w:rPr>
                            <w:rFonts w:hint="default" w:ascii="Times New Roman" w:hAnsi="Times New Roman" w:cs="Times New Roman"/>
                            <w:color w:val="000000"/>
                            <w:sz w:val="18"/>
                            <w:szCs w:val="18"/>
                            <w:lang w:val="en-US"/>
                          </w:rPr>
                          <w:t>Résection + anastomoses</w:t>
                        </w:r>
                      </w:p>
                    </w:tc>
                    <w:tc>
                      <w:tcPr>
                        <w:tcW w:w="538" w:type="dxa"/>
                        <w:tcBorders>
                          <w:top w:val="dotted" w:color="auto" w:sz="4" w:space="0"/>
                          <w:left w:val="dotted" w:color="auto" w:sz="0" w:space="0"/>
                          <w:bottom w:val="dotted" w:color="auto" w:sz="0" w:space="0"/>
                          <w:right w:val="dotted" w:color="auto" w:sz="0" w:space="0"/>
                          <w:insideV w:val="nil"/>
                        </w:tcBorders>
                        <w:shd w:val="clear" w:color="auto" w:fill="DBE5F1"/>
                      </w:tcPr>
                      <w:p>
                        <w:pPr>
                          <w:spacing w:after="0" w:line="240" w:lineRule="auto"/>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4</w:t>
                        </w:r>
                      </w:p>
                      <w:p>
                        <w:pPr>
                          <w:spacing w:after="0" w:line="240" w:lineRule="auto"/>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w:t>
                        </w:r>
                      </w:p>
                    </w:tc>
                    <w:tc>
                      <w:tcPr>
                        <w:tcW w:w="577" w:type="dxa"/>
                        <w:tcBorders>
                          <w:top w:val="dotted" w:color="auto" w:sz="4" w:space="0"/>
                          <w:left w:val="dotted" w:color="auto" w:sz="0" w:space="0"/>
                          <w:bottom w:val="dotted" w:color="auto" w:sz="0" w:space="0"/>
                          <w:right w:val="dotted" w:color="auto" w:sz="0" w:space="0"/>
                          <w:insideV w:val="nil"/>
                        </w:tcBorders>
                        <w:shd w:val="clear" w:color="auto" w:fill="DBE5F1"/>
                      </w:tcPr>
                      <w:p>
                        <w:pPr>
                          <w:spacing w:after="0" w:line="240" w:lineRule="auto"/>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5.4</w:t>
                        </w:r>
                      </w:p>
                      <w:p>
                        <w:pPr>
                          <w:spacing w:after="0" w:line="240" w:lineRule="auto"/>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97" w:hRule="atLeast"/>
                    </w:trPr>
                    <w:tc>
                      <w:tcPr>
                        <w:tcW w:w="255" w:type="dxa"/>
                        <w:vMerge w:val="continue"/>
                        <w:tcBorders>
                          <w:top w:val="dotted" w:color="auto" w:sz="4" w:space="0"/>
                          <w:left w:val="dotted" w:color="auto" w:sz="0" w:space="0"/>
                          <w:bottom w:val="dotted" w:color="auto" w:sz="0" w:space="0"/>
                          <w:right w:val="dotted" w:color="auto" w:sz="0" w:space="0"/>
                        </w:tcBorders>
                        <w:shd w:val="clear" w:color="auto" w:fill="FFFFFF"/>
                      </w:tcPr>
                      <w:p>
                        <w:pPr>
                          <w:spacing w:after="0" w:line="240" w:lineRule="auto"/>
                          <w:rPr>
                            <w:rFonts w:hint="default" w:ascii="Times New Roman" w:hAnsi="Times New Roman" w:cs="Times New Roman"/>
                            <w:b/>
                            <w:bCs/>
                            <w:color w:val="000000"/>
                            <w:sz w:val="18"/>
                            <w:szCs w:val="18"/>
                          </w:rPr>
                        </w:pPr>
                      </w:p>
                    </w:tc>
                    <w:tc>
                      <w:tcPr>
                        <w:tcW w:w="1113" w:type="dxa"/>
                        <w:tcBorders>
                          <w:top w:val="dotted" w:color="auto" w:sz="4" w:space="0"/>
                          <w:left w:val="dotted" w:color="auto" w:sz="0" w:space="0"/>
                          <w:bottom w:val="dotted" w:color="auto" w:sz="0" w:space="0"/>
                          <w:right w:val="dotted" w:color="auto" w:sz="0" w:space="0"/>
                        </w:tcBorders>
                        <w:shd w:val="clear" w:color="auto" w:fill="FFFFFF"/>
                      </w:tcPr>
                      <w:p>
                        <w:pPr>
                          <w:spacing w:after="0" w:line="240" w:lineRule="auto"/>
                          <w:rPr>
                            <w:rFonts w:hint="default" w:ascii="Times New Roman" w:hAnsi="Times New Roman" w:cs="Times New Roman"/>
                            <w:color w:val="000000"/>
                            <w:sz w:val="18"/>
                            <w:szCs w:val="18"/>
                            <w:lang w:val="en-US"/>
                          </w:rPr>
                        </w:pPr>
                        <w:r>
                          <w:rPr>
                            <w:rFonts w:hint="default" w:ascii="Times New Roman" w:hAnsi="Times New Roman" w:cs="Times New Roman"/>
                            <w:color w:val="000000"/>
                            <w:sz w:val="18"/>
                            <w:szCs w:val="18"/>
                            <w:lang w:val="en-US"/>
                          </w:rPr>
                          <w:t>Rectum</w:t>
                        </w:r>
                      </w:p>
                    </w:tc>
                    <w:tc>
                      <w:tcPr>
                        <w:tcW w:w="2420" w:type="dxa"/>
                        <w:tcBorders>
                          <w:top w:val="dotted" w:color="auto" w:sz="4" w:space="0"/>
                          <w:left w:val="dotted" w:color="auto" w:sz="0" w:space="0"/>
                          <w:bottom w:val="dotted" w:color="auto" w:sz="0" w:space="0"/>
                          <w:right w:val="dotted" w:color="auto" w:sz="0" w:space="0"/>
                        </w:tcBorders>
                        <w:shd w:val="clear" w:color="auto" w:fill="FFFFFF"/>
                      </w:tcPr>
                      <w:p>
                        <w:pPr>
                          <w:spacing w:after="0" w:line="240" w:lineRule="auto"/>
                          <w:jc w:val="left"/>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Débridement + sutures</w:t>
                        </w:r>
                      </w:p>
                      <w:p>
                        <w:pPr>
                          <w:spacing w:after="0" w:line="240" w:lineRule="auto"/>
                          <w:jc w:val="left"/>
                          <w:rPr>
                            <w:rFonts w:hint="default" w:ascii="Times New Roman" w:hAnsi="Times New Roman" w:cs="Times New Roman"/>
                            <w:color w:val="000000"/>
                            <w:sz w:val="18"/>
                            <w:szCs w:val="18"/>
                            <w:lang w:val="fr-FR"/>
                          </w:rPr>
                        </w:pPr>
                        <w:r>
                          <w:rPr>
                            <w:rFonts w:hint="default" w:ascii="Times New Roman" w:hAnsi="Times New Roman" w:cs="Times New Roman"/>
                            <w:color w:val="000000"/>
                            <w:sz w:val="18"/>
                            <w:szCs w:val="18"/>
                          </w:rPr>
                          <w:t>Colostomie de</w:t>
                        </w:r>
                        <w:r>
                          <w:rPr>
                            <w:rFonts w:hint="default" w:ascii="Times New Roman" w:hAnsi="Times New Roman" w:cs="Times New Roman"/>
                            <w:color w:val="000000"/>
                            <w:sz w:val="18"/>
                            <w:szCs w:val="18"/>
                            <w:lang w:val="fr-FR"/>
                          </w:rPr>
                          <w:t xml:space="preserve"> </w:t>
                        </w:r>
                        <w:r>
                          <w:rPr>
                            <w:rFonts w:hint="default" w:ascii="Times New Roman" w:hAnsi="Times New Roman" w:cs="Times New Roman"/>
                            <w:color w:val="000000"/>
                            <w:sz w:val="18"/>
                            <w:szCs w:val="18"/>
                          </w:rPr>
                          <w:t>protection</w:t>
                        </w:r>
                        <w:r>
                          <w:rPr>
                            <w:rFonts w:hint="default" w:ascii="Times New Roman" w:hAnsi="Times New Roman" w:cs="Times New Roman"/>
                            <w:color w:val="000000"/>
                            <w:sz w:val="18"/>
                            <w:szCs w:val="18"/>
                            <w:lang w:val="fr-FR"/>
                          </w:rPr>
                          <w:t xml:space="preserve"> (H</w:t>
                        </w:r>
                        <w:r>
                          <w:rPr>
                            <w:rFonts w:hint="default" w:ascii="Times New Roman" w:hAnsi="Times New Roman" w:cs="Times New Roman"/>
                            <w:color w:val="000000"/>
                            <w:sz w:val="18"/>
                            <w:szCs w:val="18"/>
                          </w:rPr>
                          <w:t>ARTMAN</w:t>
                        </w:r>
                        <w:r>
                          <w:rPr>
                            <w:rFonts w:hint="default" w:ascii="Times New Roman" w:hAnsi="Times New Roman" w:cs="Times New Roman"/>
                            <w:color w:val="000000"/>
                            <w:sz w:val="18"/>
                            <w:szCs w:val="18"/>
                            <w:lang w:val="fr-FR"/>
                          </w:rPr>
                          <w:t>)</w:t>
                        </w:r>
                      </w:p>
                    </w:tc>
                    <w:tc>
                      <w:tcPr>
                        <w:tcW w:w="538" w:type="dxa"/>
                        <w:tcBorders>
                          <w:top w:val="dotted" w:color="auto" w:sz="4" w:space="0"/>
                          <w:left w:val="dotted" w:color="auto" w:sz="0" w:space="0"/>
                          <w:bottom w:val="dotted" w:color="auto" w:sz="0" w:space="0"/>
                          <w:right w:val="dotted" w:color="auto" w:sz="0" w:space="0"/>
                        </w:tcBorders>
                        <w:shd w:val="clear" w:color="auto" w:fill="FFFFFF"/>
                      </w:tcPr>
                      <w:p>
                        <w:pPr>
                          <w:spacing w:after="0" w:line="240" w:lineRule="auto"/>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1</w:t>
                        </w:r>
                      </w:p>
                      <w:p>
                        <w:pPr>
                          <w:spacing w:after="0" w:line="240" w:lineRule="auto"/>
                          <w:jc w:val="center"/>
                          <w:rPr>
                            <w:rFonts w:hint="default" w:ascii="Times New Roman" w:hAnsi="Times New Roman" w:cs="Times New Roman"/>
                            <w:color w:val="000000"/>
                            <w:sz w:val="18"/>
                            <w:szCs w:val="18"/>
                          </w:rPr>
                        </w:pPr>
                      </w:p>
                      <w:p>
                        <w:pPr>
                          <w:spacing w:after="0" w:line="240" w:lineRule="auto"/>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2</w:t>
                        </w:r>
                      </w:p>
                    </w:tc>
                    <w:tc>
                      <w:tcPr>
                        <w:tcW w:w="577" w:type="dxa"/>
                        <w:tcBorders>
                          <w:top w:val="dotted" w:color="auto" w:sz="4" w:space="0"/>
                          <w:left w:val="dotted" w:color="auto" w:sz="0" w:space="0"/>
                          <w:bottom w:val="dotted" w:color="auto" w:sz="0" w:space="0"/>
                          <w:right w:val="dotted" w:color="auto" w:sz="0" w:space="0"/>
                        </w:tcBorders>
                        <w:shd w:val="clear" w:color="auto" w:fill="FFFFFF"/>
                      </w:tcPr>
                      <w:p>
                        <w:pPr>
                          <w:spacing w:after="0" w:line="240" w:lineRule="auto"/>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2.7</w:t>
                        </w:r>
                      </w:p>
                      <w:p>
                        <w:pPr>
                          <w:spacing w:after="0" w:line="240" w:lineRule="auto"/>
                          <w:jc w:val="center"/>
                          <w:rPr>
                            <w:rFonts w:hint="default" w:ascii="Times New Roman" w:hAnsi="Times New Roman" w:cs="Times New Roman"/>
                            <w:color w:val="000000"/>
                            <w:sz w:val="18"/>
                            <w:szCs w:val="18"/>
                          </w:rPr>
                        </w:pPr>
                      </w:p>
                      <w:p>
                        <w:pPr>
                          <w:spacing w:after="0" w:line="240" w:lineRule="auto"/>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5.4</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255" w:type="dxa"/>
                        <w:vMerge w:val="continue"/>
                        <w:tcBorders>
                          <w:top w:val="dotted" w:color="auto" w:sz="4" w:space="0"/>
                          <w:left w:val="dotted" w:color="auto" w:sz="0" w:space="0"/>
                          <w:bottom w:val="dotted" w:color="auto" w:sz="0" w:space="0"/>
                          <w:right w:val="dotted" w:color="auto" w:sz="0" w:space="0"/>
                          <w:insideV w:val="nil"/>
                        </w:tcBorders>
                        <w:shd w:val="clear" w:color="auto" w:fill="DBE5F1"/>
                      </w:tcPr>
                      <w:p>
                        <w:pPr>
                          <w:spacing w:after="0" w:line="240" w:lineRule="auto"/>
                          <w:rPr>
                            <w:rFonts w:hint="default" w:ascii="Times New Roman" w:hAnsi="Times New Roman" w:cs="Times New Roman"/>
                            <w:b/>
                            <w:bCs/>
                            <w:color w:val="000000"/>
                            <w:sz w:val="18"/>
                            <w:szCs w:val="18"/>
                          </w:rPr>
                        </w:pPr>
                      </w:p>
                    </w:tc>
                    <w:tc>
                      <w:tcPr>
                        <w:tcW w:w="1113" w:type="dxa"/>
                        <w:tcBorders>
                          <w:top w:val="dotted" w:color="auto" w:sz="4" w:space="0"/>
                          <w:left w:val="dotted" w:color="auto" w:sz="0" w:space="0"/>
                          <w:bottom w:val="dotted" w:color="auto" w:sz="0" w:space="0"/>
                          <w:right w:val="dotted" w:color="auto" w:sz="0" w:space="0"/>
                          <w:insideV w:val="nil"/>
                        </w:tcBorders>
                        <w:shd w:val="clear" w:color="auto" w:fill="DBE5F1"/>
                      </w:tcPr>
                      <w:p>
                        <w:pPr>
                          <w:spacing w:after="0" w:line="240" w:lineRule="auto"/>
                          <w:rPr>
                            <w:rFonts w:hint="default" w:ascii="Times New Roman" w:hAnsi="Times New Roman" w:cs="Times New Roman"/>
                            <w:color w:val="000000"/>
                            <w:sz w:val="18"/>
                            <w:szCs w:val="18"/>
                            <w:lang w:val="en-US"/>
                          </w:rPr>
                        </w:pPr>
                        <w:r>
                          <w:rPr>
                            <w:rFonts w:hint="default" w:ascii="Times New Roman" w:hAnsi="Times New Roman" w:cs="Times New Roman"/>
                            <w:color w:val="000000"/>
                            <w:sz w:val="18"/>
                            <w:szCs w:val="18"/>
                            <w:lang w:val="en-US"/>
                          </w:rPr>
                          <w:t>Vessie</w:t>
                        </w:r>
                      </w:p>
                    </w:tc>
                    <w:tc>
                      <w:tcPr>
                        <w:tcW w:w="2420" w:type="dxa"/>
                        <w:tcBorders>
                          <w:top w:val="dotted" w:color="auto" w:sz="4" w:space="0"/>
                          <w:left w:val="dotted" w:color="auto" w:sz="0" w:space="0"/>
                          <w:bottom w:val="dotted" w:color="auto" w:sz="0" w:space="0"/>
                          <w:right w:val="dotted" w:color="auto" w:sz="0" w:space="0"/>
                          <w:insideV w:val="nil"/>
                        </w:tcBorders>
                        <w:shd w:val="clear" w:color="auto" w:fill="DBE5F1"/>
                      </w:tcPr>
                      <w:p>
                        <w:pPr>
                          <w:spacing w:after="0" w:line="240" w:lineRule="auto"/>
                          <w:jc w:val="left"/>
                          <w:rPr>
                            <w:rFonts w:hint="default" w:ascii="Times New Roman" w:hAnsi="Times New Roman" w:cs="Times New Roman"/>
                            <w:color w:val="000000"/>
                            <w:sz w:val="18"/>
                            <w:szCs w:val="18"/>
                            <w:lang w:val="en-US"/>
                          </w:rPr>
                        </w:pPr>
                        <w:r>
                          <w:rPr>
                            <w:rFonts w:hint="default" w:ascii="Times New Roman" w:hAnsi="Times New Roman" w:cs="Times New Roman"/>
                            <w:color w:val="000000"/>
                            <w:sz w:val="18"/>
                            <w:szCs w:val="18"/>
                            <w:lang w:val="en-US"/>
                          </w:rPr>
                          <w:t>Débridement + sutures</w:t>
                        </w:r>
                      </w:p>
                    </w:tc>
                    <w:tc>
                      <w:tcPr>
                        <w:tcW w:w="538" w:type="dxa"/>
                        <w:tcBorders>
                          <w:top w:val="dotted" w:color="auto" w:sz="4" w:space="0"/>
                          <w:left w:val="dotted" w:color="auto" w:sz="0" w:space="0"/>
                          <w:bottom w:val="dotted" w:color="auto" w:sz="0" w:space="0"/>
                          <w:right w:val="dotted" w:color="auto" w:sz="0" w:space="0"/>
                          <w:insideV w:val="nil"/>
                        </w:tcBorders>
                        <w:shd w:val="clear" w:color="auto" w:fill="DBE5F1"/>
                      </w:tcPr>
                      <w:p>
                        <w:pPr>
                          <w:spacing w:after="0" w:line="240" w:lineRule="auto"/>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1</w:t>
                        </w:r>
                      </w:p>
                    </w:tc>
                    <w:tc>
                      <w:tcPr>
                        <w:tcW w:w="577" w:type="dxa"/>
                        <w:tcBorders>
                          <w:top w:val="dotted" w:color="auto" w:sz="4" w:space="0"/>
                          <w:left w:val="dotted" w:color="auto" w:sz="0" w:space="0"/>
                          <w:bottom w:val="dotted" w:color="auto" w:sz="0" w:space="0"/>
                          <w:right w:val="dotted" w:color="auto" w:sz="0" w:space="0"/>
                          <w:insideV w:val="nil"/>
                        </w:tcBorders>
                        <w:shd w:val="clear" w:color="auto" w:fill="DBE5F1"/>
                      </w:tcPr>
                      <w:p>
                        <w:pPr>
                          <w:spacing w:after="0" w:line="240" w:lineRule="auto"/>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2.7</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4903" w:type="dxa"/>
                        <w:gridSpan w:val="5"/>
                        <w:tcBorders>
                          <w:top w:val="dotted" w:color="auto" w:sz="4" w:space="0"/>
                          <w:left w:val="dotted" w:color="auto" w:sz="0" w:space="0"/>
                          <w:bottom w:val="dotted" w:color="auto" w:sz="0" w:space="0"/>
                          <w:right w:val="dotted" w:color="auto" w:sz="0" w:space="0"/>
                          <w:insideV w:val="nil"/>
                        </w:tcBorders>
                        <w:shd w:val="clear" w:color="auto" w:fill="FFFFFF"/>
                      </w:tcPr>
                      <w:p>
                        <w:pPr>
                          <w:spacing w:after="0" w:line="240" w:lineRule="auto"/>
                          <w:jc w:val="left"/>
                          <w:rPr>
                            <w:rFonts w:hint="default" w:ascii="Times New Roman" w:hAnsi="Times New Roman" w:cs="Times New Roman"/>
                            <w:color w:val="000000"/>
                            <w:sz w:val="18"/>
                            <w:szCs w:val="18"/>
                          </w:rPr>
                        </w:pPr>
                        <w:r>
                          <w:rPr>
                            <w:rFonts w:hint="default" w:ascii="Times New Roman" w:hAnsi="Times New Roman" w:cs="Times New Roman"/>
                            <w:b/>
                            <w:bCs/>
                            <w:color w:val="000000"/>
                            <w:sz w:val="18"/>
                            <w:szCs w:val="18"/>
                          </w:rPr>
                          <w:t>Orga</w:t>
                        </w:r>
                        <w:r>
                          <w:rPr>
                            <w:rFonts w:hint="default" w:ascii="Times New Roman" w:hAnsi="Times New Roman" w:cs="Times New Roman"/>
                            <w:b/>
                            <w:bCs/>
                            <w:color w:val="000000"/>
                            <w:sz w:val="18"/>
                            <w:szCs w:val="18"/>
                            <w:lang w:val="fr-FR"/>
                          </w:rPr>
                          <w:t>ne</w:t>
                        </w:r>
                        <w:r>
                          <w:rPr>
                            <w:rFonts w:hint="default" w:ascii="Times New Roman" w:hAnsi="Times New Roman" w:cs="Times New Roman"/>
                            <w:b/>
                            <w:bCs/>
                            <w:color w:val="000000"/>
                            <w:sz w:val="18"/>
                            <w:szCs w:val="18"/>
                          </w:rPr>
                          <w:t>s pleins</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6" w:hRule="atLeast"/>
                    </w:trPr>
                    <w:tc>
                      <w:tcPr>
                        <w:tcW w:w="255" w:type="dxa"/>
                        <w:vMerge w:val="restart"/>
                        <w:tcBorders>
                          <w:top w:val="dotted" w:color="auto" w:sz="4" w:space="0"/>
                          <w:left w:val="dotted" w:color="auto" w:sz="0" w:space="0"/>
                          <w:bottom w:val="dotted" w:color="auto" w:sz="0" w:space="0"/>
                          <w:right w:val="dotted" w:color="auto" w:sz="0" w:space="0"/>
                          <w:insideV w:val="nil"/>
                        </w:tcBorders>
                        <w:shd w:val="clear" w:color="auto" w:fill="FFFFFF"/>
                      </w:tcPr>
                      <w:p>
                        <w:pPr>
                          <w:spacing w:after="0" w:line="240" w:lineRule="auto"/>
                          <w:rPr>
                            <w:rFonts w:hint="default" w:ascii="Times New Roman" w:hAnsi="Times New Roman" w:cs="Times New Roman"/>
                            <w:b/>
                            <w:bCs/>
                            <w:color w:val="000000"/>
                            <w:sz w:val="18"/>
                            <w:szCs w:val="18"/>
                          </w:rPr>
                        </w:pPr>
                      </w:p>
                    </w:tc>
                    <w:tc>
                      <w:tcPr>
                        <w:tcW w:w="1113" w:type="dxa"/>
                        <w:tcBorders>
                          <w:top w:val="dotted" w:color="auto" w:sz="4" w:space="0"/>
                          <w:left w:val="dotted" w:color="auto" w:sz="0" w:space="0"/>
                          <w:bottom w:val="dotted" w:color="auto" w:sz="0" w:space="0"/>
                          <w:right w:val="dotted" w:color="auto" w:sz="0" w:space="0"/>
                          <w:insideV w:val="nil"/>
                        </w:tcBorders>
                        <w:shd w:val="clear" w:color="auto" w:fill="FFFFFF"/>
                      </w:tcPr>
                      <w:p>
                        <w:pPr>
                          <w:spacing w:after="0" w:line="240" w:lineRule="auto"/>
                          <w:rPr>
                            <w:rFonts w:hint="default" w:ascii="Times New Roman" w:hAnsi="Times New Roman" w:cs="Times New Roman"/>
                            <w:color w:val="000000"/>
                            <w:sz w:val="18"/>
                            <w:szCs w:val="18"/>
                            <w:lang w:val="en-US"/>
                          </w:rPr>
                        </w:pPr>
                        <w:r>
                          <w:rPr>
                            <w:rFonts w:hint="default" w:ascii="Times New Roman" w:hAnsi="Times New Roman" w:cs="Times New Roman"/>
                            <w:color w:val="000000"/>
                            <w:sz w:val="18"/>
                            <w:szCs w:val="18"/>
                            <w:lang w:val="en-US"/>
                          </w:rPr>
                          <w:t>Rate</w:t>
                        </w:r>
                      </w:p>
                    </w:tc>
                    <w:tc>
                      <w:tcPr>
                        <w:tcW w:w="2420" w:type="dxa"/>
                        <w:tcBorders>
                          <w:top w:val="dotted" w:color="auto" w:sz="4" w:space="0"/>
                          <w:left w:val="dotted" w:color="auto" w:sz="0" w:space="0"/>
                          <w:bottom w:val="dotted" w:color="auto" w:sz="0" w:space="0"/>
                          <w:right w:val="dotted" w:color="auto" w:sz="0" w:space="0"/>
                          <w:insideV w:val="nil"/>
                        </w:tcBorders>
                        <w:shd w:val="clear" w:color="auto" w:fill="FFFFFF"/>
                      </w:tcPr>
                      <w:p>
                        <w:pPr>
                          <w:spacing w:after="0" w:line="240" w:lineRule="auto"/>
                          <w:jc w:val="left"/>
                          <w:rPr>
                            <w:rFonts w:hint="default" w:ascii="Times New Roman" w:hAnsi="Times New Roman" w:cs="Times New Roman"/>
                            <w:color w:val="000000"/>
                            <w:sz w:val="18"/>
                            <w:szCs w:val="18"/>
                            <w:lang w:val="en-US"/>
                          </w:rPr>
                        </w:pPr>
                        <w:r>
                          <w:rPr>
                            <w:rFonts w:hint="default" w:ascii="Times New Roman" w:hAnsi="Times New Roman" w:cs="Times New Roman"/>
                            <w:color w:val="000000"/>
                            <w:sz w:val="18"/>
                            <w:szCs w:val="18"/>
                            <w:lang w:val="en-US"/>
                          </w:rPr>
                          <w:t>Hémostase locale</w:t>
                        </w:r>
                      </w:p>
                      <w:p>
                        <w:pPr>
                          <w:spacing w:after="0" w:line="240" w:lineRule="auto"/>
                          <w:jc w:val="left"/>
                          <w:rPr>
                            <w:rFonts w:hint="default" w:ascii="Times New Roman" w:hAnsi="Times New Roman" w:cs="Times New Roman"/>
                            <w:color w:val="000000"/>
                            <w:sz w:val="18"/>
                            <w:szCs w:val="18"/>
                            <w:lang w:val="en-US"/>
                          </w:rPr>
                        </w:pPr>
                        <w:r>
                          <w:rPr>
                            <w:rFonts w:hint="default" w:ascii="Times New Roman" w:hAnsi="Times New Roman" w:cs="Times New Roman"/>
                            <w:color w:val="000000"/>
                            <w:sz w:val="18"/>
                            <w:szCs w:val="18"/>
                            <w:lang w:val="en-US"/>
                          </w:rPr>
                          <w:t>Splénectomie d’hémostase</w:t>
                        </w:r>
                      </w:p>
                    </w:tc>
                    <w:tc>
                      <w:tcPr>
                        <w:tcW w:w="538" w:type="dxa"/>
                        <w:tcBorders>
                          <w:top w:val="dotted" w:color="auto" w:sz="4" w:space="0"/>
                          <w:left w:val="dotted" w:color="auto" w:sz="0" w:space="0"/>
                          <w:bottom w:val="dotted" w:color="auto" w:sz="0" w:space="0"/>
                          <w:right w:val="dotted" w:color="auto" w:sz="0" w:space="0"/>
                          <w:insideV w:val="nil"/>
                        </w:tcBorders>
                        <w:shd w:val="clear" w:color="auto" w:fill="FFFFFF"/>
                      </w:tcPr>
                      <w:p>
                        <w:pPr>
                          <w:spacing w:after="0" w:line="240" w:lineRule="auto"/>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1</w:t>
                        </w:r>
                      </w:p>
                      <w:p>
                        <w:pPr>
                          <w:spacing w:after="0" w:line="240" w:lineRule="auto"/>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2</w:t>
                        </w:r>
                      </w:p>
                    </w:tc>
                    <w:tc>
                      <w:tcPr>
                        <w:tcW w:w="577" w:type="dxa"/>
                        <w:tcBorders>
                          <w:top w:val="dotted" w:color="auto" w:sz="4" w:space="0"/>
                          <w:left w:val="dotted" w:color="auto" w:sz="0" w:space="0"/>
                          <w:bottom w:val="dotted" w:color="auto" w:sz="0" w:space="0"/>
                          <w:right w:val="dotted" w:color="auto" w:sz="0" w:space="0"/>
                          <w:insideV w:val="nil"/>
                        </w:tcBorders>
                        <w:shd w:val="clear" w:color="auto" w:fill="FFFFFF"/>
                      </w:tcPr>
                      <w:p>
                        <w:pPr>
                          <w:spacing w:after="0" w:line="240" w:lineRule="auto"/>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2.7</w:t>
                        </w:r>
                      </w:p>
                      <w:p>
                        <w:pPr>
                          <w:spacing w:after="0" w:line="240" w:lineRule="auto"/>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5.4</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3" w:hRule="atLeast"/>
                    </w:trPr>
                    <w:tc>
                      <w:tcPr>
                        <w:tcW w:w="255" w:type="dxa"/>
                        <w:vMerge w:val="continue"/>
                        <w:tcBorders>
                          <w:top w:val="dotted" w:color="auto" w:sz="4" w:space="0"/>
                          <w:left w:val="dotted" w:color="auto" w:sz="0" w:space="0"/>
                          <w:bottom w:val="dotted" w:color="auto" w:sz="0" w:space="0"/>
                          <w:right w:val="dotted" w:color="auto" w:sz="0" w:space="0"/>
                        </w:tcBorders>
                        <w:shd w:val="clear" w:color="auto" w:fill="DBE5F1"/>
                      </w:tcPr>
                      <w:p>
                        <w:pPr>
                          <w:spacing w:after="0" w:line="240" w:lineRule="auto"/>
                          <w:rPr>
                            <w:rFonts w:hint="default" w:ascii="Times New Roman" w:hAnsi="Times New Roman" w:cs="Times New Roman"/>
                            <w:b w:val="0"/>
                            <w:bCs/>
                            <w:color w:val="000000"/>
                            <w:sz w:val="18"/>
                            <w:szCs w:val="18"/>
                          </w:rPr>
                        </w:pPr>
                      </w:p>
                    </w:tc>
                    <w:tc>
                      <w:tcPr>
                        <w:tcW w:w="1113" w:type="dxa"/>
                        <w:tcBorders>
                          <w:top w:val="dotted" w:color="auto" w:sz="4" w:space="0"/>
                          <w:left w:val="dotted" w:color="auto" w:sz="0" w:space="0"/>
                          <w:bottom w:val="dotted" w:color="auto" w:sz="0" w:space="0"/>
                          <w:right w:val="dotted" w:color="auto" w:sz="0" w:space="0"/>
                        </w:tcBorders>
                        <w:shd w:val="clear" w:color="auto" w:fill="DBE5F1"/>
                      </w:tcPr>
                      <w:p>
                        <w:pPr>
                          <w:spacing w:after="0" w:line="240" w:lineRule="auto"/>
                          <w:rPr>
                            <w:rFonts w:hint="default" w:ascii="Times New Roman" w:hAnsi="Times New Roman" w:cs="Times New Roman"/>
                            <w:color w:val="000000"/>
                            <w:sz w:val="18"/>
                            <w:szCs w:val="18"/>
                            <w:lang w:val="en-US"/>
                          </w:rPr>
                        </w:pPr>
                        <w:r>
                          <w:rPr>
                            <w:rFonts w:hint="default" w:ascii="Times New Roman" w:hAnsi="Times New Roman" w:cs="Times New Roman"/>
                            <w:color w:val="000000"/>
                            <w:sz w:val="18"/>
                            <w:szCs w:val="18"/>
                            <w:lang w:val="en-US"/>
                          </w:rPr>
                          <w:t>Foie</w:t>
                        </w:r>
                      </w:p>
                    </w:tc>
                    <w:tc>
                      <w:tcPr>
                        <w:tcW w:w="2420" w:type="dxa"/>
                        <w:tcBorders>
                          <w:top w:val="dotted" w:color="auto" w:sz="4" w:space="0"/>
                          <w:left w:val="dotted" w:color="auto" w:sz="0" w:space="0"/>
                          <w:bottom w:val="dotted" w:color="auto" w:sz="0" w:space="0"/>
                          <w:right w:val="dotted" w:color="auto" w:sz="0" w:space="0"/>
                        </w:tcBorders>
                        <w:shd w:val="clear" w:color="auto" w:fill="DBE5F1"/>
                      </w:tcPr>
                      <w:p>
                        <w:pPr>
                          <w:spacing w:after="0" w:line="240" w:lineRule="auto"/>
                          <w:jc w:val="left"/>
                          <w:rPr>
                            <w:rFonts w:hint="default" w:ascii="Times New Roman" w:hAnsi="Times New Roman" w:cs="Times New Roman"/>
                            <w:color w:val="000000"/>
                            <w:sz w:val="18"/>
                            <w:szCs w:val="18"/>
                            <w:lang w:val="en-US"/>
                          </w:rPr>
                        </w:pPr>
                        <w:r>
                          <w:rPr>
                            <w:rFonts w:hint="default" w:ascii="Times New Roman" w:hAnsi="Times New Roman" w:cs="Times New Roman"/>
                            <w:color w:val="000000"/>
                            <w:sz w:val="18"/>
                            <w:szCs w:val="18"/>
                            <w:lang w:val="en-US"/>
                          </w:rPr>
                          <w:t>Hémostase</w:t>
                        </w:r>
                      </w:p>
                      <w:p>
                        <w:pPr>
                          <w:spacing w:after="0" w:line="240" w:lineRule="auto"/>
                          <w:jc w:val="left"/>
                          <w:rPr>
                            <w:rFonts w:hint="default" w:ascii="Times New Roman" w:hAnsi="Times New Roman" w:cs="Times New Roman"/>
                            <w:color w:val="000000"/>
                            <w:sz w:val="18"/>
                            <w:szCs w:val="18"/>
                            <w:lang w:val="en-US"/>
                          </w:rPr>
                        </w:pPr>
                        <w:r>
                          <w:rPr>
                            <w:rFonts w:hint="default" w:ascii="Times New Roman" w:hAnsi="Times New Roman" w:cs="Times New Roman"/>
                            <w:color w:val="000000"/>
                            <w:sz w:val="18"/>
                            <w:szCs w:val="18"/>
                            <w:lang w:val="en-US"/>
                          </w:rPr>
                          <w:t>Résection</w:t>
                        </w:r>
                      </w:p>
                    </w:tc>
                    <w:tc>
                      <w:tcPr>
                        <w:tcW w:w="538" w:type="dxa"/>
                        <w:tcBorders>
                          <w:top w:val="dotted" w:color="auto" w:sz="4" w:space="0"/>
                          <w:left w:val="dotted" w:color="auto" w:sz="0" w:space="0"/>
                          <w:bottom w:val="dotted" w:color="auto" w:sz="0" w:space="0"/>
                          <w:right w:val="dotted" w:color="auto" w:sz="0" w:space="0"/>
                        </w:tcBorders>
                        <w:shd w:val="clear" w:color="auto" w:fill="DBE5F1"/>
                      </w:tcPr>
                      <w:p>
                        <w:pPr>
                          <w:spacing w:after="0" w:line="240" w:lineRule="auto"/>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2</w:t>
                        </w:r>
                      </w:p>
                      <w:p>
                        <w:pPr>
                          <w:spacing w:after="0" w:line="240" w:lineRule="auto"/>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w:t>
                        </w:r>
                      </w:p>
                    </w:tc>
                    <w:tc>
                      <w:tcPr>
                        <w:tcW w:w="577" w:type="dxa"/>
                        <w:tcBorders>
                          <w:top w:val="dotted" w:color="auto" w:sz="4" w:space="0"/>
                          <w:left w:val="dotted" w:color="auto" w:sz="0" w:space="0"/>
                          <w:bottom w:val="dotted" w:color="auto" w:sz="0" w:space="0"/>
                          <w:right w:val="dotted" w:color="auto" w:sz="0" w:space="0"/>
                        </w:tcBorders>
                        <w:shd w:val="clear" w:color="auto" w:fill="DBE5F1"/>
                      </w:tcPr>
                      <w:p>
                        <w:pPr>
                          <w:spacing w:after="0" w:line="240" w:lineRule="auto"/>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5.4</w:t>
                        </w:r>
                      </w:p>
                      <w:p>
                        <w:pPr>
                          <w:spacing w:after="0" w:line="240" w:lineRule="auto"/>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8.1</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00" w:hRule="atLeast"/>
                    </w:trPr>
                    <w:tc>
                      <w:tcPr>
                        <w:tcW w:w="255" w:type="dxa"/>
                        <w:vMerge w:val="continue"/>
                        <w:tcBorders>
                          <w:top w:val="dotted" w:color="auto" w:sz="4" w:space="0"/>
                          <w:left w:val="dotted" w:color="auto" w:sz="0" w:space="0"/>
                          <w:bottom w:val="dotted" w:color="auto" w:sz="0" w:space="0"/>
                          <w:right w:val="dotted" w:color="auto" w:sz="0" w:space="0"/>
                        </w:tcBorders>
                        <w:shd w:val="clear" w:color="auto" w:fill="FFFFFF"/>
                      </w:tcPr>
                      <w:p>
                        <w:pPr>
                          <w:spacing w:after="0" w:line="240" w:lineRule="auto"/>
                          <w:rPr>
                            <w:rFonts w:hint="default" w:ascii="Times New Roman" w:hAnsi="Times New Roman" w:cs="Times New Roman"/>
                            <w:b w:val="0"/>
                            <w:bCs/>
                            <w:color w:val="000000"/>
                            <w:sz w:val="18"/>
                            <w:szCs w:val="18"/>
                            <w:lang w:val="en-US"/>
                          </w:rPr>
                        </w:pPr>
                      </w:p>
                    </w:tc>
                    <w:tc>
                      <w:tcPr>
                        <w:tcW w:w="1113" w:type="dxa"/>
                        <w:tcBorders>
                          <w:top w:val="dotted" w:color="auto" w:sz="4" w:space="0"/>
                          <w:left w:val="dotted" w:color="auto" w:sz="0" w:space="0"/>
                          <w:bottom w:val="dotted" w:color="auto" w:sz="0" w:space="0"/>
                          <w:right w:val="dotted" w:color="auto" w:sz="0" w:space="0"/>
                        </w:tcBorders>
                        <w:shd w:val="clear" w:color="auto" w:fill="FFFFFF"/>
                      </w:tcPr>
                      <w:p>
                        <w:pPr>
                          <w:spacing w:after="0" w:line="240" w:lineRule="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rPr>
                          <w:t>Diaphragme</w:t>
                        </w:r>
                      </w:p>
                    </w:tc>
                    <w:tc>
                      <w:tcPr>
                        <w:tcW w:w="2420" w:type="dxa"/>
                        <w:tcBorders>
                          <w:top w:val="dotted" w:color="auto" w:sz="4" w:space="0"/>
                          <w:left w:val="dotted" w:color="auto" w:sz="0" w:space="0"/>
                          <w:bottom w:val="dotted" w:color="auto" w:sz="0" w:space="0"/>
                          <w:right w:val="dotted" w:color="auto" w:sz="0" w:space="0"/>
                        </w:tcBorders>
                        <w:shd w:val="clear" w:color="auto" w:fill="FFFFFF"/>
                      </w:tcPr>
                      <w:p>
                        <w:pPr>
                          <w:spacing w:after="0" w:line="240" w:lineRule="auto"/>
                          <w:jc w:val="left"/>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V.A./Suture+drainage</w:t>
                        </w:r>
                        <w:r>
                          <w:rPr>
                            <w:rFonts w:hint="default" w:ascii="Times New Roman" w:hAnsi="Times New Roman" w:cs="Times New Roman"/>
                            <w:color w:val="000000"/>
                            <w:sz w:val="18"/>
                            <w:szCs w:val="18"/>
                            <w:lang w:val="fr-FR"/>
                          </w:rPr>
                          <w:t xml:space="preserve"> </w:t>
                        </w:r>
                        <w:r>
                          <w:rPr>
                            <w:rFonts w:hint="default" w:ascii="Times New Roman" w:hAnsi="Times New Roman" w:cs="Times New Roman"/>
                            <w:color w:val="000000"/>
                            <w:sz w:val="18"/>
                            <w:szCs w:val="18"/>
                          </w:rPr>
                          <w:t>thoracique</w:t>
                        </w:r>
                      </w:p>
                      <w:p>
                        <w:pPr>
                          <w:spacing w:after="0" w:line="240" w:lineRule="auto"/>
                          <w:jc w:val="left"/>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V.T./Suture+drainage thoracique</w:t>
                        </w:r>
                      </w:p>
                    </w:tc>
                    <w:tc>
                      <w:tcPr>
                        <w:tcW w:w="538" w:type="dxa"/>
                        <w:tcBorders>
                          <w:top w:val="dotted" w:color="auto" w:sz="4" w:space="0"/>
                          <w:left w:val="dotted" w:color="auto" w:sz="0" w:space="0"/>
                          <w:bottom w:val="dotted" w:color="auto" w:sz="0" w:space="0"/>
                          <w:right w:val="dotted" w:color="auto" w:sz="0" w:space="0"/>
                        </w:tcBorders>
                        <w:shd w:val="clear" w:color="auto" w:fill="FFFFFF"/>
                      </w:tcPr>
                      <w:p>
                        <w:pPr>
                          <w:spacing w:after="0" w:line="240" w:lineRule="auto"/>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w:t>
                        </w:r>
                      </w:p>
                      <w:p>
                        <w:pPr>
                          <w:spacing w:after="0" w:line="240" w:lineRule="auto"/>
                          <w:jc w:val="center"/>
                          <w:rPr>
                            <w:rFonts w:hint="default" w:ascii="Times New Roman" w:hAnsi="Times New Roman" w:cs="Times New Roman"/>
                            <w:color w:val="000000"/>
                            <w:sz w:val="18"/>
                            <w:szCs w:val="18"/>
                          </w:rPr>
                        </w:pPr>
                      </w:p>
                      <w:p>
                        <w:pPr>
                          <w:spacing w:after="0" w:line="240" w:lineRule="auto"/>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w:t>
                        </w:r>
                      </w:p>
                    </w:tc>
                    <w:tc>
                      <w:tcPr>
                        <w:tcW w:w="577" w:type="dxa"/>
                        <w:tcBorders>
                          <w:top w:val="dotted" w:color="auto" w:sz="4" w:space="0"/>
                          <w:left w:val="dotted" w:color="auto" w:sz="0" w:space="0"/>
                          <w:bottom w:val="dotted" w:color="auto" w:sz="0" w:space="0"/>
                          <w:right w:val="dotted" w:color="auto" w:sz="0" w:space="0"/>
                        </w:tcBorders>
                        <w:shd w:val="clear" w:color="auto" w:fill="FFFFFF"/>
                      </w:tcPr>
                      <w:p>
                        <w:pPr>
                          <w:spacing w:after="0" w:line="240" w:lineRule="auto"/>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8.1</w:t>
                        </w:r>
                      </w:p>
                      <w:p>
                        <w:pPr>
                          <w:spacing w:after="0" w:line="240" w:lineRule="auto"/>
                          <w:jc w:val="center"/>
                          <w:rPr>
                            <w:rFonts w:hint="default" w:ascii="Times New Roman" w:hAnsi="Times New Roman" w:cs="Times New Roman"/>
                            <w:color w:val="000000"/>
                            <w:sz w:val="18"/>
                            <w:szCs w:val="18"/>
                          </w:rPr>
                        </w:pPr>
                      </w:p>
                      <w:p>
                        <w:pPr>
                          <w:spacing w:after="0" w:line="240" w:lineRule="auto"/>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2" w:hRule="atLeast"/>
                    </w:trPr>
                    <w:tc>
                      <w:tcPr>
                        <w:tcW w:w="255" w:type="dxa"/>
                        <w:vMerge w:val="continue"/>
                        <w:tcBorders>
                          <w:top w:val="dotted" w:color="auto" w:sz="4" w:space="0"/>
                          <w:left w:val="dotted" w:color="auto" w:sz="0" w:space="0"/>
                          <w:bottom w:val="dotted" w:color="auto" w:sz="4" w:space="0"/>
                          <w:right w:val="dotted" w:color="auto" w:sz="0" w:space="0"/>
                          <w:insideV w:val="nil"/>
                        </w:tcBorders>
                        <w:shd w:val="clear" w:color="auto" w:fill="DBE5F1"/>
                      </w:tcPr>
                      <w:p>
                        <w:pPr>
                          <w:spacing w:after="0" w:line="240" w:lineRule="auto"/>
                          <w:rPr>
                            <w:rFonts w:hint="default" w:ascii="Times New Roman" w:hAnsi="Times New Roman" w:cs="Times New Roman"/>
                            <w:b/>
                            <w:bCs/>
                            <w:color w:val="000000"/>
                            <w:sz w:val="18"/>
                            <w:szCs w:val="18"/>
                            <w:lang w:val="en-US"/>
                          </w:rPr>
                        </w:pPr>
                      </w:p>
                    </w:tc>
                    <w:tc>
                      <w:tcPr>
                        <w:tcW w:w="1113" w:type="dxa"/>
                        <w:tcBorders>
                          <w:top w:val="dotted" w:color="auto" w:sz="4" w:space="0"/>
                          <w:left w:val="dotted" w:color="auto" w:sz="0" w:space="0"/>
                          <w:bottom w:val="dotted" w:color="auto" w:sz="4" w:space="0"/>
                          <w:right w:val="dotted" w:color="auto" w:sz="0" w:space="0"/>
                          <w:insideV w:val="nil"/>
                        </w:tcBorders>
                        <w:shd w:val="clear" w:color="auto" w:fill="DBE5F1"/>
                      </w:tcPr>
                      <w:p>
                        <w:pPr>
                          <w:spacing w:after="0" w:line="240" w:lineRule="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Epiplon</w:t>
                        </w:r>
                      </w:p>
                    </w:tc>
                    <w:tc>
                      <w:tcPr>
                        <w:tcW w:w="2420" w:type="dxa"/>
                        <w:tcBorders>
                          <w:top w:val="dotted" w:color="auto" w:sz="4" w:space="0"/>
                          <w:left w:val="dotted" w:color="auto" w:sz="0" w:space="0"/>
                          <w:bottom w:val="dotted" w:color="auto" w:sz="4" w:space="0"/>
                          <w:right w:val="dotted" w:color="auto" w:sz="0" w:space="0"/>
                          <w:insideV w:val="nil"/>
                        </w:tcBorders>
                        <w:shd w:val="clear" w:color="auto" w:fill="DBE5F1"/>
                      </w:tcPr>
                      <w:p>
                        <w:pPr>
                          <w:spacing w:after="0" w:line="240" w:lineRule="auto"/>
                          <w:jc w:val="left"/>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Débridement</w:t>
                        </w:r>
                      </w:p>
                      <w:p>
                        <w:pPr>
                          <w:spacing w:after="0" w:line="240" w:lineRule="auto"/>
                          <w:jc w:val="left"/>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Résection</w:t>
                        </w:r>
                      </w:p>
                    </w:tc>
                    <w:tc>
                      <w:tcPr>
                        <w:tcW w:w="538" w:type="dxa"/>
                        <w:tcBorders>
                          <w:top w:val="dotted" w:color="auto" w:sz="4" w:space="0"/>
                          <w:left w:val="dotted" w:color="auto" w:sz="0" w:space="0"/>
                          <w:bottom w:val="dotted" w:color="auto" w:sz="4" w:space="0"/>
                          <w:right w:val="dotted" w:color="auto" w:sz="0" w:space="0"/>
                          <w:insideV w:val="nil"/>
                        </w:tcBorders>
                        <w:shd w:val="clear" w:color="auto" w:fill="DBE5F1"/>
                      </w:tcPr>
                      <w:p>
                        <w:pPr>
                          <w:spacing w:after="0" w:line="240" w:lineRule="auto"/>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2</w:t>
                        </w:r>
                      </w:p>
                      <w:p>
                        <w:pPr>
                          <w:spacing w:after="0" w:line="240" w:lineRule="auto"/>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1</w:t>
                        </w:r>
                      </w:p>
                    </w:tc>
                    <w:tc>
                      <w:tcPr>
                        <w:tcW w:w="577" w:type="dxa"/>
                        <w:tcBorders>
                          <w:top w:val="dotted" w:color="auto" w:sz="4" w:space="0"/>
                          <w:left w:val="dotted" w:color="auto" w:sz="0" w:space="0"/>
                          <w:bottom w:val="dotted" w:color="auto" w:sz="4" w:space="0"/>
                          <w:right w:val="dotted" w:color="auto" w:sz="0" w:space="0"/>
                          <w:insideV w:val="nil"/>
                        </w:tcBorders>
                        <w:shd w:val="clear" w:color="auto" w:fill="DBE5F1"/>
                      </w:tcPr>
                      <w:p>
                        <w:pPr>
                          <w:spacing w:after="0" w:line="240" w:lineRule="auto"/>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5.4</w:t>
                        </w:r>
                      </w:p>
                      <w:p>
                        <w:pPr>
                          <w:spacing w:after="0" w:line="240" w:lineRule="auto"/>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2.7</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2" w:hRule="atLeast"/>
                    </w:trPr>
                    <w:tc>
                      <w:tcPr>
                        <w:tcW w:w="4903" w:type="dxa"/>
                        <w:gridSpan w:val="5"/>
                        <w:tcBorders>
                          <w:top w:val="dotted" w:color="auto" w:sz="4" w:space="0"/>
                          <w:left w:val="dotted" w:color="auto" w:sz="0" w:space="0"/>
                          <w:bottom w:val="dotted" w:color="auto" w:sz="4" w:space="0"/>
                          <w:right w:val="dotted" w:color="auto" w:sz="0" w:space="0"/>
                          <w:insideV w:val="nil"/>
                        </w:tcBorders>
                        <w:shd w:val="clear" w:color="auto" w:fill="DBE5F1"/>
                      </w:tcPr>
                      <w:p>
                        <w:pPr>
                          <w:spacing w:after="0" w:line="240" w:lineRule="auto"/>
                          <w:jc w:val="left"/>
                          <w:rPr>
                            <w:rFonts w:hint="default" w:ascii="Times New Roman" w:hAnsi="Times New Roman" w:cs="Times New Roman"/>
                            <w:color w:val="000000"/>
                            <w:sz w:val="18"/>
                            <w:szCs w:val="18"/>
                            <w:lang w:val="fr-FR"/>
                          </w:rPr>
                        </w:pPr>
                        <w:r>
                          <w:rPr>
                            <w:rFonts w:hint="default" w:ascii="Times New Roman" w:hAnsi="Times New Roman" w:cs="Times New Roman"/>
                            <w:color w:val="000000"/>
                            <w:sz w:val="18"/>
                            <w:szCs w:val="18"/>
                            <w:lang w:val="fr-FR"/>
                          </w:rPr>
                          <w:t>V.A:</w:t>
                        </w:r>
                      </w:p>
                      <w:p>
                        <w:pPr>
                          <w:spacing w:after="0" w:line="240" w:lineRule="auto"/>
                          <w:jc w:val="left"/>
                          <w:rPr>
                            <w:rFonts w:hint="default" w:ascii="Times New Roman" w:hAnsi="Times New Roman" w:cs="Times New Roman"/>
                            <w:color w:val="000000"/>
                            <w:sz w:val="18"/>
                            <w:szCs w:val="18"/>
                            <w:lang w:val="fr-FR"/>
                          </w:rPr>
                        </w:pPr>
                        <w:r>
                          <w:rPr>
                            <w:rFonts w:hint="default" w:ascii="Times New Roman" w:hAnsi="Times New Roman" w:cs="Times New Roman"/>
                            <w:color w:val="000000"/>
                            <w:sz w:val="18"/>
                            <w:szCs w:val="18"/>
                            <w:lang w:val="fr-FR"/>
                          </w:rPr>
                          <w:t>V.T:</w:t>
                        </w:r>
                      </w:p>
                    </w:tc>
                  </w:tr>
                </w:tbl>
                <w:p/>
              </w:txbxContent>
            </v:textbox>
          </v:shape>
        </w:pict>
      </w:r>
      <w:r>
        <w:rPr>
          <w:rFonts w:ascii="Times New Roman" w:hAnsi="Times New Roman" w:cs="Times New Roman"/>
          <w:sz w:val="20"/>
          <w:szCs w:val="20"/>
        </w:rPr>
        <w:t>Les gestes opératoires les plus réalisés dans le cas des lésions des organes creux étaient le débridement des berges suivi de sutures transversales en surjet et d’adossements séro-séreux en points séparés. Ceci représentait 27</w:t>
      </w:r>
      <w:r>
        <w:rPr>
          <w:rFonts w:hint="default" w:ascii="Times New Roman" w:hAnsi="Times New Roman" w:cs="Times New Roman"/>
          <w:sz w:val="20"/>
          <w:szCs w:val="20"/>
          <w:lang w:val="fr-FR"/>
        </w:rPr>
        <w:t xml:space="preserve"> </w:t>
      </w:r>
      <w:r>
        <w:rPr>
          <w:rFonts w:ascii="Times New Roman" w:hAnsi="Times New Roman" w:cs="Times New Roman"/>
          <w:sz w:val="20"/>
          <w:szCs w:val="20"/>
        </w:rPr>
        <w:t>(87,1%) des gestes réalisés sur les organes creux lésés. Pour les lésions des organes pleins les gestes d’hémostase tels électrocoagulation la compression représentaient 66,7% des gestes réalisés contre 33,3% de résection d’organe (splénectomie d’hémostases). Les lésions du diaphragmatique était toutes traités par sutures en surjet en va et viens avec du fils non résorbable N°2 par voie abdominale suivi d’un drainage thoracique.</w:t>
      </w:r>
      <w:r>
        <w:rPr>
          <w:sz w:val="20"/>
          <w:szCs w:val="20"/>
        </w:rPr>
        <w:t xml:space="preserve"> </w:t>
      </w:r>
      <w:r>
        <w:rPr>
          <w:rFonts w:ascii="Times New Roman" w:hAnsi="Times New Roman" w:cs="Times New Roman"/>
          <w:sz w:val="20"/>
          <w:szCs w:val="20"/>
        </w:rPr>
        <w:t xml:space="preserve">Les lésions de l’épiplon étaient traitées dans 66,7% par débridement contre 33,3% par </w:t>
      </w:r>
      <w:r>
        <w:rPr>
          <w:rFonts w:ascii="Times New Roman" w:hAnsi="Times New Roman" w:cs="Times New Roman"/>
          <w:sz w:val="20"/>
          <w:szCs w:val="20"/>
          <w:lang w:val="fr-FR"/>
        </w:rPr>
        <w:t>résection</w:t>
      </w:r>
      <w:r>
        <w:rPr>
          <w:rFonts w:ascii="Times New Roman" w:hAnsi="Times New Roman" w:cs="Times New Roman"/>
          <w:sz w:val="20"/>
          <w:szCs w:val="20"/>
        </w:rPr>
        <w:t>(</w:t>
      </w:r>
      <w:r>
        <w:rPr>
          <w:rFonts w:ascii="Times New Roman" w:hAnsi="Times New Roman" w:eastAsia="Times New Roman" w:cs="Times New Roman"/>
          <w:b w:val="0"/>
          <w:bCs/>
          <w:color w:val="000000"/>
          <w:sz w:val="20"/>
          <w:szCs w:val="20"/>
        </w:rPr>
        <w:t>Tableau V</w:t>
      </w:r>
      <w:r>
        <w:rPr>
          <w:rFonts w:ascii="Times New Roman" w:hAnsi="Times New Roman" w:cs="Times New Roman"/>
          <w:sz w:val="20"/>
          <w:szCs w:val="20"/>
        </w:rPr>
        <w:t>). Le temps opératoire moyen était de 102 minutes avec des extr</w:t>
      </w:r>
      <w:r>
        <w:rPr>
          <w:rFonts w:hint="default" w:ascii="Times New Roman" w:hAnsi="Times New Roman" w:cs="Times New Roman"/>
          <w:sz w:val="20"/>
          <w:szCs w:val="20"/>
          <w:lang w:val="fr-FR"/>
        </w:rPr>
        <w:t>ê</w:t>
      </w:r>
      <w:r>
        <w:rPr>
          <w:rFonts w:ascii="Times New Roman" w:hAnsi="Times New Roman" w:cs="Times New Roman"/>
          <w:sz w:val="20"/>
          <w:szCs w:val="20"/>
        </w:rPr>
        <w:t>mes de 45</w:t>
      </w:r>
      <w:r>
        <w:rPr>
          <w:rFonts w:hint="default" w:ascii="Times New Roman" w:hAnsi="Times New Roman" w:cs="Times New Roman"/>
          <w:sz w:val="20"/>
          <w:szCs w:val="20"/>
          <w:lang w:val="fr-FR"/>
        </w:rPr>
        <w:t xml:space="preserve"> </w:t>
      </w:r>
      <w:r>
        <w:rPr>
          <w:rFonts w:ascii="Times New Roman" w:hAnsi="Times New Roman" w:cs="Times New Roman"/>
          <w:sz w:val="20"/>
          <w:szCs w:val="20"/>
        </w:rPr>
        <w:t>-</w:t>
      </w:r>
      <w:r>
        <w:rPr>
          <w:rFonts w:hint="default" w:ascii="Times New Roman" w:hAnsi="Times New Roman" w:cs="Times New Roman"/>
          <w:sz w:val="20"/>
          <w:szCs w:val="20"/>
          <w:lang w:val="fr-FR"/>
        </w:rPr>
        <w:t xml:space="preserve"> </w:t>
      </w:r>
      <w:r>
        <w:rPr>
          <w:rFonts w:ascii="Times New Roman" w:hAnsi="Times New Roman" w:cs="Times New Roman"/>
          <w:sz w:val="20"/>
          <w:szCs w:val="20"/>
        </w:rPr>
        <w:t>220min</w:t>
      </w:r>
      <w:r>
        <w:rPr>
          <w:rFonts w:hint="default" w:ascii="Times New Roman" w:hAnsi="Times New Roman" w:cs="Times New Roman"/>
          <w:sz w:val="20"/>
          <w:szCs w:val="20"/>
          <w:lang w:val="fr-FR"/>
        </w:rPr>
        <w:t>.</w:t>
      </w: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szCs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szCs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szCs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szCs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szCs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szCs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szCs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szCs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szCs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szCs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szCs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szCs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szCs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szCs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szCs w:val="20"/>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0"/>
          <w:szCs w:val="20"/>
        </w:rPr>
      </w:pPr>
    </w:p>
    <w:p>
      <w:pPr>
        <w:tabs>
          <w:tab w:val="left" w:pos="1275"/>
        </w:tabs>
        <w:spacing w:line="240" w:lineRule="auto"/>
        <w:jc w:val="both"/>
        <w:rPr>
          <w:rFonts w:ascii="Times New Roman" w:hAnsi="Times New Roman" w:cs="Times New Roman"/>
          <w:sz w:val="20"/>
          <w:szCs w:val="20"/>
        </w:rPr>
      </w:pPr>
    </w:p>
    <w:p>
      <w:pPr>
        <w:tabs>
          <w:tab w:val="left" w:pos="1275"/>
        </w:tabs>
        <w:spacing w:line="240" w:lineRule="auto"/>
        <w:jc w:val="both"/>
        <w:rPr>
          <w:rFonts w:ascii="Times New Roman" w:hAnsi="Times New Roman" w:cs="Times New Roman"/>
          <w:sz w:val="20"/>
          <w:szCs w:val="20"/>
        </w:rPr>
      </w:pPr>
    </w:p>
    <w:p>
      <w:pPr>
        <w:tabs>
          <w:tab w:val="left" w:pos="1275"/>
        </w:tabs>
        <w:spacing w:line="240" w:lineRule="auto"/>
        <w:jc w:val="both"/>
        <w:rPr>
          <w:rFonts w:ascii="Times New Roman" w:hAnsi="Times New Roman" w:cs="Times New Roman"/>
          <w:sz w:val="20"/>
          <w:szCs w:val="20"/>
        </w:rPr>
      </w:pPr>
    </w:p>
    <w:p>
      <w:pPr>
        <w:tabs>
          <w:tab w:val="left" w:pos="1275"/>
        </w:tabs>
        <w:spacing w:line="240" w:lineRule="auto"/>
        <w:jc w:val="both"/>
        <w:rPr>
          <w:rFonts w:ascii="Times New Roman" w:hAnsi="Times New Roman" w:cs="Times New Roman"/>
          <w:sz w:val="20"/>
          <w:szCs w:val="20"/>
        </w:rPr>
      </w:pPr>
    </w:p>
    <w:p>
      <w:pPr>
        <w:tabs>
          <w:tab w:val="left" w:pos="1275"/>
        </w:tabs>
        <w:spacing w:line="240" w:lineRule="auto"/>
        <w:jc w:val="both"/>
        <w:rPr>
          <w:rFonts w:ascii="Times New Roman" w:hAnsi="Times New Roman" w:cs="Times New Roman"/>
          <w:sz w:val="20"/>
          <w:szCs w:val="20"/>
        </w:rPr>
      </w:pPr>
    </w:p>
    <w:p>
      <w:pPr>
        <w:tabs>
          <w:tab w:val="left" w:pos="1275"/>
        </w:tabs>
        <w:spacing w:line="240" w:lineRule="auto"/>
        <w:jc w:val="both"/>
        <w:rPr>
          <w:rFonts w:ascii="Times New Roman" w:hAnsi="Times New Roman" w:cs="Times New Roman"/>
          <w:sz w:val="20"/>
          <w:szCs w:val="20"/>
        </w:rPr>
      </w:pPr>
    </w:p>
    <w:p>
      <w:pPr>
        <w:tabs>
          <w:tab w:val="left" w:pos="1275"/>
        </w:tabs>
        <w:spacing w:line="240" w:lineRule="auto"/>
        <w:jc w:val="both"/>
        <w:rPr>
          <w:rFonts w:ascii="Times New Roman" w:hAnsi="Times New Roman" w:cs="Times New Roman"/>
          <w:sz w:val="20"/>
          <w:szCs w:val="20"/>
        </w:rPr>
      </w:pPr>
    </w:p>
    <w:p>
      <w:pPr>
        <w:keepNext w:val="0"/>
        <w:keepLines w:val="0"/>
        <w:pageBreakBefore w:val="0"/>
        <w:widowControl/>
        <w:tabs>
          <w:tab w:val="left" w:pos="1275"/>
        </w:tabs>
        <w:kinsoku/>
        <w:wordWrap/>
        <w:overflowPunct/>
        <w:topLinePunct w:val="0"/>
        <w:autoSpaceDE/>
        <w:autoSpaceDN/>
        <w:bidi w:val="0"/>
        <w:adjustRightInd/>
        <w:snapToGrid/>
        <w:spacing w:after="0" w:line="240" w:lineRule="auto"/>
        <w:jc w:val="both"/>
        <w:textAlignment w:val="auto"/>
        <w:rPr>
          <w:rFonts w:ascii="Times New Roman" w:hAnsi="Times New Roman" w:cs="Times New Roman"/>
          <w:sz w:val="20"/>
          <w:szCs w:val="20"/>
        </w:rPr>
      </w:pPr>
      <w:r>
        <w:rPr>
          <w:rFonts w:ascii="Times New Roman" w:hAnsi="Times New Roman" w:cs="Times New Roman"/>
          <w:sz w:val="20"/>
          <w:szCs w:val="20"/>
        </w:rPr>
        <w:t>Tous les patients ont reçu une couverture antibiotique dès leur admissions dans le service jusqu’à leur sortie. La durée d’hospitalisation a été en moyenne de 20,6 jours avec comme extrêmes</w:t>
      </w:r>
      <w:r>
        <w:rPr>
          <w:rFonts w:hint="default" w:ascii="Times New Roman" w:hAnsi="Times New Roman" w:cs="Times New Roman"/>
          <w:sz w:val="20"/>
          <w:szCs w:val="20"/>
          <w:lang w:val="fr-FR"/>
        </w:rPr>
        <w:t xml:space="preserve"> </w:t>
      </w:r>
      <w:r>
        <w:rPr>
          <w:rFonts w:ascii="Times New Roman" w:hAnsi="Times New Roman" w:cs="Times New Roman"/>
          <w:sz w:val="20"/>
          <w:szCs w:val="20"/>
        </w:rPr>
        <w:t>5 et 122 jours. En cas de laparotomie blanche, la durée moyenne d’hospitalisation était de 14,5 jours contre 24,2 en cas de lésion intra-abdominale.</w:t>
      </w:r>
    </w:p>
    <w:p>
      <w:pPr>
        <w:keepNext w:val="0"/>
        <w:keepLines w:val="0"/>
        <w:pageBreakBefore w:val="0"/>
        <w:widowControl/>
        <w:tabs>
          <w:tab w:val="left" w:pos="1275"/>
        </w:tabs>
        <w:kinsoku/>
        <w:wordWrap/>
        <w:overflowPunct/>
        <w:topLinePunct w:val="0"/>
        <w:autoSpaceDE/>
        <w:autoSpaceDN/>
        <w:bidi w:val="0"/>
        <w:adjustRightInd/>
        <w:snapToGrid/>
        <w:spacing w:after="0" w:line="240" w:lineRule="auto"/>
        <w:jc w:val="both"/>
        <w:textAlignment w:val="auto"/>
        <w:rPr>
          <w:rFonts w:ascii="Times New Roman" w:hAnsi="Times New Roman" w:cs="Times New Roman"/>
          <w:b w:val="0"/>
          <w:bCs/>
          <w:sz w:val="20"/>
          <w:szCs w:val="20"/>
        </w:rPr>
      </w:pPr>
      <w:r>
        <w:rPr>
          <w:rFonts w:ascii="Times New Roman" w:hAnsi="Times New Roman" w:cs="Times New Roman"/>
          <w:b w:val="0"/>
          <w:bCs/>
          <w:sz w:val="20"/>
          <w:szCs w:val="20"/>
        </w:rPr>
        <w:t>La morbidité postopératoire s’est résumée en: 6 cas de suppuration pariétale (16,2%), et les cas péritonite postopératoire, d’abcès pelvien, d’embolie pulmonaire, occlusion sur bride</w:t>
      </w:r>
      <w:r>
        <w:rPr>
          <w:rFonts w:hint="default" w:ascii="Times New Roman" w:hAnsi="Times New Roman" w:cs="Times New Roman"/>
          <w:b w:val="0"/>
          <w:bCs/>
          <w:sz w:val="20"/>
          <w:szCs w:val="20"/>
          <w:lang w:val="fr-FR"/>
        </w:rPr>
        <w:t xml:space="preserve"> et de </w:t>
      </w:r>
      <w:r>
        <w:rPr>
          <w:rFonts w:ascii="Times New Roman" w:hAnsi="Times New Roman" w:cs="Times New Roman"/>
          <w:b w:val="0"/>
          <w:bCs/>
          <w:sz w:val="20"/>
          <w:szCs w:val="20"/>
        </w:rPr>
        <w:t xml:space="preserve">stomite </w:t>
      </w:r>
      <w:r>
        <w:rPr>
          <w:rFonts w:hint="default" w:ascii="Times New Roman" w:hAnsi="Times New Roman" w:cs="Times New Roman"/>
          <w:b w:val="0"/>
          <w:bCs/>
          <w:sz w:val="20"/>
          <w:szCs w:val="20"/>
          <w:lang w:val="fr-FR"/>
        </w:rPr>
        <w:t>étaient de</w:t>
      </w:r>
      <w:r>
        <w:rPr>
          <w:rFonts w:ascii="Times New Roman" w:hAnsi="Times New Roman" w:cs="Times New Roman"/>
          <w:b w:val="0"/>
          <w:bCs/>
          <w:sz w:val="20"/>
          <w:szCs w:val="20"/>
        </w:rPr>
        <w:t xml:space="preserve"> 1 cas</w:t>
      </w:r>
      <w:r>
        <w:rPr>
          <w:rFonts w:hint="default" w:ascii="Times New Roman" w:hAnsi="Times New Roman" w:cs="Times New Roman"/>
          <w:b w:val="0"/>
          <w:bCs/>
          <w:sz w:val="20"/>
          <w:szCs w:val="20"/>
          <w:lang w:val="fr-FR"/>
        </w:rPr>
        <w:t xml:space="preserve"> chacun</w:t>
      </w:r>
      <w:r>
        <w:rPr>
          <w:rFonts w:ascii="Times New Roman" w:hAnsi="Times New Roman" w:cs="Times New Roman"/>
          <w:b w:val="0"/>
          <w:bCs/>
          <w:sz w:val="20"/>
          <w:szCs w:val="20"/>
        </w:rPr>
        <w:t>. La Mortalité globale était de 8,1%, dont 1</w:t>
      </w:r>
      <w:r>
        <w:rPr>
          <w:rFonts w:hint="default" w:ascii="Times New Roman" w:hAnsi="Times New Roman" w:cs="Times New Roman"/>
          <w:b w:val="0"/>
          <w:bCs/>
          <w:sz w:val="20"/>
          <w:szCs w:val="20"/>
          <w:lang w:val="fr-FR"/>
        </w:rPr>
        <w:t xml:space="preserve"> décès en </w:t>
      </w:r>
      <w:r>
        <w:rPr>
          <w:rFonts w:ascii="Times New Roman" w:hAnsi="Times New Roman" w:cs="Times New Roman"/>
          <w:b w:val="0"/>
          <w:bCs/>
          <w:sz w:val="20"/>
          <w:szCs w:val="20"/>
        </w:rPr>
        <w:t>période per-opératoire et 2</w:t>
      </w:r>
      <w:r>
        <w:rPr>
          <w:rFonts w:hint="default" w:ascii="Times New Roman" w:hAnsi="Times New Roman" w:cs="Times New Roman"/>
          <w:b w:val="0"/>
          <w:bCs/>
          <w:sz w:val="20"/>
          <w:szCs w:val="20"/>
          <w:lang w:val="fr-FR"/>
        </w:rPr>
        <w:t xml:space="preserve"> en</w:t>
      </w:r>
      <w:r>
        <w:rPr>
          <w:rFonts w:ascii="Times New Roman" w:hAnsi="Times New Roman" w:cs="Times New Roman"/>
          <w:b w:val="0"/>
          <w:bCs/>
          <w:sz w:val="20"/>
          <w:szCs w:val="20"/>
        </w:rPr>
        <w:t xml:space="preserve"> période post</w:t>
      </w:r>
      <w:r>
        <w:rPr>
          <w:rFonts w:hint="default" w:ascii="Times New Roman" w:hAnsi="Times New Roman" w:cs="Times New Roman"/>
          <w:b w:val="0"/>
          <w:bCs/>
          <w:sz w:val="20"/>
          <w:szCs w:val="20"/>
          <w:lang w:val="fr-FR"/>
        </w:rPr>
        <w:t>-</w:t>
      </w:r>
      <w:r>
        <w:rPr>
          <w:rFonts w:ascii="Times New Roman" w:hAnsi="Times New Roman" w:cs="Times New Roman"/>
          <w:b w:val="0"/>
          <w:bCs/>
          <w:sz w:val="20"/>
          <w:szCs w:val="20"/>
        </w:rPr>
        <w:t>opératoire. La Mortalité opératoire était de 5,4%. Des 2 décès, 1 est survenus dans les premières heures par choc. Le 2ème décès est survenu au 8ème jour post</w:t>
      </w:r>
      <w:r>
        <w:rPr>
          <w:rFonts w:hint="default" w:ascii="Times New Roman" w:hAnsi="Times New Roman" w:cs="Times New Roman"/>
          <w:b w:val="0"/>
          <w:bCs/>
          <w:sz w:val="20"/>
          <w:szCs w:val="20"/>
          <w:lang w:val="fr-FR"/>
        </w:rPr>
        <w:t>-</w:t>
      </w:r>
      <w:r>
        <w:rPr>
          <w:rFonts w:ascii="Times New Roman" w:hAnsi="Times New Roman" w:cs="Times New Roman"/>
          <w:b w:val="0"/>
          <w:bCs/>
          <w:sz w:val="20"/>
          <w:szCs w:val="20"/>
        </w:rPr>
        <w:t>opératoire, par choc septique.</w:t>
      </w:r>
    </w:p>
    <w:p>
      <w:pPr>
        <w:tabs>
          <w:tab w:val="left" w:pos="1275"/>
        </w:tabs>
        <w:spacing w:line="240" w:lineRule="auto"/>
        <w:jc w:val="both"/>
        <w:rPr>
          <w:rFonts w:ascii="Times New Roman" w:hAnsi="Times New Roman" w:cs="Times New Roman"/>
          <w:sz w:val="20"/>
          <w:szCs w:val="20"/>
        </w:rPr>
      </w:pPr>
    </w:p>
    <w:p>
      <w:pPr>
        <w:tabs>
          <w:tab w:val="left" w:pos="1275"/>
        </w:tabs>
        <w:spacing w:line="240" w:lineRule="auto"/>
        <w:jc w:val="both"/>
        <w:rPr>
          <w:rFonts w:ascii="Times New Roman" w:hAnsi="Times New Roman" w:cs="Times New Roman"/>
          <w:sz w:val="20"/>
          <w:szCs w:val="20"/>
        </w:rPr>
      </w:pPr>
    </w:p>
    <w:p>
      <w:pPr>
        <w:tabs>
          <w:tab w:val="left" w:pos="1275"/>
        </w:tabs>
        <w:spacing w:line="240" w:lineRule="auto"/>
        <w:jc w:val="both"/>
        <w:rPr>
          <w:rFonts w:ascii="Times New Roman" w:hAnsi="Times New Roman" w:cs="Times New Roman"/>
          <w:sz w:val="20"/>
          <w:szCs w:val="20"/>
        </w:rPr>
      </w:pPr>
      <w:r>
        <w:rPr>
          <w:rFonts w:ascii="Times New Roman" w:hAnsi="Times New Roman"/>
          <w:b/>
          <w:color w:val="366091" w:themeColor="accent1" w:themeShade="BF"/>
        </w:rPr>
        <w:pict>
          <v:shape id="_x0000_s1037" o:spid="_x0000_s1037" o:spt="202" type="#_x0000_t202" style="position:absolute;left:0pt;margin-left:-1pt;margin-top:6.9pt;height:243.95pt;width:235.2pt;z-index:251714560;mso-width-relative:page;mso-height-relative:page;" fillcolor="#FFFFFF" filled="t" stroked="t" coordsize="21600,21600">
            <v:path/>
            <v:fill on="t" color2="#FFFFFF" focussize="0,0"/>
            <v:stroke color="#FFFFFF" joinstyle="miter"/>
            <v:imagedata o:title=""/>
            <o:lock v:ext="edit" aspectratio="f"/>
            <v:textbox>
              <w:txbxContent>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18"/>
                      <w:szCs w:val="18"/>
                      <w:lang w:val="fr-FR"/>
                    </w:rPr>
                  </w:pPr>
                  <w:r>
                    <w:rPr>
                      <w:rFonts w:hint="default" w:ascii="Times New Roman" w:hAnsi="Times New Roman" w:cs="Times New Roman"/>
                      <w:sz w:val="18"/>
                      <w:szCs w:val="18"/>
                      <w:lang w:val="fr-FR"/>
                    </w:rPr>
                    <w:t>A</w:t>
                  </w:r>
                  <w:r>
                    <w:rPr>
                      <w:rFonts w:hint="default" w:ascii="Times New Roman" w:hAnsi="Times New Roman" w:cs="Times New Roman"/>
                      <w:sz w:val="18"/>
                      <w:szCs w:val="18"/>
                    </w:rPr>
                    <w:drawing>
                      <wp:inline distT="0" distB="0" distL="0" distR="0">
                        <wp:extent cx="2613025" cy="1192530"/>
                        <wp:effectExtent l="0" t="0" r="15875" b="0"/>
                        <wp:docPr id="11361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12" name="Image 9"/>
                                <pic:cNvPicPr>
                                  <a:picLocks noChangeAspect="1" noChangeArrowheads="1"/>
                                </pic:cNvPicPr>
                              </pic:nvPicPr>
                              <pic:blipFill>
                                <a:blip r:embed="rId7"/>
                                <a:srcRect/>
                                <a:stretch>
                                  <a:fillRect/>
                                </a:stretch>
                              </pic:blipFill>
                              <pic:spPr>
                                <a:xfrm>
                                  <a:off x="0" y="0"/>
                                  <a:ext cx="2613025" cy="1192530"/>
                                </a:xfrm>
                                <a:prstGeom prst="rect">
                                  <a:avLst/>
                                </a:prstGeom>
                                <a:noFill/>
                                <a:ln w="9525">
                                  <a:noFill/>
                                  <a:miter lim="800000"/>
                                  <a:headEnd/>
                                  <a:tailEnd/>
                                </a:ln>
                              </pic:spPr>
                            </pic:pic>
                          </a:graphicData>
                        </a:graphic>
                      </wp:inline>
                    </w:drawing>
                  </w:r>
                  <w:r>
                    <w:rPr>
                      <w:rFonts w:hint="default" w:ascii="Times New Roman" w:hAnsi="Times New Roman" w:cs="Times New Roman"/>
                      <w:sz w:val="18"/>
                      <w:szCs w:val="18"/>
                      <w:lang w:val="fr-FR"/>
                    </w:rPr>
                    <w:t>B</w:t>
                  </w:r>
                </w:p>
                <w:p>
                  <w:pPr>
                    <w:keepNext w:val="0"/>
                    <w:keepLines w:val="0"/>
                    <w:pageBreakBefore w:val="0"/>
                    <w:widowControl/>
                    <w:kinsoku/>
                    <w:wordWrap/>
                    <w:overflowPunct/>
                    <w:topLinePunct w:val="0"/>
                    <w:autoSpaceDE/>
                    <w:autoSpaceDN/>
                    <w:bidi w:val="0"/>
                    <w:adjustRightInd/>
                    <w:snapToGrid/>
                    <w:spacing w:after="200" w:line="240" w:lineRule="auto"/>
                    <w:jc w:val="center"/>
                    <w:textAlignment w:val="auto"/>
                    <w:rPr>
                      <w:rFonts w:hint="default" w:ascii="Times New Roman" w:hAnsi="Times New Roman" w:cs="Times New Roman"/>
                      <w:sz w:val="18"/>
                      <w:szCs w:val="18"/>
                      <w:lang w:val="fr-FR"/>
                    </w:rPr>
                  </w:pPr>
                  <w:r>
                    <w:rPr>
                      <w:rFonts w:hint="default" w:ascii="Times New Roman" w:hAnsi="Times New Roman" w:cs="Times New Roman"/>
                      <w:sz w:val="18"/>
                      <w:szCs w:val="18"/>
                    </w:rPr>
                    <w:drawing>
                      <wp:inline distT="0" distB="0" distL="0" distR="0">
                        <wp:extent cx="1266825" cy="1167130"/>
                        <wp:effectExtent l="0" t="0" r="9525" b="13970"/>
                        <wp:docPr id="11362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3" name="Image 11"/>
                                <pic:cNvPicPr>
                                  <a:picLocks noChangeAspect="1" noChangeArrowheads="1"/>
                                </pic:cNvPicPr>
                              </pic:nvPicPr>
                              <pic:blipFill>
                                <a:blip r:embed="rId8"/>
                                <a:srcRect r="54242" b="4365"/>
                                <a:stretch>
                                  <a:fillRect/>
                                </a:stretch>
                              </pic:blipFill>
                              <pic:spPr>
                                <a:xfrm>
                                  <a:off x="0" y="0"/>
                                  <a:ext cx="1266825" cy="1167130"/>
                                </a:xfrm>
                                <a:prstGeom prst="rect">
                                  <a:avLst/>
                                </a:prstGeom>
                                <a:noFill/>
                                <a:ln w="9525">
                                  <a:noFill/>
                                  <a:miter lim="800000"/>
                                  <a:headEnd/>
                                  <a:tailEnd/>
                                </a:ln>
                              </pic:spPr>
                            </pic:pic>
                          </a:graphicData>
                        </a:graphic>
                      </wp:inline>
                    </w:drawing>
                  </w:r>
                  <w:r>
                    <w:rPr>
                      <w:rFonts w:hint="default" w:ascii="Times New Roman" w:hAnsi="Times New Roman" w:cs="Times New Roman"/>
                      <w:sz w:val="18"/>
                      <w:szCs w:val="18"/>
                      <w:lang w:val="fr-FR"/>
                    </w:rPr>
                    <w:t>C</w:t>
                  </w:r>
                </w:p>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b w:val="0"/>
                      <w:bCs/>
                      <w:sz w:val="18"/>
                      <w:szCs w:val="18"/>
                      <w:lang w:val="fr-FR"/>
                    </w:rPr>
                  </w:pPr>
                  <w:r>
                    <w:rPr>
                      <w:rFonts w:hint="default" w:ascii="Times New Roman" w:hAnsi="Times New Roman" w:cs="Times New Roman"/>
                      <w:b/>
                      <w:sz w:val="18"/>
                      <w:szCs w:val="18"/>
                      <w:u w:val="single"/>
                    </w:rPr>
                    <w:t xml:space="preserve">Figure </w:t>
                  </w:r>
                  <w:r>
                    <w:rPr>
                      <w:rFonts w:hint="default" w:ascii="Times New Roman" w:hAnsi="Times New Roman" w:cs="Times New Roman"/>
                      <w:b/>
                      <w:sz w:val="18"/>
                      <w:szCs w:val="18"/>
                      <w:u w:val="single"/>
                      <w:lang w:val="fr-FR"/>
                    </w:rPr>
                    <w:t>1:</w:t>
                  </w:r>
                  <w:r>
                    <w:rPr>
                      <w:rFonts w:hint="default" w:ascii="Times New Roman" w:hAnsi="Times New Roman" w:cs="Times New Roman"/>
                      <w:b/>
                      <w:sz w:val="18"/>
                      <w:szCs w:val="18"/>
                      <w:lang w:val="fr-FR"/>
                    </w:rPr>
                    <w:t xml:space="preserve"> </w:t>
                  </w:r>
                  <w:r>
                    <w:rPr>
                      <w:rFonts w:hint="default" w:ascii="Times New Roman" w:hAnsi="Times New Roman" w:cs="Times New Roman"/>
                      <w:b w:val="0"/>
                      <w:bCs/>
                      <w:sz w:val="18"/>
                      <w:szCs w:val="18"/>
                      <w:lang w:val="fr-FR"/>
                    </w:rPr>
                    <w:t>Lésions d’organes</w:t>
                  </w:r>
                </w:p>
                <w:p>
                  <w:pPr>
                    <w:spacing w:after="17" w:line="248" w:lineRule="auto"/>
                    <w:ind w:left="7" w:right="10"/>
                    <w:jc w:val="center"/>
                    <w:rPr>
                      <w:rFonts w:hint="default" w:ascii="Times New Roman" w:hAnsi="Times New Roman" w:cs="Times New Roman"/>
                      <w:sz w:val="18"/>
                      <w:szCs w:val="18"/>
                      <w:lang w:val="fr-FR"/>
                    </w:rPr>
                  </w:pPr>
                  <w:r>
                    <w:rPr>
                      <w:rFonts w:hint="default" w:ascii="Times New Roman" w:hAnsi="Times New Roman" w:cs="Times New Roman"/>
                      <w:sz w:val="18"/>
                      <w:szCs w:val="18"/>
                    </w:rPr>
                    <w:t xml:space="preserve">A: </w:t>
                  </w:r>
                  <w:r>
                    <w:rPr>
                      <w:rFonts w:hint="default" w:ascii="Times New Roman" w:hAnsi="Times New Roman" w:cs="Times New Roman"/>
                      <w:sz w:val="18"/>
                      <w:szCs w:val="18"/>
                      <w:lang w:val="fr-FR"/>
                    </w:rPr>
                    <w:t>P</w:t>
                  </w:r>
                  <w:r>
                    <w:rPr>
                      <w:rFonts w:hint="default" w:ascii="Times New Roman" w:hAnsi="Times New Roman" w:cs="Times New Roman"/>
                      <w:sz w:val="18"/>
                      <w:szCs w:val="18"/>
                    </w:rPr>
                    <w:t>erforation jéjunale</w:t>
                  </w:r>
                  <w:r>
                    <w:rPr>
                      <w:rFonts w:hint="default" w:ascii="Times New Roman" w:hAnsi="Times New Roman" w:cs="Times New Roman"/>
                      <w:sz w:val="18"/>
                      <w:szCs w:val="18"/>
                      <w:lang w:val="fr-FR"/>
                    </w:rPr>
                    <w:t xml:space="preserve"> </w:t>
                  </w:r>
                  <w:r>
                    <w:rPr>
                      <w:rFonts w:hint="default" w:ascii="Times New Roman" w:hAnsi="Times New Roman" w:cs="Times New Roman"/>
                      <w:sz w:val="18"/>
                      <w:szCs w:val="18"/>
                    </w:rPr>
                    <w:t xml:space="preserve">B: </w:t>
                  </w:r>
                  <w:r>
                    <w:rPr>
                      <w:rFonts w:hint="default" w:ascii="Times New Roman" w:hAnsi="Times New Roman" w:cs="Times New Roman"/>
                      <w:sz w:val="18"/>
                      <w:szCs w:val="18"/>
                      <w:lang w:val="fr-FR"/>
                    </w:rPr>
                    <w:t>P</w:t>
                  </w:r>
                  <w:r>
                    <w:rPr>
                      <w:rFonts w:hint="default" w:ascii="Times New Roman" w:hAnsi="Times New Roman" w:cs="Times New Roman"/>
                      <w:sz w:val="18"/>
                      <w:szCs w:val="18"/>
                    </w:rPr>
                    <w:t xml:space="preserve">erforation vésicale </w:t>
                  </w:r>
                  <w:r>
                    <w:rPr>
                      <w:rFonts w:hint="default" w:ascii="Times New Roman" w:hAnsi="Times New Roman" w:cs="Times New Roman"/>
                      <w:sz w:val="18"/>
                      <w:szCs w:val="18"/>
                      <w:lang w:val="fr-FR"/>
                    </w:rPr>
                    <w:t>C: Pplaie de la rate après splénectomie.</w:t>
                  </w:r>
                </w:p>
              </w:txbxContent>
            </v:textbox>
          </v:shape>
        </w:pict>
      </w:r>
    </w:p>
    <w:p>
      <w:pPr>
        <w:tabs>
          <w:tab w:val="left" w:pos="1275"/>
        </w:tabs>
        <w:spacing w:line="240" w:lineRule="auto"/>
        <w:jc w:val="both"/>
        <w:rPr>
          <w:rFonts w:ascii="Times New Roman" w:hAnsi="Times New Roman" w:cs="Times New Roman"/>
          <w:sz w:val="20"/>
          <w:szCs w:val="20"/>
        </w:rPr>
      </w:pPr>
    </w:p>
    <w:p>
      <w:pPr>
        <w:tabs>
          <w:tab w:val="left" w:pos="1275"/>
        </w:tabs>
        <w:spacing w:line="240" w:lineRule="auto"/>
        <w:jc w:val="both"/>
        <w:rPr>
          <w:rFonts w:ascii="Times New Roman" w:hAnsi="Times New Roman" w:cs="Times New Roman"/>
          <w:sz w:val="20"/>
          <w:szCs w:val="20"/>
        </w:rPr>
      </w:pPr>
    </w:p>
    <w:p>
      <w:pPr>
        <w:tabs>
          <w:tab w:val="left" w:pos="1275"/>
        </w:tabs>
        <w:spacing w:line="240" w:lineRule="auto"/>
        <w:jc w:val="both"/>
        <w:rPr>
          <w:rFonts w:ascii="Times New Roman" w:hAnsi="Times New Roman" w:cs="Times New Roman"/>
          <w:sz w:val="20"/>
          <w:szCs w:val="20"/>
        </w:rPr>
      </w:pPr>
    </w:p>
    <w:p>
      <w:pPr>
        <w:tabs>
          <w:tab w:val="left" w:pos="1275"/>
        </w:tabs>
        <w:spacing w:line="240" w:lineRule="auto"/>
        <w:jc w:val="both"/>
        <w:rPr>
          <w:rFonts w:ascii="Times New Roman" w:hAnsi="Times New Roman" w:cs="Times New Roman"/>
          <w:sz w:val="20"/>
          <w:szCs w:val="20"/>
        </w:rPr>
      </w:pPr>
    </w:p>
    <w:p>
      <w:pPr>
        <w:tabs>
          <w:tab w:val="left" w:pos="1275"/>
        </w:tabs>
        <w:spacing w:line="240" w:lineRule="auto"/>
        <w:jc w:val="both"/>
        <w:rPr>
          <w:rFonts w:ascii="Times New Roman" w:hAnsi="Times New Roman" w:cs="Times New Roman"/>
          <w:sz w:val="20"/>
          <w:szCs w:val="20"/>
        </w:rPr>
      </w:pPr>
    </w:p>
    <w:p>
      <w:pPr>
        <w:tabs>
          <w:tab w:val="left" w:pos="1275"/>
        </w:tabs>
        <w:spacing w:line="240" w:lineRule="auto"/>
        <w:jc w:val="both"/>
        <w:rPr>
          <w:rFonts w:ascii="Times New Roman" w:hAnsi="Times New Roman" w:cs="Times New Roman"/>
          <w:sz w:val="20"/>
          <w:szCs w:val="20"/>
        </w:rPr>
      </w:pPr>
    </w:p>
    <w:p>
      <w:pPr>
        <w:tabs>
          <w:tab w:val="left" w:pos="1275"/>
        </w:tabs>
        <w:spacing w:line="240" w:lineRule="auto"/>
        <w:jc w:val="both"/>
        <w:rPr>
          <w:rFonts w:ascii="Times New Roman" w:hAnsi="Times New Roman" w:cs="Times New Roman"/>
          <w:sz w:val="20"/>
          <w:szCs w:val="20"/>
        </w:rPr>
      </w:pPr>
    </w:p>
    <w:p>
      <w:pPr>
        <w:tabs>
          <w:tab w:val="left" w:pos="1275"/>
        </w:tabs>
        <w:spacing w:line="240" w:lineRule="auto"/>
        <w:jc w:val="both"/>
        <w:rPr>
          <w:rFonts w:ascii="Times New Roman" w:hAnsi="Times New Roman" w:cs="Times New Roman"/>
          <w:sz w:val="20"/>
          <w:szCs w:val="20"/>
        </w:rPr>
      </w:pPr>
    </w:p>
    <w:p>
      <w:pPr>
        <w:tabs>
          <w:tab w:val="left" w:pos="1275"/>
        </w:tabs>
        <w:spacing w:line="240" w:lineRule="auto"/>
        <w:jc w:val="both"/>
        <w:rPr>
          <w:rFonts w:ascii="Times New Roman" w:hAnsi="Times New Roman" w:cs="Times New Roman"/>
          <w:sz w:val="20"/>
          <w:szCs w:val="20"/>
        </w:rPr>
      </w:pPr>
    </w:p>
    <w:p>
      <w:pPr>
        <w:tabs>
          <w:tab w:val="left" w:pos="1275"/>
        </w:tabs>
        <w:spacing w:line="240" w:lineRule="auto"/>
        <w:jc w:val="both"/>
        <w:rPr>
          <w:rFonts w:ascii="Times New Roman" w:hAnsi="Times New Roman" w:cs="Times New Roman"/>
          <w:sz w:val="20"/>
          <w:szCs w:val="20"/>
        </w:rPr>
      </w:pPr>
    </w:p>
    <w:p>
      <w:pPr>
        <w:tabs>
          <w:tab w:val="left" w:pos="1275"/>
        </w:tabs>
        <w:spacing w:line="240" w:lineRule="auto"/>
        <w:jc w:val="both"/>
        <w:rPr>
          <w:rFonts w:ascii="Times New Roman" w:hAnsi="Times New Roman" w:cs="Times New Roman"/>
          <w:sz w:val="20"/>
          <w:szCs w:val="20"/>
        </w:rPr>
      </w:pPr>
    </w:p>
    <w:p>
      <w:pPr>
        <w:keepNext w:val="0"/>
        <w:keepLines w:val="0"/>
        <w:pageBreakBefore w:val="0"/>
        <w:widowControl/>
        <w:kinsoku/>
        <w:wordWrap/>
        <w:overflowPunct/>
        <w:topLinePunct w:val="0"/>
        <w:autoSpaceDE/>
        <w:autoSpaceDN/>
        <w:bidi w:val="0"/>
        <w:adjustRightInd/>
        <w:snapToGrid/>
        <w:spacing w:before="120" w:after="120" w:line="240" w:lineRule="auto"/>
        <w:jc w:val="both"/>
        <w:textAlignment w:val="auto"/>
        <w:rPr>
          <w:rFonts w:hint="default" w:ascii="Times New Roman" w:hAnsi="Times New Roman" w:cs="Times New Roman"/>
          <w:b/>
          <w:sz w:val="20"/>
          <w:szCs w:val="20"/>
          <w:u w:val="none"/>
        </w:rPr>
      </w:pPr>
      <w:r>
        <w:rPr>
          <w:rFonts w:hint="default" w:ascii="Times New Roman" w:hAnsi="Times New Roman" w:cs="Times New Roman"/>
          <w:b/>
          <w:sz w:val="20"/>
          <w:szCs w:val="20"/>
          <w:u w:val="none"/>
        </w:rPr>
        <w:t>DISCUSSION</w:t>
      </w:r>
    </w:p>
    <w:p>
      <w:pPr>
        <w:pStyle w:val="21"/>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sz w:val="20"/>
          <w:szCs w:val="20"/>
        </w:rPr>
      </w:pPr>
      <w:r>
        <w:rPr>
          <w:rFonts w:ascii="Times New Roman" w:hAnsi="Times New Roman" w:cs="Times New Roman"/>
          <w:sz w:val="20"/>
          <w:szCs w:val="20"/>
        </w:rPr>
        <w:t>L’objectif de cette étude était de d</w:t>
      </w:r>
      <w:r>
        <w:rPr>
          <w:rFonts w:hint="default" w:ascii="Times New Roman" w:hAnsi="Times New Roman" w:cs="Times New Roman"/>
          <w:sz w:val="20"/>
          <w:szCs w:val="20"/>
          <w:lang w:val="fr-FR"/>
        </w:rPr>
        <w:t>é</w:t>
      </w:r>
      <w:r>
        <w:rPr>
          <w:rFonts w:ascii="Times New Roman" w:hAnsi="Times New Roman" w:cs="Times New Roman"/>
          <w:sz w:val="20"/>
          <w:szCs w:val="20"/>
        </w:rPr>
        <w:t>terminer</w:t>
      </w:r>
      <w:r>
        <w:rPr>
          <w:rFonts w:ascii="Times New Roman" w:hAnsi="Times New Roman" w:cs="Times New Roman"/>
          <w:b/>
          <w:i/>
          <w:sz w:val="20"/>
          <w:szCs w:val="20"/>
        </w:rPr>
        <w:t xml:space="preserve"> </w:t>
      </w:r>
      <w:r>
        <w:rPr>
          <w:rFonts w:ascii="Times New Roman" w:hAnsi="Times New Roman" w:cs="Times New Roman"/>
          <w:sz w:val="20"/>
          <w:szCs w:val="20"/>
        </w:rPr>
        <w:t>le profil épidémiologique, clinique, radiographique, thérapeutique et pronostic des plaies pénétrantes de l’abdomen à l’hôpital Laquintinie de la ville de Douala au Cameroun. Nous avons admis pendant la période d’étude 37 patients chez qui nous avons diagnostiqué une PPA.</w:t>
      </w:r>
    </w:p>
    <w:p>
      <w:pPr>
        <w:pStyle w:val="21"/>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sz w:val="20"/>
          <w:szCs w:val="20"/>
          <w:lang w:val="en-US"/>
        </w:rPr>
      </w:pPr>
      <w:r>
        <w:rPr>
          <w:rFonts w:ascii="Times New Roman" w:hAnsi="Times New Roman" w:cs="Times New Roman"/>
          <w:sz w:val="20"/>
          <w:szCs w:val="20"/>
        </w:rPr>
        <w:t>Les PPA sont retrouvées dans un contexte de violence personnelles et accidentelles. Dans ces situations, la population jeune est gén</w:t>
      </w:r>
      <w:r>
        <w:rPr>
          <w:rFonts w:hint="default" w:ascii="Times New Roman" w:hAnsi="Times New Roman" w:cs="Times New Roman"/>
          <w:sz w:val="20"/>
          <w:szCs w:val="20"/>
          <w:lang w:val="fr-FR"/>
        </w:rPr>
        <w:t>é</w:t>
      </w:r>
      <w:r>
        <w:rPr>
          <w:rFonts w:ascii="Times New Roman" w:hAnsi="Times New Roman" w:cs="Times New Roman"/>
          <w:sz w:val="20"/>
          <w:szCs w:val="20"/>
        </w:rPr>
        <w:t xml:space="preserve">ralement impliquée de part son nombre </w:t>
      </w:r>
      <w:r>
        <w:rPr>
          <w:rFonts w:ascii="Times New Roman" w:hAnsi="Times New Roman" w:cs="Times New Roman"/>
          <w:sz w:val="20"/>
          <w:szCs w:val="20"/>
          <w:lang w:val="fr-FR"/>
        </w:rPr>
        <w:t>élevé</w:t>
      </w:r>
      <w:r>
        <w:rPr>
          <w:rFonts w:ascii="Times New Roman" w:hAnsi="Times New Roman" w:cs="Times New Roman"/>
          <w:sz w:val="20"/>
          <w:szCs w:val="20"/>
        </w:rPr>
        <w:t xml:space="preserve"> et ses activit</w:t>
      </w:r>
      <w:r>
        <w:rPr>
          <w:rFonts w:hint="default" w:ascii="Times New Roman" w:hAnsi="Times New Roman" w:cs="Times New Roman"/>
          <w:sz w:val="20"/>
          <w:szCs w:val="20"/>
          <w:lang w:val="fr-FR"/>
        </w:rPr>
        <w:t>é</w:t>
      </w:r>
      <w:r>
        <w:rPr>
          <w:rFonts w:ascii="Times New Roman" w:hAnsi="Times New Roman" w:cs="Times New Roman"/>
          <w:sz w:val="20"/>
          <w:szCs w:val="20"/>
        </w:rPr>
        <w:t>s. Dans notre série l</w:t>
      </w:r>
      <w:r>
        <w:rPr>
          <w:rFonts w:ascii="Times New Roman" w:hAnsi="Times New Roman" w:eastAsia="Times New Roman" w:cs="Times New Roman"/>
          <w:color w:val="000000"/>
          <w:sz w:val="20"/>
          <w:szCs w:val="20"/>
        </w:rPr>
        <w:t>’âge moyen de nos patients était de 27 ans avec des extrêmes de 2 et 68 ans.</w:t>
      </w:r>
      <w:r>
        <w:rPr>
          <w:rFonts w:hint="default" w:ascii="Times New Roman" w:hAnsi="Times New Roman" w:eastAsia="Times New Roman" w:cs="Times New Roman"/>
          <w:color w:val="000000"/>
          <w:sz w:val="20"/>
          <w:szCs w:val="20"/>
          <w:lang w:val="fr-FR"/>
        </w:rPr>
        <w:t xml:space="preserve"> </w:t>
      </w:r>
      <w:r>
        <w:rPr>
          <w:rFonts w:ascii="Times New Roman" w:hAnsi="Times New Roman" w:eastAsia="Times New Roman" w:cs="Times New Roman"/>
          <w:color w:val="000000"/>
          <w:sz w:val="20"/>
          <w:szCs w:val="20"/>
        </w:rPr>
        <w:t>La classe d’âge la plus représent</w:t>
      </w:r>
      <w:r>
        <w:rPr>
          <w:rFonts w:hint="default" w:ascii="Times New Roman" w:hAnsi="Times New Roman" w:eastAsia="Times New Roman" w:cs="Times New Roman"/>
          <w:color w:val="000000"/>
          <w:sz w:val="20"/>
          <w:szCs w:val="20"/>
          <w:lang w:val="fr-FR"/>
        </w:rPr>
        <w:t>ée</w:t>
      </w:r>
      <w:r>
        <w:rPr>
          <w:rFonts w:ascii="Times New Roman" w:hAnsi="Times New Roman" w:eastAsia="Times New Roman" w:cs="Times New Roman"/>
          <w:color w:val="000000"/>
          <w:sz w:val="20"/>
          <w:szCs w:val="20"/>
        </w:rPr>
        <w:t xml:space="preserve"> était </w:t>
      </w:r>
      <w:r>
        <w:rPr>
          <w:rFonts w:hint="default" w:ascii="Times New Roman" w:hAnsi="Times New Roman" w:eastAsia="Times New Roman" w:cs="Times New Roman"/>
          <w:color w:val="000000"/>
          <w:sz w:val="20"/>
          <w:szCs w:val="20"/>
          <w:lang w:val="fr-FR"/>
        </w:rPr>
        <w:t xml:space="preserve">la tranche </w:t>
      </w:r>
      <w:r>
        <w:rPr>
          <w:rFonts w:ascii="Times New Roman" w:hAnsi="Times New Roman" w:eastAsia="Times New Roman" w:cs="Times New Roman"/>
          <w:color w:val="000000"/>
          <w:sz w:val="20"/>
          <w:szCs w:val="20"/>
        </w:rPr>
        <w:t xml:space="preserve">de 20 à 29 ans </w:t>
      </w:r>
      <w:r>
        <w:rPr>
          <w:rFonts w:hint="default" w:ascii="Times New Roman" w:hAnsi="Times New Roman" w:eastAsia="Times New Roman" w:cs="Times New Roman"/>
          <w:color w:val="000000"/>
          <w:sz w:val="20"/>
          <w:szCs w:val="20"/>
          <w:lang w:val="fr-FR"/>
        </w:rPr>
        <w:t>à</w:t>
      </w:r>
      <w:r>
        <w:rPr>
          <w:rFonts w:ascii="Times New Roman" w:hAnsi="Times New Roman" w:eastAsia="Times New Roman" w:cs="Times New Roman"/>
          <w:color w:val="000000"/>
          <w:sz w:val="20"/>
          <w:szCs w:val="20"/>
        </w:rPr>
        <w:t xml:space="preserve"> 37,8% de notre population d’étude.</w:t>
      </w:r>
      <w:r>
        <w:rPr>
          <w:rFonts w:ascii="Times New Roman" w:hAnsi="Times New Roman" w:cs="Times New Roman"/>
          <w:sz w:val="20"/>
          <w:szCs w:val="20"/>
        </w:rPr>
        <w:t xml:space="preserve"> Ce r</w:t>
      </w:r>
      <w:r>
        <w:rPr>
          <w:rFonts w:hint="default" w:ascii="Times New Roman" w:hAnsi="Times New Roman" w:cs="Times New Roman"/>
          <w:sz w:val="20"/>
          <w:szCs w:val="20"/>
          <w:lang w:val="fr-FR"/>
        </w:rPr>
        <w:t>é</w:t>
      </w:r>
      <w:r>
        <w:rPr>
          <w:rFonts w:ascii="Times New Roman" w:hAnsi="Times New Roman" w:cs="Times New Roman"/>
          <w:sz w:val="20"/>
          <w:szCs w:val="20"/>
        </w:rPr>
        <w:t xml:space="preserve">sultat est similaire à des travaux menés au Cameroun en 1992, au Tchad en 2016 </w:t>
      </w:r>
      <w:r>
        <w:rPr>
          <w:rFonts w:ascii="Times New Roman" w:hAnsi="Times New Roman" w:cs="Times New Roman"/>
          <w:sz w:val="20"/>
          <w:szCs w:val="20"/>
          <w:lang w:val="en-US"/>
        </w:rPr>
        <w:fldChar w:fldCharType="begin"/>
      </w:r>
      <w:r>
        <w:rPr>
          <w:rFonts w:ascii="Times New Roman" w:hAnsi="Times New Roman" w:cs="Times New Roman"/>
          <w:sz w:val="20"/>
          <w:szCs w:val="20"/>
        </w:rPr>
        <w:instrText xml:space="preserve"> ADDIN ZOTERO_ITEM CSL_CITATION {"citationID":"JeYBD4Rb","properties":{"formattedCitation":"(6)","plainCitation":"(6)","noteIndex":0},"citationItems":[{"id":573,"uris":["http://zotero.org/users/5416333/items/NCA4RUGT"],"uri":["http://zotero.org/users/5416333/items/NCA4RUGT"],"itemData":{"id":573,"type":"article-journal","title":"Les Plaies Penetrantes Par Armes Blanches Et A Feu A N’djamena, Tchad: Une Epidemie Silencieuse ?","container-title":"European Scientific Journal, ESJ","page":"180","volume":"12","issue":"9","source":"eujournal.org","abstract":"Aim: the aim of this study was to report the experience of the General Hospital of National Reference in N'djamena (Chad) in the management of penetrating wounds. Patients and methods: This was a prospective study ranging from 01/07/2013 to 30/06/2014. Were included all patients undergoing penetrating stab or firearm wound. The studied variables were: age, sex, and type of trauma, prehospital delay, transport, and the treatment. The length of hospital stay, morbidity and mortality were also studied. Results: the series included 129 patients: 120 men (93%) and 9 women (7%). penetrating trauma constituted 22.7% of the 569 surgical emergency admissions. They were caused by a knife and a gun in respectively 112 (77.5%) and 17 (13.2%) patients. Brawls and assaults were the cause of trauma in 78 cases, respectively (60.5%) and 47 cases (36.4%). The cause was accidental in 4 cases (3.1%). The most used wounding agent was the knife in 100 cases (77.5%), followed by firearms in 17 cases (13.2%) and other sharp objects in 12 cases (9.3%). The admission average time was 3,7h. Patients arrived mostly by public transport. Penetrating wounds were respectively 67 cases in thoracic, 50 cases in abdominal and in 2 intracerebral cases. Treating chest wounds included: in 50.7% of cases right thoracic drain, 46.3% of left thoracic drain and 3% of bilateral thoracic drain. For abdominal penetrating wounds laparotomy was the rule. Surgical treatment in these cases: 6 gastric sutures, 25 sutures and 4 resection of the small intestine, and 10 sutures, plus 2 resections of the colon, 3 negative laparotomies. Similarly, the diaphragm, the liver, and spleen injuries had proper treatment. Elsewhere, two intra brain knives were extracted. The average stay was 8.9 days. Morbidity was 6.2% and mortality 3.1%. Conclusion: penetrating trauma is a real public health problem in N'Djamena related to brawls and aggressions. Knife is the most used agent.","DOI":"10.19044/esj.2016.v12n9p180","ISSN":"18577431","shortTitle":"Les Plaies Penetrantes Par Armes Blanches Et A Feu A N’djamena, Tchad","language":"en","author":[{"family":"O","given":"Choua"},{"family":"K","given":"Rimtebaye"},{"family":"M","given":"Adam Adami"},{"family":"G","give</w:instrText>
      </w:r>
      <w:r>
        <w:rPr>
          <w:rFonts w:ascii="Times New Roman" w:hAnsi="Times New Roman" w:cs="Times New Roman"/>
          <w:sz w:val="20"/>
          <w:szCs w:val="20"/>
          <w:lang w:val="en-US"/>
        </w:rPr>
        <w:instrText xml:space="preserve">n":"Bekoutou"},{"family":"A","given":"Anour M."}],"issued":{"date-parts":[["2016",3,30]]}}}],"schema":"https://github.com/citation-style-language/schema/raw/master/csl-citation.json"} </w:instrText>
      </w:r>
      <w:r>
        <w:rPr>
          <w:rFonts w:ascii="Times New Roman" w:hAnsi="Times New Roman" w:cs="Times New Roman"/>
          <w:sz w:val="20"/>
          <w:szCs w:val="20"/>
          <w:lang w:val="en-US"/>
        </w:rPr>
        <w:fldChar w:fldCharType="separate"/>
      </w:r>
      <w:r>
        <w:rPr>
          <w:rFonts w:ascii="Times New Roman" w:hAnsi="Times New Roman" w:cs="Times New Roman"/>
          <w:sz w:val="20"/>
          <w:szCs w:val="20"/>
        </w:rPr>
        <w:t>(6)</w:t>
      </w:r>
      <w:r>
        <w:rPr>
          <w:rFonts w:ascii="Times New Roman" w:hAnsi="Times New Roman" w:cs="Times New Roman"/>
          <w:sz w:val="20"/>
          <w:szCs w:val="20"/>
          <w:lang w:val="en-US"/>
        </w:rPr>
        <w:fldChar w:fldCharType="end"/>
      </w:r>
      <w:r>
        <w:rPr>
          <w:rFonts w:ascii="Times New Roman" w:hAnsi="Times New Roman" w:cs="Times New Roman"/>
          <w:sz w:val="20"/>
          <w:szCs w:val="20"/>
          <w:lang w:val="en-US"/>
        </w:rPr>
        <w:t xml:space="preserve">et au Congo Brazzaville en 2017 </w:t>
      </w:r>
      <w:r>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ZOTERO_ITEM CSL_CITATION {"citationID":"gVbYrj2v","properties":{"formattedCitation":"(11)","plainCitation":"(11)","noteIndex":0},"citationItems":[{"id":571,"uris":["http://zotero.org/users/5416333/items/MMHNA4SP"],"uri":["http://zotero.org/users/5416333/items/MMHNA4SP"],"itemData":{"id":571,"type":"article-journal","title":"Management of penetrant abdominal wounds at the teaching university hospital of Brazzaville, Congo","container-title":"Management","volume":"2","issue":"5","author":[{"family":"Massamba Miabaou","given":"D."},{"family":"Bhodheo","given":"M."},{"family":"Note Madzele","given":"M."},{"family":"Motoula Latou","given":"N."},{"family":"Nzaka Moukala","given":"C."},{"family":"Tsouassa Wangono","given":"G."}],"issued":{"date-parts":[["2017"]]}}}],"schema":"https://github.com/citation-style-language/schema/raw/master/csl-citation.json"} </w:instrText>
      </w:r>
      <w:r>
        <w:rPr>
          <w:rFonts w:ascii="Times New Roman" w:hAnsi="Times New Roman" w:cs="Times New Roman"/>
          <w:sz w:val="20"/>
          <w:szCs w:val="20"/>
          <w:lang w:val="en-US"/>
        </w:rPr>
        <w:fldChar w:fldCharType="separate"/>
      </w:r>
      <w:r>
        <w:rPr>
          <w:rFonts w:ascii="Times New Roman" w:hAnsi="Times New Roman" w:cs="Times New Roman"/>
          <w:sz w:val="20"/>
          <w:szCs w:val="20"/>
        </w:rPr>
        <w:t>(11)</w:t>
      </w:r>
      <w:r>
        <w:rPr>
          <w:rFonts w:ascii="Times New Roman" w:hAnsi="Times New Roman" w:cs="Times New Roman"/>
          <w:sz w:val="20"/>
          <w:szCs w:val="20"/>
          <w:lang w:val="en-US"/>
        </w:rPr>
        <w:fldChar w:fldCharType="end"/>
      </w:r>
      <w:r>
        <w:rPr>
          <w:rFonts w:ascii="Times New Roman" w:hAnsi="Times New Roman" w:cs="Times New Roman"/>
          <w:sz w:val="20"/>
          <w:szCs w:val="20"/>
          <w:lang w:val="en-US"/>
        </w:rPr>
        <w:t>.</w:t>
      </w:r>
    </w:p>
    <w:p>
      <w:pPr>
        <w:pStyle w:val="21"/>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Les hommes ont des attitudes plus à risques que les femmes</w:t>
      </w:r>
      <w:r>
        <w:rPr>
          <w:rFonts w:hint="default" w:ascii="Times New Roman" w:hAnsi="Times New Roman" w:eastAsia="Times New Roman" w:cs="Times New Roman"/>
          <w:color w:val="000000"/>
          <w:sz w:val="20"/>
          <w:szCs w:val="20"/>
          <w:lang w:val="fr-FR"/>
        </w:rPr>
        <w:t>,</w:t>
      </w:r>
      <w:r>
        <w:rPr>
          <w:rFonts w:ascii="Times New Roman" w:hAnsi="Times New Roman" w:eastAsia="Times New Roman" w:cs="Times New Roman"/>
          <w:color w:val="000000"/>
          <w:sz w:val="20"/>
          <w:szCs w:val="20"/>
        </w:rPr>
        <w:t xml:space="preserve"> s’exposant aux rixes. Ces attitudes les exposent plus que les femmes au PPA. Cela a été démontré par notre étude qui a retrouvé un sex ratio était de 8,25 soit 33:4. Ce r</w:t>
      </w:r>
      <w:r>
        <w:rPr>
          <w:rFonts w:hint="default" w:ascii="Times New Roman" w:hAnsi="Times New Roman" w:eastAsia="Times New Roman" w:cs="Times New Roman"/>
          <w:color w:val="000000"/>
          <w:sz w:val="20"/>
          <w:szCs w:val="20"/>
          <w:lang w:val="fr-FR"/>
        </w:rPr>
        <w:t>é</w:t>
      </w:r>
      <w:r>
        <w:rPr>
          <w:rFonts w:ascii="Times New Roman" w:hAnsi="Times New Roman" w:eastAsia="Times New Roman" w:cs="Times New Roman"/>
          <w:color w:val="000000"/>
          <w:sz w:val="20"/>
          <w:szCs w:val="20"/>
        </w:rPr>
        <w:t xml:space="preserve">sultat est proche des données retrouvées en Afrique du sud </w:t>
      </w:r>
      <w:r>
        <w:rPr>
          <w:rFonts w:ascii="Times New Roman" w:hAnsi="Times New Roman" w:eastAsia="Times New Roman" w:cs="Times New Roman"/>
          <w:color w:val="000000"/>
          <w:sz w:val="20"/>
          <w:szCs w:val="20"/>
          <w:lang w:val="en-US"/>
        </w:rPr>
        <w:fldChar w:fldCharType="begin"/>
      </w:r>
      <w:r>
        <w:rPr>
          <w:rFonts w:ascii="Times New Roman" w:hAnsi="Times New Roman" w:eastAsia="Times New Roman" w:cs="Times New Roman"/>
          <w:color w:val="000000"/>
          <w:sz w:val="20"/>
          <w:szCs w:val="20"/>
        </w:rPr>
        <w:instrText xml:space="preserve"> ADDIN ZOTERO_ITEM CSL_CITATION {"citationID":"uRbqPhpX","properties":{"formattedCitation":"(12)","plainCitation":"(12)","noteIndex":0},"citationItems":[{"id":579,"uris":["http://zotero.org/users/5416333/items/EW9UXFEU"],"uri":["http://zotero.org/users/5416333/items/EW9UXFEU"],"itemData":{"id":579,"type":"article-journal","title":"Abdominal Trauma in Durban, South Africa: Factors Influencing Outcome","container-title":"International Surgery","page":"161-168","volume":"97","issue":"2","source":"PubMed Central","abstract":"Abdominal injury as a result of both blunt and penetrating trauma has an appreciable mortality rate from hemorrhage and sepsis. In this article, we present our experience with the management of abdominal trauma in Durban and investigate factors that influence outcome. We performed a prospective study of patients with abdominal trauma in one surgical ward at King Edward VIII Hospital in Durban over a period of 7 years, from 1998 through 2004. Demographic details, cause of injury, delay before surgery, clinical presentation, findings at surgery, management and outcome were documented. There were 488 patients with abdominal trauma with a mean age of 29.2 ± 10.7 years. There were 440 penetrating injuries (240 firearm wounds; 200 stab wounds) and 48 blunt injuries. The mean delay before surgery was 11.7 ± 16.4 hours, and 55 patients (11%) presented in shock. Four hundred and forty patients underwent laparotomy, and 48 were managed nonoperatively. The Injury Severity Score was 11.1 ± 6.7, and the New Injury Severity Score was 17.1 ± 11.1. One hundred and thirty-seven patients (28%) were admitted to the intensive care unit (ICU), with a mean ICU stay of 3.6 ± 5.5 days. One hundred and thirty-two patients developed complications (28%), and 52 (11%) died. Shock, acidosis, increased transfusion requirements, number of organs injured, and injury severity were all associated with higher mortality. Delay before surgery had no influence on outcome. Hospital stay was 9.2 ± 10.8 days. The majority of abdominal injuries in our environment are due to firearms. Physiological instability, mechanism of injury, severity of injury, and the number of organs injured influence outcome.","DOI":"10.9738/CC84.1","ISSN":"0020-8868","note":"PMID: 23102083\nPMCID: PMC3723215","shortTitle":"Abdominal Trauma in Durban, South Africa","journalAbbreviation":"Int Surg","author":[{"family":"Mnguni","given":"M.N."},{"family":"Muckart","given":"D.J.J."},{"family":"Madiba","given":"T.E."}],"issued":{"date-parts":[["2012"]]}}}],"schema":"https://github.com/citation-style-language/schema/raw/master/csl-citation.json"} </w:instrText>
      </w:r>
      <w:r>
        <w:rPr>
          <w:rFonts w:ascii="Times New Roman" w:hAnsi="Times New Roman" w:eastAsia="Times New Roman" w:cs="Times New Roman"/>
          <w:color w:val="000000"/>
          <w:sz w:val="20"/>
          <w:szCs w:val="20"/>
          <w:lang w:val="en-US"/>
        </w:rPr>
        <w:fldChar w:fldCharType="separate"/>
      </w:r>
      <w:r>
        <w:rPr>
          <w:rFonts w:ascii="Times New Roman" w:hAnsi="Times New Roman" w:cs="Times New Roman"/>
          <w:sz w:val="20"/>
          <w:szCs w:val="20"/>
        </w:rPr>
        <w:t>(12)</w:t>
      </w:r>
      <w:r>
        <w:rPr>
          <w:rFonts w:ascii="Times New Roman" w:hAnsi="Times New Roman" w:eastAsia="Times New Roman" w:cs="Times New Roman"/>
          <w:color w:val="000000"/>
          <w:sz w:val="20"/>
          <w:szCs w:val="20"/>
          <w:lang w:val="en-US"/>
        </w:rPr>
        <w:fldChar w:fldCharType="end"/>
      </w:r>
      <w:r>
        <w:rPr>
          <w:rFonts w:ascii="Times New Roman" w:hAnsi="Times New Roman" w:eastAsia="Times New Roman" w:cs="Times New Roman"/>
          <w:color w:val="000000"/>
          <w:sz w:val="20"/>
          <w:szCs w:val="20"/>
        </w:rPr>
        <w:t xml:space="preserve">, en </w:t>
      </w:r>
      <w:r>
        <w:rPr>
          <w:rFonts w:ascii="Times New Roman" w:hAnsi="Times New Roman" w:eastAsia="Times New Roman" w:cs="Times New Roman"/>
          <w:color w:val="000000"/>
          <w:sz w:val="20"/>
          <w:szCs w:val="20"/>
          <w:lang w:val="fr-FR"/>
        </w:rPr>
        <w:t>Égypte</w:t>
      </w:r>
      <w:r>
        <w:rPr>
          <w:rFonts w:ascii="Times New Roman" w:hAnsi="Times New Roman" w:eastAsia="Times New Roman" w:cs="Times New Roman"/>
          <w:color w:val="000000"/>
          <w:sz w:val="20"/>
          <w:szCs w:val="20"/>
        </w:rPr>
        <w:t xml:space="preserve"> </w:t>
      </w:r>
      <w:r>
        <w:rPr>
          <w:rFonts w:ascii="Times New Roman" w:hAnsi="Times New Roman" w:eastAsia="Times New Roman" w:cs="Times New Roman"/>
          <w:color w:val="000000"/>
          <w:sz w:val="20"/>
          <w:szCs w:val="20"/>
          <w:lang w:val="en-US"/>
        </w:rPr>
        <w:fldChar w:fldCharType="begin"/>
      </w:r>
      <w:r>
        <w:rPr>
          <w:rFonts w:ascii="Times New Roman" w:hAnsi="Times New Roman" w:eastAsia="Times New Roman" w:cs="Times New Roman"/>
          <w:color w:val="000000"/>
          <w:sz w:val="20"/>
          <w:szCs w:val="20"/>
        </w:rPr>
        <w:instrText xml:space="preserve"> ADDIN ZOTERO_ITEM CSL_CITATION {"citationID":"FenwjO2r","properties":{"formattedCitation":"(13)","plainCitation":"(13)","noteIndex":0},"citationItems":[{"id":576,"uris":["http://zotero.org/users/5416333/items/KE59TZ9W"],"uri":["http://zotero.org/users/5416333/items/KE59TZ9W"],"itemData":{"id":576,"type":"article-journal","title":"Penetrating Abdominal Injuries: Pattern and Outcome of Management in Khartoum","container-title":"International Journal of Clinical Medicine","volume":"2014","source":"file.scirp.org","abstract":"Background: The pattern and presentation of penetrating abdominal trauma vary according to places and the structure of the present health system. As well controversies in management exist ranging from mandatory exploration to selective non-operative management. Objectives: To determine the pattern of penetrating abdominal trauma, current management practiced and outcome in Khartoum. Patients and Methods: The study was prospective, descriptive and hospital-based. It was carried out at the main three hospitals in Khartoum State. It was conducted over a period of one year from 2012 Mar to 2013 Mar. All patients who presented penetrating injury to their abdomen were included. Results: The study included 85 patients with a mean age of 28 years (SD ± 10). The male to female ratio was 11:1. Most of the patients (89.4%) were in the first four decades of their life. Twenty-three patients (27.1%) presented shock. Stab wound is the commonest mode of trauma seen in 83.5% of our patients. The majority of our patients were managed by exploratory laparotomy (81.2%), however 16 (18.8%) underwent conservative measures. Of the operated group, solid organ injuries were found in 22.9%, yet hollow viscous injuries were reported in 86.9% of the patients. Registrars operated on 78.26% of the patients. The rate of negative laparotomy of this study was 8.7%. Complications and mortality were encountered in 25.9% and 4.7% respectively. The mean hospital stay was 8.47 days (SD ± 10.6). Conclusion: This study demonstrates no difference in the pattern of intra-abdominal injuries. The rate of operative treatment is acceptable, but more laparotomies can be avoided if the haemodynamic stable patients without features of peritonitis were given a period of observation. The overall outcome was satisfactory.","URL":"http://www.scirp.org/journal/PaperInformation.aspx?PaperID=41736","DOI":"10.4236/ijcm.2014.51004","ISSN":"2158-2882","shortTitle":"Penetrating Abdominal Injuries","language":"en","author":[{"family":"Omer","given":"Maha Yassin"},{"family":"Hamza","given":"Aamir Abdullahi"},{"family":"Musa","given":"Mohammed Toum"}],"issued":{"date-parts":[["2014",1,7]]},"accessed":{"date-parts":[["2019",2,7]]}}}],"schema":"https://github.com/citation-style-language/schema/raw/master/csl-citation.json"} </w:instrText>
      </w:r>
      <w:r>
        <w:rPr>
          <w:rFonts w:ascii="Times New Roman" w:hAnsi="Times New Roman" w:eastAsia="Times New Roman" w:cs="Times New Roman"/>
          <w:color w:val="000000"/>
          <w:sz w:val="20"/>
          <w:szCs w:val="20"/>
          <w:lang w:val="en-US"/>
        </w:rPr>
        <w:fldChar w:fldCharType="separate"/>
      </w:r>
      <w:r>
        <w:rPr>
          <w:rFonts w:ascii="Times New Roman" w:hAnsi="Times New Roman" w:cs="Times New Roman"/>
          <w:sz w:val="20"/>
          <w:szCs w:val="20"/>
        </w:rPr>
        <w:t>(13)</w:t>
      </w:r>
      <w:r>
        <w:rPr>
          <w:rFonts w:ascii="Times New Roman" w:hAnsi="Times New Roman" w:eastAsia="Times New Roman" w:cs="Times New Roman"/>
          <w:color w:val="000000"/>
          <w:sz w:val="20"/>
          <w:szCs w:val="20"/>
          <w:lang w:val="en-US"/>
        </w:rPr>
        <w:fldChar w:fldCharType="end"/>
      </w:r>
      <w:r>
        <w:rPr>
          <w:rFonts w:ascii="Times New Roman" w:hAnsi="Times New Roman" w:eastAsia="Times New Roman" w:cs="Times New Roman"/>
          <w:color w:val="000000"/>
          <w:sz w:val="20"/>
          <w:szCs w:val="20"/>
        </w:rPr>
        <w:t xml:space="preserve"> et au bénin qui sont respectivement de 12:1, 11:1 et 7,17 au Bénin </w:t>
      </w:r>
      <w:r>
        <w:rPr>
          <w:rFonts w:ascii="Times New Roman" w:hAnsi="Times New Roman" w:eastAsia="Times New Roman" w:cs="Times New Roman"/>
          <w:color w:val="000000"/>
          <w:sz w:val="20"/>
          <w:szCs w:val="20"/>
          <w:lang w:val="en-US"/>
        </w:rPr>
        <w:fldChar w:fldCharType="begin"/>
      </w:r>
      <w:r>
        <w:rPr>
          <w:rFonts w:ascii="Times New Roman" w:hAnsi="Times New Roman" w:eastAsia="Times New Roman" w:cs="Times New Roman"/>
          <w:color w:val="000000"/>
          <w:sz w:val="20"/>
          <w:szCs w:val="20"/>
        </w:rPr>
        <w:instrText xml:space="preserve"> ADDIN ZOTERO_ITEM CSL_CITATION {"citationID":"NzEEM0zM","properties":{"formattedCitation":"(14)","plainCitation":"(14)","noteIndex":0},"citationItems":[{"id":636,"uris":["http://zotero.org/users/5416333/items/RSFGAZ6G"],"uri":["http://zotero.org/users/5416333/items/RSFGAZ6G"],"itemData":{"id":636,"type":"article-journal","title":"Aspects Épidémiologiques, Diagnostiques Et Thérapeutiques Des Traumatismes Abdominaux À Bembéréké-Nord Bénin","container-title":"European Scientific Journal, ESJ","page":"395","volume":"12","issue":"9","source":"Crossref","DOI":"10.19044/esj.2016.v12n9p395","ISSN":"18577431, 18577881","author":[{"family":"Sambo","given":"Bio Tamou"},{"family":"Hodonou","given":"Adrien Montcho"},{"family":"Allode","given":"Alexandre Salako"},{"family":"Mensah","given":"Emile"},{"family":"Youssouf","given":"Mohamed"},{"family":"Menhinto","given":"Delphin"}],"issued":{"date-parts":[["2016",3,30]]}}}],"schema":"https://github.com/citation-style-language/schema/raw/master/csl-citation.json"} </w:instrText>
      </w:r>
      <w:r>
        <w:rPr>
          <w:rFonts w:ascii="Times New Roman" w:hAnsi="Times New Roman" w:eastAsia="Times New Roman" w:cs="Times New Roman"/>
          <w:color w:val="000000"/>
          <w:sz w:val="20"/>
          <w:szCs w:val="20"/>
          <w:lang w:val="en-US"/>
        </w:rPr>
        <w:fldChar w:fldCharType="separate"/>
      </w:r>
      <w:r>
        <w:rPr>
          <w:rFonts w:ascii="Times New Roman" w:hAnsi="Times New Roman" w:cs="Times New Roman"/>
          <w:sz w:val="20"/>
          <w:szCs w:val="20"/>
        </w:rPr>
        <w:t>(14)</w:t>
      </w:r>
      <w:r>
        <w:rPr>
          <w:rFonts w:ascii="Times New Roman" w:hAnsi="Times New Roman" w:eastAsia="Times New Roman" w:cs="Times New Roman"/>
          <w:color w:val="000000"/>
          <w:sz w:val="20"/>
          <w:szCs w:val="20"/>
          <w:lang w:val="en-US"/>
        </w:rPr>
        <w:fldChar w:fldCharType="end"/>
      </w:r>
      <w:r>
        <w:rPr>
          <w:rFonts w:ascii="Times New Roman" w:hAnsi="Times New Roman" w:eastAsia="Times New Roman" w:cs="Times New Roman"/>
          <w:color w:val="000000"/>
          <w:sz w:val="20"/>
          <w:szCs w:val="20"/>
        </w:rPr>
        <w:t>.</w:t>
      </w:r>
    </w:p>
    <w:p>
      <w:pPr>
        <w:pStyle w:val="21"/>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Times New Roman" w:cs="Times New Roman"/>
          <w:sz w:val="20"/>
          <w:szCs w:val="20"/>
        </w:rPr>
      </w:pPr>
      <w:r>
        <w:rPr>
          <w:rFonts w:ascii="Times New Roman" w:hAnsi="Times New Roman" w:eastAsia="Times New Roman" w:cs="Times New Roman"/>
          <w:sz w:val="20"/>
          <w:szCs w:val="20"/>
        </w:rPr>
        <w:t>Une moyenne mensuelle de 7,4 des PPA a été obtenue. Deux (2) pics en décembre et en février soit respectivement 32,4%</w:t>
      </w:r>
      <w:r>
        <w:rPr>
          <w:rFonts w:hint="default" w:ascii="Times New Roman" w:hAnsi="Times New Roman" w:eastAsia="Times New Roman" w:cs="Times New Roman"/>
          <w:sz w:val="20"/>
          <w:szCs w:val="20"/>
          <w:lang w:val="fr-FR"/>
        </w:rPr>
        <w:t xml:space="preserve"> avec 12 cas</w:t>
      </w:r>
      <w:r>
        <w:rPr>
          <w:rFonts w:ascii="Times New Roman" w:hAnsi="Times New Roman" w:eastAsia="Times New Roman" w:cs="Times New Roman"/>
          <w:sz w:val="20"/>
          <w:szCs w:val="20"/>
        </w:rPr>
        <w:t xml:space="preserve"> et 27%</w:t>
      </w:r>
      <w:r>
        <w:rPr>
          <w:rFonts w:hint="default" w:ascii="Times New Roman" w:hAnsi="Times New Roman" w:eastAsia="Times New Roman" w:cs="Times New Roman"/>
          <w:sz w:val="20"/>
          <w:szCs w:val="20"/>
          <w:lang w:val="fr-FR"/>
        </w:rPr>
        <w:t xml:space="preserve"> avec 10 cas.</w:t>
      </w:r>
      <w:r>
        <w:rPr>
          <w:rFonts w:ascii="Times New Roman" w:hAnsi="Times New Roman" w:eastAsia="Times New Roman" w:cs="Times New Roman"/>
          <w:sz w:val="20"/>
          <w:szCs w:val="20"/>
        </w:rPr>
        <w:t xml:space="preserve"> Ces deux mois sont caractérisés par une augmentation des activités nocturnes. En effet ces mois sont marqués par des fêtes exposant les jeunes à des agressions. Des données similaires ont été retrouvées en Algérie </w:t>
      </w:r>
      <w:r>
        <w:rPr>
          <w:rFonts w:ascii="Times New Roman" w:hAnsi="Times New Roman" w:eastAsia="Times New Roman" w:cs="Times New Roman"/>
          <w:sz w:val="20"/>
          <w:szCs w:val="20"/>
          <w:lang w:val="en-US"/>
        </w:rPr>
        <w:fldChar w:fldCharType="begin"/>
      </w:r>
      <w:r>
        <w:rPr>
          <w:rFonts w:ascii="Times New Roman" w:hAnsi="Times New Roman" w:eastAsia="Times New Roman" w:cs="Times New Roman"/>
          <w:sz w:val="20"/>
          <w:szCs w:val="20"/>
        </w:rPr>
        <w:instrText xml:space="preserve"> ADDIN ZOTERO_ITEM CSL_CITATION {"citationID":"apo0c4Bt","properties":{"formattedCitation":"(1)","plainCitation":"(1)","noteIndex":0},"citationItems":[{"id":440,"uris":["http://zotero.org/users/5416333/items/RCMYWURN"],"uri":["http://zotero.org/users/5416333/items/RCMYWURN"],"itemData":{"id":440,"type":"thesis","title":"Les traumatismes de l'abdomen","publisher":"Université de béjaia","genre":"Thesis","source":"bibliomedecine.univ-bejaia.dz","abstract":"Les traumatismes de l’abdomen sont une pathologie de plus en plus fréquente dans la pratique quotidienne aux urgences, cela est probablement dû à l’augmentation du nombre d’accidents de la circulation vu l’extension du parc automobile et le non-respect du code de la route. \nNous avons mené une étude rétrospective secondairement prospective ayant porté sur les traumatismes de l’abdomen fermés ou ouverts, isolés ou associés. Ont été inclus dans notre étude les patients ayant un dossier médical, hospitalisés au service de chirurgie viscérale et d’anesthésie réanimation du CHU KHELIL AMRANE sur une période de deux ans et quatre mois allant du 1 er janvier 2016 au 30 avril 2018, et ont été exclus les patients de moins de 15 et 3mois et les patients n’ayant pas un dossier médical exploitable. \nOn a colligé 64 cas, 92,2% de sexe masculin, 7,8% de sexe féminin, la tranche d’âge la plus touchée est de 15 à 30ans avec un âge moyen de 34,4 ans……………","URL":"http://172.17.1.105:8080/handle/123456789/11400","language":"fr","author":[{"family":"Benabbas","given":"Hassiba"},{"family":"Benachour","given":"Kenza"}],"issued":{"date-parts":[["2018",7,1]]},"accessed":{"date-parts":[["2019",1,18]]}}}],"schema":"https://github.com/citation-style-language/schema/raw/master/csl-citation.json"} </w:instrText>
      </w:r>
      <w:r>
        <w:rPr>
          <w:rFonts w:ascii="Times New Roman" w:hAnsi="Times New Roman" w:eastAsia="Times New Roman" w:cs="Times New Roman"/>
          <w:sz w:val="20"/>
          <w:szCs w:val="20"/>
          <w:lang w:val="en-US"/>
        </w:rPr>
        <w:fldChar w:fldCharType="separate"/>
      </w:r>
      <w:r>
        <w:rPr>
          <w:rFonts w:ascii="Times New Roman" w:hAnsi="Times New Roman" w:cs="Times New Roman"/>
          <w:sz w:val="20"/>
          <w:szCs w:val="20"/>
        </w:rPr>
        <w:t>(1)</w:t>
      </w:r>
      <w:r>
        <w:rPr>
          <w:rFonts w:ascii="Times New Roman" w:hAnsi="Times New Roman" w:eastAsia="Times New Roman" w:cs="Times New Roman"/>
          <w:sz w:val="20"/>
          <w:szCs w:val="20"/>
          <w:lang w:val="en-US"/>
        </w:rPr>
        <w:fldChar w:fldCharType="end"/>
      </w:r>
      <w:r>
        <w:rPr>
          <w:rFonts w:ascii="Times New Roman" w:hAnsi="Times New Roman" w:eastAsia="Times New Roman" w:cs="Times New Roman"/>
          <w:sz w:val="20"/>
          <w:szCs w:val="20"/>
        </w:rPr>
        <w:t xml:space="preserve"> avec un pic en </w:t>
      </w:r>
      <w:r>
        <w:rPr>
          <w:rFonts w:hint="default" w:ascii="Times New Roman" w:hAnsi="Times New Roman" w:eastAsia="Times New Roman" w:cs="Times New Roman"/>
          <w:sz w:val="20"/>
          <w:szCs w:val="20"/>
          <w:lang w:val="fr-FR"/>
        </w:rPr>
        <w:t>Fé</w:t>
      </w:r>
      <w:r>
        <w:rPr>
          <w:rFonts w:ascii="Times New Roman" w:hAnsi="Times New Roman" w:eastAsia="Times New Roman" w:cs="Times New Roman"/>
          <w:sz w:val="20"/>
          <w:szCs w:val="20"/>
        </w:rPr>
        <w:t>vrier et Juillet.</w:t>
      </w:r>
    </w:p>
    <w:p>
      <w:pPr>
        <w:pStyle w:val="21"/>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Times New Roman" w:cs="Times New Roman"/>
          <w:sz w:val="20"/>
          <w:szCs w:val="20"/>
        </w:rPr>
      </w:pPr>
      <w:r>
        <w:rPr>
          <w:rFonts w:ascii="Times New Roman" w:hAnsi="Times New Roman" w:eastAsia="Times New Roman" w:cs="Times New Roman"/>
          <w:sz w:val="20"/>
          <w:szCs w:val="20"/>
        </w:rPr>
        <w:t>Pendant cette période d’étude 70,3%</w:t>
      </w:r>
      <w:r>
        <w:rPr>
          <w:rFonts w:hint="default" w:ascii="Times New Roman" w:hAnsi="Times New Roman" w:eastAsia="Times New Roman" w:cs="Times New Roman"/>
          <w:sz w:val="20"/>
          <w:szCs w:val="20"/>
          <w:lang w:val="fr-FR"/>
        </w:rPr>
        <w:t xml:space="preserve"> </w:t>
      </w:r>
      <w:r>
        <w:rPr>
          <w:rFonts w:ascii="Times New Roman" w:hAnsi="Times New Roman" w:eastAsia="Times New Roman" w:cs="Times New Roman"/>
          <w:sz w:val="20"/>
          <w:szCs w:val="20"/>
        </w:rPr>
        <w:t>des blessés ont été vus moins de 6 heures après le traumatisme abdominal. Ce r</w:t>
      </w:r>
      <w:r>
        <w:rPr>
          <w:rFonts w:hint="default" w:ascii="Times New Roman" w:hAnsi="Times New Roman" w:eastAsia="Times New Roman" w:cs="Times New Roman"/>
          <w:sz w:val="20"/>
          <w:szCs w:val="20"/>
          <w:lang w:val="fr-FR"/>
        </w:rPr>
        <w:t>é</w:t>
      </w:r>
      <w:r>
        <w:rPr>
          <w:rFonts w:ascii="Times New Roman" w:hAnsi="Times New Roman" w:eastAsia="Times New Roman" w:cs="Times New Roman"/>
          <w:sz w:val="20"/>
          <w:szCs w:val="20"/>
        </w:rPr>
        <w:t>sultat est identique au r</w:t>
      </w:r>
      <w:r>
        <w:rPr>
          <w:rFonts w:hint="default" w:ascii="Times New Roman" w:hAnsi="Times New Roman" w:eastAsia="Times New Roman" w:cs="Times New Roman"/>
          <w:sz w:val="20"/>
          <w:szCs w:val="20"/>
          <w:lang w:val="fr-FR"/>
        </w:rPr>
        <w:t>é</w:t>
      </w:r>
      <w:r>
        <w:rPr>
          <w:rFonts w:ascii="Times New Roman" w:hAnsi="Times New Roman" w:eastAsia="Times New Roman" w:cs="Times New Roman"/>
          <w:sz w:val="20"/>
          <w:szCs w:val="20"/>
        </w:rPr>
        <w:t>sultat retrouvé au Congo Brazzavi</w:t>
      </w:r>
      <w:r>
        <w:rPr>
          <w:rFonts w:hint="default" w:ascii="Times New Roman" w:hAnsi="Times New Roman" w:eastAsia="Times New Roman" w:cs="Times New Roman"/>
          <w:sz w:val="20"/>
          <w:szCs w:val="20"/>
          <w:lang w:val="fr-FR"/>
        </w:rPr>
        <w:t>l</w:t>
      </w:r>
      <w:r>
        <w:rPr>
          <w:rFonts w:ascii="Times New Roman" w:hAnsi="Times New Roman" w:eastAsia="Times New Roman" w:cs="Times New Roman"/>
          <w:sz w:val="20"/>
          <w:szCs w:val="20"/>
        </w:rPr>
        <w:t xml:space="preserve">le </w:t>
      </w:r>
      <w:r>
        <w:rPr>
          <w:rFonts w:ascii="Times New Roman" w:hAnsi="Times New Roman" w:eastAsia="Times New Roman" w:cs="Times New Roman"/>
          <w:sz w:val="20"/>
          <w:szCs w:val="20"/>
          <w:lang w:val="en-US"/>
        </w:rPr>
        <w:fldChar w:fldCharType="begin"/>
      </w:r>
      <w:r>
        <w:rPr>
          <w:rFonts w:ascii="Times New Roman" w:hAnsi="Times New Roman" w:eastAsia="Times New Roman" w:cs="Times New Roman"/>
          <w:sz w:val="20"/>
          <w:szCs w:val="20"/>
        </w:rPr>
        <w:instrText xml:space="preserve"> ADDIN ZOTERO_ITEM CSL_CITATION {"citationID":"U42xxSlI","properties":{"formattedCitation":"(11)","plainCitation":"(11)","noteIndex":0},"citationItems":[{"id":571,"uris":["http://zotero.org/users/5416333/items/MMHNA4SP"],"uri":["http://zotero.org/users/5416333/items/MMHNA4SP"],"itemData":{"id":571,"type":"article-journal","title":"Management of penetrant abdominal wounds at the teaching university hospital of Brazzaville, Congo","container-title":"Management","volume":"2","issue":"5","author":[{"family":"Massamba Miabaou","given":"D."},{"family":"Bhodheo","given":"M."},{"family":"Note Madzele","given":"M."},{"family":"Motoula Latou","given":"N."},{"family":"Nzaka Moukala","given":"C."},{"family":"Tsouassa Wangono","given":"G."}],"issued":{"date-parts":[["2017"]]}}}],"schema":"https://github.com/citation-style-language/schema/raw/master/csl-citation.json"} </w:instrText>
      </w:r>
      <w:r>
        <w:rPr>
          <w:rFonts w:ascii="Times New Roman" w:hAnsi="Times New Roman" w:eastAsia="Times New Roman" w:cs="Times New Roman"/>
          <w:sz w:val="20"/>
          <w:szCs w:val="20"/>
          <w:lang w:val="en-US"/>
        </w:rPr>
        <w:fldChar w:fldCharType="separate"/>
      </w:r>
      <w:r>
        <w:rPr>
          <w:rFonts w:ascii="Times New Roman" w:hAnsi="Times New Roman" w:cs="Times New Roman"/>
          <w:sz w:val="20"/>
          <w:szCs w:val="20"/>
        </w:rPr>
        <w:t>(11)</w:t>
      </w:r>
      <w:r>
        <w:rPr>
          <w:rFonts w:ascii="Times New Roman" w:hAnsi="Times New Roman" w:eastAsia="Times New Roman" w:cs="Times New Roman"/>
          <w:sz w:val="20"/>
          <w:szCs w:val="20"/>
          <w:lang w:val="en-US"/>
        </w:rPr>
        <w:fldChar w:fldCharType="end"/>
      </w:r>
      <w:r>
        <w:rPr>
          <w:rFonts w:ascii="Times New Roman" w:hAnsi="Times New Roman" w:eastAsia="Times New Roman" w:cs="Times New Roman"/>
          <w:sz w:val="20"/>
          <w:szCs w:val="20"/>
        </w:rPr>
        <w:t xml:space="preserve"> et au Tchad </w:t>
      </w:r>
      <w:r>
        <w:rPr>
          <w:rFonts w:ascii="Times New Roman" w:hAnsi="Times New Roman" w:eastAsia="Times New Roman" w:cs="Times New Roman"/>
          <w:sz w:val="20"/>
          <w:szCs w:val="20"/>
          <w:lang w:val="en-US"/>
        </w:rPr>
        <w:fldChar w:fldCharType="begin"/>
      </w:r>
      <w:r>
        <w:rPr>
          <w:rFonts w:ascii="Times New Roman" w:hAnsi="Times New Roman" w:eastAsia="Times New Roman" w:cs="Times New Roman"/>
          <w:sz w:val="20"/>
          <w:szCs w:val="20"/>
        </w:rPr>
        <w:instrText xml:space="preserve"> ADDIN ZOTERO_ITEM CSL_CITATION {"citationID":"x1LjJfM7","properties":{"formattedCitation":"(6)","plainCitation":"(6)","noteIndex":0},"citationItems":[{"id":573,"uris":["http://zotero.org/users/5416333/items/NCA4RUGT"],"uri":["http://zotero.org/users/5416333/items/NCA4RUGT"],"itemData":{"id":573,"type":"article-journal","title":"Les Plaies Penetrantes Par Armes Blanches Et A Feu A N’djamena, Tchad: Une Epidemie Silencieuse ?","container-title":"European Scientific Journal, ESJ","page":"180","volume":"12","issue":"9","source":"eujournal.or</w:instrText>
      </w:r>
      <w:r>
        <w:rPr>
          <w:rFonts w:ascii="Times New Roman" w:hAnsi="Times New Roman" w:eastAsia="Times New Roman" w:cs="Times New Roman"/>
          <w:sz w:val="20"/>
          <w:szCs w:val="20"/>
          <w:lang w:val="en-US"/>
        </w:rPr>
        <w:instrText xml:space="preserve">g","abstract":"Aim: the aim of this study was to report the experience of the General Hospital of National Reference in N'djamena (Chad) in the management of penetrating wounds. Patients and methods: This was a prospective study ranging from 01/07/2013 to 30/06/2014. Were included all patients undergoing penetrating stab or firearm wound. The studied variables were: age, sex, and type of trauma, prehospital delay, transport, and the treatment. The length of hospital stay, morbidity and mortality were also studied. Results: the series included 129 patients: 120 men (93%) and 9 women (7%). penetrating trauma constituted 22.7% of the 569 surgical emergency admissions. They were caused by a knife and a gun in respectively 112 (77.5%) and 17 (13.2%) patients. Brawls and assaults were the cause of trauma in 78 cases, respectively (60.5%) and 47 cases (36.4%). The cause was accidental in 4 cases (3.1%). The most used wounding agent</w:instrText>
      </w:r>
      <w:r>
        <w:rPr>
          <w:rFonts w:ascii="Times New Roman" w:hAnsi="Times New Roman" w:eastAsia="Times New Roman" w:cs="Times New Roman"/>
          <w:sz w:val="20"/>
          <w:szCs w:val="20"/>
        </w:rPr>
        <w:instrText xml:space="preserve"> was the knife in 100 cases (77.5%), followed by firearms in 17 cases (13.2%) and other sharp objects in 12 cases (9.3%). The admission average time was 3,7h. Patients arrived mostly by public transport. Penetrating wounds were respectively 67 cases in thoracic, 50 cases in abdominal and in 2 intracerebral cases. Treating chest wounds included: in 50.7% of cases right thoracic drain, 46.3% of left thoracic drain and 3% of bilateral thoracic drain. For abdominal penetrating wounds laparotomy was the rule. Surgical treatment in these cases: 6 gastric sutures, 25 sutures and 4 resection of the small intestine, and 10 sutures, plus 2 resections of the colon, 3 negative laparotomies. Similarly, the diaphragm, the liver, and spleen injuries had proper treatment. Elsewhere, two intra brain knives were extracted. The average stay was 8.9 days. Morbidity was 6.2% and mortality 3.1%. Conclusion: penetrating trauma is a real public health problem in N'Djamena related to brawls and aggressions. Knife is the most used agent.","DOI":"10.19044/esj.2016.v12n9p180","ISSN":"18577431","shortTitle":"Les Plaies Penetrantes Par Armes Blanches Et A Feu A N’djamena, Tchad","language":"en","author":[{"family":"O","given":"Choua"},{"family":"K","given":"Rimtebaye"},{"family":"M","given":"Adam Adami"},{"family":"G","given":"Bekoutou"},{"family":"A","given":"Anour M."}],"issued":{"date-parts":[["2016",3,30]]}}}],"schema":"https://github.com/citation-style-language/schema/raw/master/csl-citation.json"} </w:instrText>
      </w:r>
      <w:r>
        <w:rPr>
          <w:rFonts w:ascii="Times New Roman" w:hAnsi="Times New Roman" w:eastAsia="Times New Roman" w:cs="Times New Roman"/>
          <w:sz w:val="20"/>
          <w:szCs w:val="20"/>
          <w:lang w:val="en-US"/>
        </w:rPr>
        <w:fldChar w:fldCharType="separate"/>
      </w:r>
      <w:r>
        <w:rPr>
          <w:rFonts w:ascii="Times New Roman" w:hAnsi="Times New Roman" w:cs="Times New Roman"/>
          <w:sz w:val="20"/>
          <w:szCs w:val="20"/>
        </w:rPr>
        <w:t>(6)</w:t>
      </w:r>
      <w:r>
        <w:rPr>
          <w:rFonts w:ascii="Times New Roman" w:hAnsi="Times New Roman" w:eastAsia="Times New Roman" w:cs="Times New Roman"/>
          <w:sz w:val="20"/>
          <w:szCs w:val="20"/>
          <w:lang w:val="en-US"/>
        </w:rPr>
        <w:fldChar w:fldCharType="end"/>
      </w:r>
      <w:r>
        <w:rPr>
          <w:rFonts w:ascii="Times New Roman" w:hAnsi="Times New Roman" w:eastAsia="Times New Roman" w:cs="Times New Roman"/>
          <w:sz w:val="20"/>
          <w:szCs w:val="20"/>
        </w:rPr>
        <w:t xml:space="preserve"> qui avait 70% et 76% respectivement de leur population d’étude vue moins de 6</w:t>
      </w:r>
      <w:r>
        <w:rPr>
          <w:rFonts w:hint="default" w:ascii="Times New Roman" w:hAnsi="Times New Roman" w:eastAsia="Times New Roman" w:cs="Times New Roman"/>
          <w:sz w:val="20"/>
          <w:szCs w:val="20"/>
          <w:lang w:val="fr-FR"/>
        </w:rPr>
        <w:t xml:space="preserve"> </w:t>
      </w:r>
      <w:r>
        <w:rPr>
          <w:rFonts w:ascii="Times New Roman" w:hAnsi="Times New Roman" w:eastAsia="Times New Roman" w:cs="Times New Roman"/>
          <w:sz w:val="20"/>
          <w:szCs w:val="20"/>
        </w:rPr>
        <w:t>h</w:t>
      </w:r>
      <w:r>
        <w:rPr>
          <w:rFonts w:hint="default" w:ascii="Times New Roman" w:hAnsi="Times New Roman" w:eastAsia="Times New Roman" w:cs="Times New Roman"/>
          <w:sz w:val="20"/>
          <w:szCs w:val="20"/>
          <w:lang w:val="fr-FR"/>
        </w:rPr>
        <w:t>eures</w:t>
      </w:r>
      <w:r>
        <w:rPr>
          <w:rFonts w:ascii="Times New Roman" w:hAnsi="Times New Roman" w:eastAsia="Times New Roman" w:cs="Times New Roman"/>
          <w:sz w:val="20"/>
          <w:szCs w:val="20"/>
        </w:rPr>
        <w:t xml:space="preserve"> après le traumatisme. Ce délai quoique favorable reste encore long pour une prise en charge rapide et ad</w:t>
      </w:r>
      <w:r>
        <w:rPr>
          <w:rFonts w:hint="default" w:ascii="Times New Roman" w:hAnsi="Times New Roman" w:eastAsia="Times New Roman" w:cs="Times New Roman"/>
          <w:sz w:val="20"/>
          <w:szCs w:val="20"/>
          <w:lang w:val="fr-FR"/>
        </w:rPr>
        <w:t>é</w:t>
      </w:r>
      <w:r>
        <w:rPr>
          <w:rFonts w:ascii="Times New Roman" w:hAnsi="Times New Roman" w:eastAsia="Times New Roman" w:cs="Times New Roman"/>
          <w:sz w:val="20"/>
          <w:szCs w:val="20"/>
        </w:rPr>
        <w:t>quate. Le syst</w:t>
      </w:r>
      <w:r>
        <w:rPr>
          <w:rFonts w:hint="default" w:ascii="Times New Roman" w:hAnsi="Times New Roman" w:eastAsia="Times New Roman" w:cs="Times New Roman"/>
          <w:sz w:val="20"/>
          <w:szCs w:val="20"/>
          <w:lang w:val="fr-FR"/>
        </w:rPr>
        <w:t>è</w:t>
      </w:r>
      <w:r>
        <w:rPr>
          <w:rFonts w:ascii="Times New Roman" w:hAnsi="Times New Roman" w:eastAsia="Times New Roman" w:cs="Times New Roman"/>
          <w:sz w:val="20"/>
          <w:szCs w:val="20"/>
        </w:rPr>
        <w:t>me sanitaire d’urgence, d’évacuation et d’ambula</w:t>
      </w:r>
      <w:r>
        <w:rPr>
          <w:rFonts w:hint="default" w:ascii="Times New Roman" w:hAnsi="Times New Roman" w:eastAsia="Times New Roman" w:cs="Times New Roman"/>
          <w:sz w:val="20"/>
          <w:szCs w:val="20"/>
          <w:lang w:val="fr-FR"/>
        </w:rPr>
        <w:t>n</w:t>
      </w:r>
      <w:r>
        <w:rPr>
          <w:rFonts w:ascii="Times New Roman" w:hAnsi="Times New Roman" w:eastAsia="Times New Roman" w:cs="Times New Roman"/>
          <w:sz w:val="20"/>
          <w:szCs w:val="20"/>
        </w:rPr>
        <w:t>cier étant compromise par la densité de la ville, l’état de routes; les patients sont gén</w:t>
      </w:r>
      <w:r>
        <w:rPr>
          <w:rFonts w:hint="default" w:ascii="Times New Roman" w:hAnsi="Times New Roman" w:eastAsia="Times New Roman" w:cs="Times New Roman"/>
          <w:sz w:val="20"/>
          <w:szCs w:val="20"/>
          <w:lang w:val="fr-FR"/>
        </w:rPr>
        <w:t>é</w:t>
      </w:r>
      <w:r>
        <w:rPr>
          <w:rFonts w:ascii="Times New Roman" w:hAnsi="Times New Roman" w:eastAsia="Times New Roman" w:cs="Times New Roman"/>
          <w:sz w:val="20"/>
          <w:szCs w:val="20"/>
        </w:rPr>
        <w:t>ralement emmenés par transport commun ou voiture de police.</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sz w:val="20"/>
          <w:szCs w:val="20"/>
          <w:lang w:val="en-US"/>
        </w:rPr>
      </w:pPr>
      <w:r>
        <w:rPr>
          <w:rFonts w:ascii="Times New Roman" w:hAnsi="Times New Roman" w:cs="Times New Roman"/>
          <w:sz w:val="20"/>
          <w:szCs w:val="20"/>
        </w:rPr>
        <w:t xml:space="preserve">L’utilisation des armes à feu dans les PPA varie selon le contexte économique. En effet aux USA les AF sont les premiers impliquées dans les PPA avec une incidence allant de 60% </w:t>
      </w:r>
      <w:r>
        <w:rPr>
          <w:rFonts w:ascii="Times New Roman" w:hAnsi="Times New Roman" w:cs="Times New Roman"/>
          <w:sz w:val="20"/>
          <w:szCs w:val="20"/>
          <w:lang w:val="en-US"/>
        </w:rPr>
        <w:fldChar w:fldCharType="begin"/>
      </w:r>
      <w:r>
        <w:rPr>
          <w:rFonts w:ascii="Times New Roman" w:hAnsi="Times New Roman" w:cs="Times New Roman"/>
          <w:sz w:val="20"/>
          <w:szCs w:val="20"/>
        </w:rPr>
        <w:instrText xml:space="preserve"> ADDIN ZOTERO_ITEM CSL_CITATION {"citationID":"tJqM8KO4","properties":{"formattedCitation":"(3,14)","plainCitation":"(3,14)","dontUpdate":true,"noteIndex":0},"citationItems":[{"id":450,"uris":["http://zotero.org/users/5416333/items/RYXDYMFL"],"uri":["http://zotero.org/users/5416333/items/RYXDYMFL"],"itemData":{"id":450,"type":"article-journal","title":"Penetrating Abdominal Trauma: Practice Essentials, Background, Anatomy","source":"eMedicine","abstract":"Penetrating abdominal trauma typically involves the violation of the abdominal cavity by a gunshot wound (GSW) or stab wound. The management of penetrating abdominal trauma has evolved greatly over the last century.","URL":"https://emedicine.medscape.com/article/2036859-overview#a2","shortTitle":"Penetrating Abdominal Trauma","issued":{"date-parts":[["2018",3,13]]},"accessed":{"date-parts":[["2019",1,18]]}}},{"id":633,"uris":["http://zotero.org/users/5416333/items/VD9B8KTM"],"uri":["http://zotero.org/users/5416333/items/VD9B8KTM"],"itemData":{"id":633,"type":"article-journal","title":"Penetrating Abdominal Trauma: Experience in A Teaching Hospital, Calabar, Southern Nigeria","container-title":"International Journal of Clinical Medicine","page":"426","volume":"03","source":"www.scirp.org","abstract":"Background: Penetrating abdominal trauma (PAT) typically involves the violation of the abdominal cavity by a gun-shot wound (GSW) or stab wound Recently several studies have favored a more conservative approach as opposed to mandatory exploratory laparotomy. Methods: Patients admitted in the University of Calabar Teaching Hospital (UCTH), Calabar, with PAT from January 2008 to December 2010 were prospectively studied based on a questionnaire. The total number of patients with PAT was compared with total number of emergencies, traumatic injuries and abdominal trauma seen during the same period. Results: A total of 48 patients presented with abdominal trauma: PAT 29 (60%) and blunt abdominal trauma (BAT) 19 (40%). The ages of the patients (28 male, 1 female) ranged from 3 - 62 years (mean 28.1 years). Gunshot wound (GSW) 11 (38%) patients, stab wound 8 (27.6%) patients and machete cut 4 (13.8%) patients ranked first, second and third respectively as causes of PAT. The commonest organ injury was perforation of the small intestine. Four (13.8%) patients were managed conservatively while 25 (86.2%) patients had laparotomy. The duration of admission ranged from 2 - 19 days (mean 10.5 days). Morbidity [surgical site infection (SSI)] and mortality were recorded in 2 (6.9%) and 3 (10.3%) patients respectively. Conclusion: Key areas that require attention have been highlighted. Revamping the ailing economy and gainful employment for youths are paramount areas that require prompt, dedicated and sustained intervention for reduction in v</w:instrText>
      </w:r>
      <w:r>
        <w:rPr>
          <w:rFonts w:ascii="Times New Roman" w:hAnsi="Times New Roman" w:cs="Times New Roman"/>
          <w:sz w:val="20"/>
          <w:szCs w:val="20"/>
          <w:lang w:val="en-US"/>
        </w:rPr>
        <w:instrText xml:space="preserve">iolent crimes.","DOI":"10.4236/ijcm.2012.35079","shortTitle":"Penetrating Abdominal Trauma","language":"en","author":[{"family":"Asuquo","given":"Maurice"},{"family":"Umoh","given":"Mark"},{"family":"Nwagbara","given":"Victor"},{"family":"Ugare","given":"Gabriel"},{"family":"Agbor","given":"Cyril"},{"family":"Japhet","given":"Emmanuel"}],"issued":{"date-parts":[["2012",9,24]]}}}],"schema":"https://github.com/citation-style-language/schema/raw/master/csl-citation.json"} </w:instrText>
      </w:r>
      <w:r>
        <w:rPr>
          <w:rFonts w:ascii="Times New Roman" w:hAnsi="Times New Roman" w:cs="Times New Roman"/>
          <w:sz w:val="20"/>
          <w:szCs w:val="20"/>
          <w:lang w:val="en-US"/>
        </w:rPr>
        <w:fldChar w:fldCharType="separate"/>
      </w:r>
      <w:r>
        <w:rPr>
          <w:rFonts w:ascii="Times New Roman" w:hAnsi="Times New Roman" w:cs="Times New Roman"/>
          <w:sz w:val="20"/>
          <w:szCs w:val="20"/>
        </w:rPr>
        <w:t>(3)</w:t>
      </w:r>
      <w:r>
        <w:rPr>
          <w:rFonts w:ascii="Times New Roman" w:hAnsi="Times New Roman" w:cs="Times New Roman"/>
          <w:sz w:val="20"/>
          <w:szCs w:val="20"/>
          <w:lang w:val="en-US"/>
        </w:rPr>
        <w:fldChar w:fldCharType="end"/>
      </w:r>
      <w:r>
        <w:rPr>
          <w:rFonts w:ascii="Times New Roman" w:hAnsi="Times New Roman" w:cs="Times New Roman"/>
          <w:sz w:val="20"/>
          <w:szCs w:val="20"/>
          <w:lang w:val="en-US"/>
        </w:rPr>
        <w:t>.</w:t>
      </w:r>
      <w:r>
        <w:rPr>
          <w:rFonts w:hint="default" w:ascii="Times New Roman" w:hAnsi="Times New Roman" w:cs="Times New Roman"/>
          <w:sz w:val="20"/>
          <w:szCs w:val="20"/>
          <w:lang w:val="fr-FR"/>
        </w:rPr>
        <w:t xml:space="preserve"> </w:t>
      </w:r>
      <w:r>
        <w:rPr>
          <w:rFonts w:ascii="Times New Roman" w:hAnsi="Times New Roman" w:cs="Times New Roman"/>
          <w:sz w:val="20"/>
          <w:szCs w:val="20"/>
          <w:lang w:val="en-US"/>
        </w:rPr>
        <w:t>En Europe et en Afrique du sud nous observons un équilibre entre l’implication des AF et des AB dans les PPA avec 49% des AF impliqués dans les PPA</w:t>
      </w:r>
      <w:r>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ZOTERO_ITEM CSL_CITATION {"citationID":"NQrnqY6T","properties":{"formattedCitation":"(12,16)","plainCitation":"(12,16)","noteIndex":0},"citationItems":[{"id":579,"uris":["http://zotero.org/users/5416333/items/EW9UXFEU"],"uri":["http://zotero.org/users/5416333/items/EW9UXFEU"],"itemData":{"id":579,"type":"article-journal","title":"Abdominal Trauma in Durban, South Africa: Factors Influencing Outcome","container-title":"International Surgery","page":"161-168","volume":"97","issue":"2","source":"PubMed Central","abstract":"Abdominal injury as a result of both blunt and penetrating trauma has an appreciable mortality rate from hemorrhage and sepsis. In this article, we present our experience with the management of abdominal trauma in Durban and investigate factors that influence outcome. We performed a prospective study of patients with abdominal trauma in one surgical ward at King Edward VIII Hospital in Durban over a period of 7 years, from 1998 through 2004. Demographic details, cause of injury, delay before surgery, clinical presentation, findings at surgery, management and outcome were documented. There were 488 patients with abdominal trauma with a mean age of 29.2 ± 10.7 years. There were 440 penetrating injuries (240 firearm wounds; 200 stab wounds) and 48 blunt injuries. The mean delay before surgery was 11.7 ± 16.4 hours, and 55 patients (11%) presented in shock. Four hundred and forty patients underwent laparotomy, and 48 were managed nonoperatively. The Injury Severity Score was 11.1 ± 6.7, and the New Injury Severity Score was 17.1 ± 11.1. One hundred and thirty-seven patients (28%) were admitted to the intensive care unit (ICU), with a mean ICU stay of 3.6 ± 5.5 days. One hundred and thirty-two patients developed complications (28%), and 52 (11%) died. Shock, acidosis, increased transfusion requirements, number of organs injured, and injury severity were all associated with higher mortality. Delay before surgery had no influence on outcome. Hospital stay was 9.2 ± 10.8 days. The majority of abdominal injuries in our environment are due to firearms. Physiological instability, mechanism of injury, severity of injury, and the number of organs injured influence outcome.","DOI":"10.9738/CC84.1","ISSN":"0020-8868","note":"PMID: 23102083\nPMCID: PMC3723215","shortTitle":"Abdominal Trauma in Durban, South Africa","journalAbbreviation":"Int Surg","author":[{"family":"Mnguni","given":"M.N."},{"family":"Muckart","given":"D.J.J."},{"family":"Madiba","given":"T.E."}],"issued":{"date-parts":[["2012"]]}}},{"id":442,"uris":["http://zotero.org/users/5416333/items/G336ADIN"],"uri":["http://zotero.org/users/5416333/items/G336ADIN"],"itemData":{"id":442,"type":"article-journal","title":"Les plaies pénétrantes de l'abdomen, conduite diagnostique et thérapeutique. À propos de 79 patients","container-title":"Annales de Chirurgie","page":"156-163","volume":"129","issue":"3","source":"ScienceDirect","abstract":"Résumé\nIntroduction. – Les plaies de l'abdomen justifient classiquement une laparotomie systématique. Toutefois, cette attitude peut être modulée en fonction de l'agent vulnérant (arme blanche ou arme à feu) et de la précision des examens d'imagerie s'ils écartent la possibilité d'une lésion viscérale et autorisent une surveillance en milieu chirurgical. Patients et méthodes. – Étude rétrospective de 79 patients (mai 1995–mai 2002) ayant une plaie pénétrante de l'abdomen : 47 (59 %) par arme blanche et 32 (41 %) par arme à feu. Les paramètres étudiés ont été la corrélation radiochirurgicale, le traitement et les suites opératoires. Résultats. – Soixante-huit patients ont été opérés de première intention, et 11 ont bénéficié d'une surveillance « armée ». Parmi les 11 patients surveillés (9 après plaie par arme blanche et 2 après plaie par arme à feu), deux ont dû être opérés (1 dans chaque groupe). La corrélation entre l'imagerie et les constatations opératoires était bonne 34 fois (72 %) après plaie par arme blanche et 21 fois (80 %) après plaie par arme à feu ; le nombre moyen de lésions viscérales était respectivement de 1 et 3. Six patients (8 %) sont décédés (mortalité de 2 et 16 % respectivement), douze (15 %) ont eu des suites compliquées. Conclusion. – Les plaies pénétrantes par arme blanche peuvent être traitées par surveillance rapprochée si l'imagerie exclue une lésion viscérale. Les plaies par arme à feu justifient encore une laparotomie systématique en raison de la multiplicité des lésions et de leur mauvais pronostic.\nIntroduction. – Traditionally, penetrating abdominal wounds justify routine laparotomy. However, this policy can be adapted to mechanism of injury (stab or firearm) and accuracy of imaging procedures if they eliminate visceral injury thus allowing close follow up. Patients and methods. – Retrospective study of 79 patients (May 1995–May 2002) with a penetrating abdominal wound: (47 (59%) stab wounds and 32 (41 %) firearm wounds). Correlation between imaging and surgical findings, treatment, post-operative course were studied. Results. – Sixty-eight patients were operated on from the outset, and 11 underwent close follow-up. Of the 11 patients who had follow-up, (9 after stab wound and 2 after firearm wound), two had to be operated (1 in each group). Correlation between imaging and surgical findings was good in 34 (72%) patients after stab wound and in 21 (80%) after firearm wound; the mean number of visceral injuries was 1 and 3 respectively. Six patients (8%) died (mortality: 2% and 16% respectively), 12 (15%) had postoperative complications. Conclusion. – Penetrating abdominal stab wounds can be treated by close follow-up if imaging excludes visceral injury. Firearm wounds still justify routine laparotomy due to both multiplicity of visceral injuries and bad prognosis.","DOI":"10.1016/j.anchir.2004.01.013","ISSN":"0003-3944","journalAbbreviation":"Annales de Chirurgie","author":[{"family":"Monneuse","given":"O. J. -Y"},{"family":"Barth","given":"X"},{"family":"Gruner","given":"L"},{"family":"Pilleul","given":"F"},{"family":"Valette","given":"P. J"},{"family":"Oulie","given":"O"},{"family":"Tissot","given":"E"}],"issued":{"date-parts":[["2004",4,1]]}}}],"schema":"https://github.com/citation-style-language/schema/raw/master/csl-citation.json"} </w:instrText>
      </w:r>
      <w:r>
        <w:rPr>
          <w:rFonts w:ascii="Times New Roman" w:hAnsi="Times New Roman" w:cs="Times New Roman"/>
          <w:sz w:val="20"/>
          <w:szCs w:val="20"/>
          <w:lang w:val="en-US"/>
        </w:rPr>
        <w:fldChar w:fldCharType="separate"/>
      </w:r>
      <w:r>
        <w:rPr>
          <w:rFonts w:ascii="Times New Roman" w:hAnsi="Times New Roman" w:cs="Times New Roman"/>
          <w:sz w:val="20"/>
          <w:szCs w:val="20"/>
          <w:lang w:val="en-US"/>
        </w:rPr>
        <w:fldChar w:fldCharType="end"/>
      </w:r>
      <w:r>
        <w:rPr>
          <w:rFonts w:ascii="Times New Roman" w:hAnsi="Times New Roman" w:cs="Times New Roman"/>
          <w:sz w:val="20"/>
          <w:szCs w:val="20"/>
          <w:lang w:val="en-US"/>
        </w:rPr>
        <w:t>. En Afrique sub</w:t>
      </w:r>
      <w:r>
        <w:rPr>
          <w:rFonts w:hint="default" w:ascii="Times New Roman" w:hAnsi="Times New Roman" w:cs="Times New Roman"/>
          <w:sz w:val="20"/>
          <w:szCs w:val="20"/>
          <w:lang w:val="fr-FR"/>
        </w:rPr>
        <w:t>-</w:t>
      </w:r>
      <w:r>
        <w:rPr>
          <w:rFonts w:ascii="Times New Roman" w:hAnsi="Times New Roman" w:cs="Times New Roman"/>
          <w:sz w:val="20"/>
          <w:szCs w:val="20"/>
          <w:lang w:val="en-US"/>
        </w:rPr>
        <w:t>saherienne on note une inversion des données d’implications des AF et AB dans les PPA;</w:t>
      </w:r>
      <w:r>
        <w:rPr>
          <w:rFonts w:hint="default" w:ascii="Times New Roman" w:hAnsi="Times New Roman" w:cs="Times New Roman"/>
          <w:sz w:val="20"/>
          <w:szCs w:val="20"/>
          <w:lang w:val="fr-FR"/>
        </w:rPr>
        <w:t xml:space="preserve"> a</w:t>
      </w:r>
      <w:r>
        <w:rPr>
          <w:rFonts w:ascii="Times New Roman" w:hAnsi="Times New Roman" w:cs="Times New Roman"/>
          <w:sz w:val="20"/>
          <w:szCs w:val="20"/>
          <w:lang w:val="en-US"/>
        </w:rPr>
        <w:t xml:space="preserve">insi l’incidence des AF est de 16,5% en </w:t>
      </w:r>
      <w:r>
        <w:rPr>
          <w:rFonts w:ascii="Times New Roman" w:hAnsi="Times New Roman" w:cs="Times New Roman"/>
          <w:sz w:val="20"/>
          <w:szCs w:val="20"/>
          <w:lang w:val="fr-FR"/>
        </w:rPr>
        <w:t>Égypte</w:t>
      </w:r>
      <w:r>
        <w:rPr>
          <w:rFonts w:ascii="Times New Roman" w:hAnsi="Times New Roman" w:cs="Times New Roman"/>
          <w:sz w:val="20"/>
          <w:szCs w:val="20"/>
          <w:lang w:val="en-US"/>
        </w:rPr>
        <w:t xml:space="preserve"> </w:t>
      </w:r>
      <w:r>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ZOTERO_ITEM CSL_CITATION {"citationID":"B2eb7QDc","properties":{"formattedCitation":"(13)","plainCitation":"(13)","noteIndex":0},"citationItems":[{"id":576,"uris":["http://zotero.org/users/5416333/items/KE59TZ9W"],"uri":["http://zotero.org/users/5416333/items/KE59TZ9W"],"itemData":{"id":576,"type":"article-journal","title":"Penetrating Abdominal Injuries: Pattern and Outcome of Management in Khartoum","container-title":"International Journal of Clinical Medicine","volume":"2014","source":"file.scirp.org","abstract":"Background: The pattern and presentation of penetrating abdominal trauma vary according to places and the structure of the present health system. As well controversies in management exist ranging from mandatory exploration to selective non-operative management. Objectives: To determine the pattern of penetrating abdominal trauma, current management practiced and outcome in Khartoum. Patients and Methods: The study was prospective, descriptive and hospital-based. It was carried out at the main three hospitals in Khartoum State. It was conducted over a period of one year from 2012 Mar to 2013 Mar. All patients who presented penetrating injury to their abdomen were included. Results: The study included 85 patients with a mean age of 28 years (SD ± 10). The male to female ratio was 11:1. Most of the patients (89.4%) were in the first four decades of their life. Twenty-three patients (27.1%) presented shock. Stab wound is the commonest mode of trauma seen in 83.5% of our patients. The majority of our patients were managed by exploratory laparotomy (81.2%), however 16 (18.8%) underwent conservative measures. Of the operated group, solid organ injuries were found in 22.9%, yet hollow viscous injuries were reported in 86.9% of the patients. Registrars operated on 78.26% of the patients. The rate of negative laparotomy of this study was 8.7%. Complications and mortality were encountered in 25.9% and 4.7% respectively. The mean hospital stay was 8.47 days (SD ± 10.6). Conclusion: This study demonstrates no difference in the pattern of intra-abdominal injuries. The rate of operative treatment is acceptable, but more laparotomies can be avoided if the haemodynamic stable patients without features of peritonitis were given a period of observation. The overall outcome was satisfactory.","URL":"http://www.scirp.org/journal/PaperInformation.aspx?PaperID=41736","DOI":"10.4236/ijcm.2014.51004","ISSN":"2158-2882","shortTitle":"Penetrating Abdominal Injuries","language":"en","author":[{"family":"Omer","given":"Maha Yassin"},{"family":"Hamza","given":"Aamir Abdullahi"},{"family":"Musa","given":"Mohammed Toum"}],"issued":{"date-parts":[["2014",1,7]]},"accessed":{"date-parts":[["2019",2,7]]}}}],"schema":"https://github.com/citation-style-language/schema/raw/master/csl-citation.json"} </w:instrText>
      </w:r>
      <w:r>
        <w:rPr>
          <w:rFonts w:ascii="Times New Roman" w:hAnsi="Times New Roman" w:cs="Times New Roman"/>
          <w:sz w:val="20"/>
          <w:szCs w:val="20"/>
          <w:lang w:val="en-US"/>
        </w:rPr>
        <w:fldChar w:fldCharType="separate"/>
      </w:r>
      <w:r>
        <w:rPr>
          <w:rFonts w:ascii="Times New Roman" w:hAnsi="Times New Roman" w:cs="Times New Roman"/>
          <w:sz w:val="20"/>
          <w:szCs w:val="20"/>
          <w:lang w:val="en-US"/>
        </w:rPr>
        <w:t>(13)</w:t>
      </w:r>
      <w:r>
        <w:rPr>
          <w:rFonts w:ascii="Times New Roman" w:hAnsi="Times New Roman" w:cs="Times New Roman"/>
          <w:sz w:val="20"/>
          <w:szCs w:val="20"/>
          <w:lang w:val="en-US"/>
        </w:rPr>
        <w:fldChar w:fldCharType="end"/>
      </w:r>
      <w:r>
        <w:rPr>
          <w:rFonts w:ascii="Times New Roman" w:hAnsi="Times New Roman" w:cs="Times New Roman"/>
          <w:sz w:val="20"/>
          <w:szCs w:val="20"/>
          <w:lang w:val="en-US"/>
        </w:rPr>
        <w:t xml:space="preserve"> et 13,2% au Tchad</w:t>
      </w:r>
      <w:r>
        <w:rPr>
          <w:rFonts w:hint="default" w:ascii="Times New Roman" w:hAnsi="Times New Roman" w:cs="Times New Roman"/>
          <w:sz w:val="20"/>
          <w:szCs w:val="20"/>
          <w:lang w:val="fr-FR"/>
        </w:rPr>
        <w:t xml:space="preserve"> </w:t>
      </w:r>
      <w:r>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ZOTERO_ITEM CSL_CITATION {"citationID":"AlOfToHA","properties":{"formattedCitation":"(6)","plainCitation":"(6)","noteIndex":0},"citationItems":[{"id":573,"uris":["http://zotero.org/users/5416333/items/NCA4RUGT"],"uri":["http://zotero.org/users/5416333/items/NCA4RUGT"],"itemData":{"id":573,"type":"article-journal","title":"Les Plaies Penetrantes Par Armes Blanches Et A Feu A N’djamena, Tchad: Une Epidemie Silencieuse ?","container-title":"European Scientific Journal, ESJ","page":"180","volume":"12","issue":"9","source":"eujournal.org","abstract":"Aim: the aim of this study was to report the experience of the General Hospital of National Reference in N'djamena (Chad) in the management of penetrating wounds. Patients and methods: This was a prospective study ranging from 01/07/2013 to 30/06/2014. Were included all patients undergoing penetrating stab or firearm wound. The studied variables were: age, sex, and type of trauma, prehospital delay, transport, and the treatment. The length of hospital stay, morbidity and mortality were also studied. Results: the series included 129 patients: 120 men (93%) and 9 women (7%). penetrating trauma constituted 22.7% of the 569 surgical emergency admissions. They were caused by a knife and a gun in respectively 112 (77.5%) and 17 (13.2%) patients. Brawls and assaults were the cause of trauma in 78 cases, respectively (60.5%) and 47 cases (36.4%). The cause was accidental in 4 cases (3.1%). The most used wounding agent was the knife in 100 cases (77.5%), followed by firearms in 17 cases (13.2%) and other sharp objects in 12 cases (9.3%). The admission average time was 3,7h. Patients arrived mostly by public transport. Penetrating wounds were respectively 67 cases in thoracic, 50 cases in abdominal and in 2 intracerebral cases. Treating chest wounds included: in 50.7% of cases right thoracic drain, 46.3% of left thoracic drain and 3% of bilateral thoracic drain. For abdominal penetrating wounds laparotomy was the rule. Surgical treatment in these cases: 6 gastric sutures, 25 sutures and 4 resection of the small intestine, and 10 sutures, plus 2 resections of the colon, 3 negative laparotomies. Similarly, the diaphragm, the liver, and spleen injuries had proper treatment. Elsewhere, two intra brain knives were extracted. The average stay was 8.9 days. Morbidity was 6.2% and mortality 3.1%. Conclusion: penetrating trauma is a real public health problem in N'Djamena related to brawls and aggressions. Knife is the most used agent.","DOI":"10.19044/esj.2016.v12n9p180","ISSN":"18577431","shortTitle":"Les Plaies Penetrantes Par Armes Blanches Et A Feu A N’djamena, Tchad","language":"en","author":[{"family":"O","given":"Choua"},{"family":"K","given":"Rimtebaye"},{"family":"M","given":"Adam Adami"},{"family":"G","given":"Bekoutou"},{"family":"A","given":"Anour M."}],"issued":{"date-parts":[["2016",3,30]]}}}],"schema":"https://github.com/citation-style-language/schema/raw/master/csl-citation.json"} </w:instrText>
      </w:r>
      <w:r>
        <w:rPr>
          <w:rFonts w:ascii="Times New Roman" w:hAnsi="Times New Roman" w:cs="Times New Roman"/>
          <w:sz w:val="20"/>
          <w:szCs w:val="20"/>
          <w:lang w:val="en-US"/>
        </w:rPr>
        <w:fldChar w:fldCharType="separate"/>
      </w:r>
      <w:r>
        <w:rPr>
          <w:rFonts w:ascii="Times New Roman" w:hAnsi="Times New Roman" w:cs="Times New Roman"/>
          <w:sz w:val="20"/>
          <w:szCs w:val="20"/>
          <w:lang w:val="en-US"/>
        </w:rPr>
        <w:t>(6)</w:t>
      </w:r>
      <w:r>
        <w:rPr>
          <w:rFonts w:ascii="Times New Roman" w:hAnsi="Times New Roman" w:cs="Times New Roman"/>
          <w:sz w:val="20"/>
          <w:szCs w:val="20"/>
          <w:lang w:val="en-US"/>
        </w:rPr>
        <w:fldChar w:fldCharType="end"/>
      </w:r>
      <w:r>
        <w:rPr>
          <w:rFonts w:ascii="Times New Roman" w:hAnsi="Times New Roman" w:cs="Times New Roman"/>
          <w:sz w:val="20"/>
          <w:szCs w:val="20"/>
          <w:lang w:val="en-US"/>
        </w:rPr>
        <w:t>. Au cours de notre étude nous avons retrouvé 5,4%(2) de plaies par arme à feu et 94,6%</w:t>
      </w:r>
      <w:r>
        <w:rPr>
          <w:rFonts w:hint="default" w:ascii="Times New Roman" w:hAnsi="Times New Roman" w:cs="Times New Roman"/>
          <w:sz w:val="20"/>
          <w:szCs w:val="20"/>
          <w:lang w:val="fr-FR"/>
        </w:rPr>
        <w:t xml:space="preserve"> soit </w:t>
      </w:r>
      <w:r>
        <w:rPr>
          <w:rFonts w:ascii="Times New Roman" w:hAnsi="Times New Roman" w:cs="Times New Roman"/>
          <w:sz w:val="20"/>
          <w:szCs w:val="20"/>
          <w:lang w:val="en-US"/>
        </w:rPr>
        <w:t>35</w:t>
      </w:r>
      <w:r>
        <w:rPr>
          <w:rFonts w:hint="default" w:ascii="Times New Roman" w:hAnsi="Times New Roman" w:cs="Times New Roman"/>
          <w:sz w:val="20"/>
          <w:szCs w:val="20"/>
          <w:lang w:val="fr-FR"/>
        </w:rPr>
        <w:t xml:space="preserve"> cas</w:t>
      </w:r>
      <w:r>
        <w:rPr>
          <w:rFonts w:ascii="Times New Roman" w:hAnsi="Times New Roman" w:cs="Times New Roman"/>
          <w:sz w:val="20"/>
          <w:szCs w:val="20"/>
          <w:lang w:val="en-US"/>
        </w:rPr>
        <w:t xml:space="preserve"> de PPA par arme blanche. 59%</w:t>
      </w:r>
      <w:r>
        <w:rPr>
          <w:rFonts w:hint="default" w:ascii="Times New Roman" w:hAnsi="Times New Roman" w:cs="Times New Roman"/>
          <w:sz w:val="20"/>
          <w:szCs w:val="20"/>
          <w:lang w:val="fr-FR"/>
        </w:rPr>
        <w:t xml:space="preserve"> </w:t>
      </w:r>
      <w:r>
        <w:rPr>
          <w:rFonts w:ascii="Times New Roman" w:hAnsi="Times New Roman" w:cs="Times New Roman"/>
          <w:sz w:val="20"/>
          <w:szCs w:val="20"/>
          <w:lang w:val="en-US"/>
        </w:rPr>
        <w:t xml:space="preserve">des circonstances étaient </w:t>
      </w:r>
      <w:r>
        <w:rPr>
          <w:rFonts w:ascii="Times New Roman" w:hAnsi="Times New Roman" w:cs="Times New Roman"/>
          <w:sz w:val="20"/>
          <w:szCs w:val="20"/>
          <w:lang w:val="fr-FR"/>
        </w:rPr>
        <w:t>représentée</w:t>
      </w:r>
      <w:r>
        <w:rPr>
          <w:rFonts w:hint="default" w:ascii="Times New Roman" w:hAnsi="Times New Roman" w:cs="Times New Roman"/>
          <w:sz w:val="20"/>
          <w:szCs w:val="20"/>
          <w:lang w:val="fr-FR"/>
        </w:rPr>
        <w:t>s</w:t>
      </w:r>
      <w:r>
        <w:rPr>
          <w:rFonts w:ascii="Times New Roman" w:hAnsi="Times New Roman" w:cs="Times New Roman"/>
          <w:sz w:val="20"/>
          <w:szCs w:val="20"/>
          <w:lang w:val="en-US"/>
        </w:rPr>
        <w:t xml:space="preserve"> par des agressions avec </w:t>
      </w:r>
      <w:r>
        <w:rPr>
          <w:rFonts w:hint="default" w:ascii="Times New Roman" w:hAnsi="Times New Roman" w:cs="Times New Roman"/>
          <w:sz w:val="20"/>
          <w:szCs w:val="20"/>
          <w:lang w:val="fr-FR"/>
        </w:rPr>
        <w:t>(</w:t>
      </w:r>
      <w:r>
        <w:rPr>
          <w:rFonts w:ascii="Times New Roman" w:hAnsi="Times New Roman" w:cs="Times New Roman"/>
          <w:sz w:val="20"/>
          <w:szCs w:val="20"/>
          <w:lang w:val="en-US"/>
        </w:rPr>
        <w:t>22 cas ).</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sz w:val="20"/>
          <w:szCs w:val="20"/>
          <w:lang w:val="en-US"/>
        </w:rPr>
      </w:pPr>
      <w:r>
        <w:rPr>
          <w:rFonts w:ascii="Times New Roman" w:hAnsi="Times New Roman" w:cs="Times New Roman"/>
          <w:sz w:val="20"/>
          <w:szCs w:val="20"/>
          <w:lang w:val="en-US"/>
        </w:rPr>
        <w:t xml:space="preserve">Dans notre </w:t>
      </w:r>
      <w:r>
        <w:rPr>
          <w:rFonts w:ascii="Times New Roman" w:hAnsi="Times New Roman" w:cs="Times New Roman"/>
          <w:sz w:val="20"/>
          <w:szCs w:val="20"/>
          <w:lang w:val="fr-FR"/>
        </w:rPr>
        <w:t>série</w:t>
      </w:r>
      <w:r>
        <w:rPr>
          <w:rFonts w:ascii="Times New Roman" w:hAnsi="Times New Roman" w:cs="Times New Roman"/>
          <w:sz w:val="20"/>
          <w:szCs w:val="20"/>
          <w:lang w:val="en-US"/>
        </w:rPr>
        <w:t xml:space="preserve"> les plaies abdominales prédominaient sur les flancs, principalement le flanc gauche avec 29,7%. L’organe le plus touché était le grêle </w:t>
      </w:r>
      <w:r>
        <w:rPr>
          <w:rFonts w:hint="default" w:ascii="Times New Roman" w:hAnsi="Times New Roman" w:cs="Times New Roman"/>
          <w:sz w:val="20"/>
          <w:szCs w:val="20"/>
          <w:lang w:val="fr-FR"/>
        </w:rPr>
        <w:t>dans</w:t>
      </w:r>
      <w:r>
        <w:rPr>
          <w:rFonts w:ascii="Times New Roman" w:hAnsi="Times New Roman" w:cs="Times New Roman"/>
          <w:sz w:val="20"/>
          <w:szCs w:val="20"/>
          <w:lang w:val="en-US"/>
        </w:rPr>
        <w:t xml:space="preserve"> 50% </w:t>
      </w:r>
      <w:r>
        <w:rPr>
          <w:rFonts w:hint="default" w:ascii="Times New Roman" w:hAnsi="Times New Roman" w:cs="Times New Roman"/>
          <w:sz w:val="20"/>
          <w:szCs w:val="20"/>
          <w:lang w:val="fr-FR"/>
        </w:rPr>
        <w:t xml:space="preserve">des cas </w:t>
      </w:r>
      <w:r>
        <w:rPr>
          <w:rFonts w:ascii="Times New Roman" w:hAnsi="Times New Roman" w:cs="Times New Roman"/>
          <w:sz w:val="20"/>
          <w:szCs w:val="20"/>
          <w:lang w:val="en-US"/>
        </w:rPr>
        <w:t>suivi du colon 14%, puis l’estomac 11,1%.</w:t>
      </w:r>
      <w:r>
        <w:rPr>
          <w:rFonts w:hint="default" w:ascii="Times New Roman" w:hAnsi="Times New Roman" w:cs="Times New Roman"/>
          <w:sz w:val="20"/>
          <w:szCs w:val="20"/>
          <w:lang w:val="fr-FR"/>
        </w:rPr>
        <w:t xml:space="preserve"> </w:t>
      </w:r>
      <w:r>
        <w:rPr>
          <w:rFonts w:ascii="Times New Roman" w:hAnsi="Times New Roman" w:cs="Times New Roman"/>
          <w:sz w:val="20"/>
          <w:szCs w:val="20"/>
          <w:lang w:val="en-US"/>
        </w:rPr>
        <w:t xml:space="preserve">Enfin le rectum, la rate,le foie, le diaphragme et l’épiplon qui représentaient chacun 8,3%. Ces </w:t>
      </w:r>
      <w:r>
        <w:rPr>
          <w:rFonts w:ascii="Times New Roman" w:hAnsi="Times New Roman" w:cs="Times New Roman"/>
          <w:sz w:val="20"/>
          <w:szCs w:val="20"/>
          <w:lang w:val="fr-FR"/>
        </w:rPr>
        <w:t>résultats</w:t>
      </w:r>
      <w:r>
        <w:rPr>
          <w:rFonts w:ascii="Times New Roman" w:hAnsi="Times New Roman" w:cs="Times New Roman"/>
          <w:sz w:val="20"/>
          <w:szCs w:val="20"/>
          <w:lang w:val="en-US"/>
        </w:rPr>
        <w:t xml:space="preserve"> sont similaires à une série d’ études menées au Tchad</w:t>
      </w:r>
      <w:r>
        <w:rPr>
          <w:rFonts w:hint="default" w:ascii="Times New Roman" w:hAnsi="Times New Roman" w:cs="Times New Roman"/>
          <w:sz w:val="20"/>
          <w:szCs w:val="20"/>
          <w:lang w:val="fr-FR"/>
        </w:rPr>
        <w:t xml:space="preserve"> </w:t>
      </w:r>
      <w:r>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ZOTERO_ITEM CSL_CITATION {"citationID":"PAQduHsh","properties":{"formattedCitation":"(6)","plainCitation":"(6)","noteIndex":0},"citationItems":[{"id":573,"uris":["http://zotero.org/users/5416333/items/NCA4RUGT"],"uri":["http://zotero.org/users/5416333/items/NCA4RUGT"],"itemData":{"id":573,"type":"article-journal","title":"Les Plaies Penetrantes Par Armes Blanches Et A Feu A N’djamena, Tchad: Une Epidemie Silencieuse ?","container-title":"European Scientific Journal, ESJ","page":"180","volume":"12","issue":"9","source":"eujournal.org","abstract":"Aim: the aim of this study was to report the experience of the General Hospital of National Reference in N'djamena (Chad) in the management of penetrating wounds. Patients and methods: This was a prospective study ranging from 01/07/2013 to 30/06/2014. Were included all patients undergoing penetrating stab or firearm wound. The studied variables were: age, sex, and type of trauma, prehospital delay, transport, and the treatment. The length of hospital stay, morbidity and mortality were also studied. Results: the series included 129 patients: 120 men (93%) and 9 women (7%). penetrating trauma constituted 22.7% of the 569 surgical emergency admissions. They were caused by a knife and a gun in respectively 112 (77.5%) and 17 (13.2%) patients. Brawls and assaults were the cause of trauma in 78 cases, respectively (60.5%) and 47 cases (36.4%). The cause was accidental in 4 cases (3.1%). The most used wounding agent was the knife in 100 cases (77.5%), followed by firearms in 17 cases (13.2%) and other sharp objects in 12 cases (9.3%). The admission average time was 3,7h. Patients arrived mostly by public transport. Penetrating wounds were respectively 67 cases in thoracic, 50 cases in abdominal and in 2 intracerebral cases. Treating chest wounds included: in 50.7% of cases right thoracic drain, 46.3% of left thoracic drain and 3% of bilateral thoracic drain. For abdominal penetrating wounds laparotomy was the rule. Surgical treatment in these cases: 6 gastric sutures, 25 sutures and 4 resection of the small intestine, and 10 sutures, plus 2 resections of the colon, 3 negative laparotomies. Similarly, the diaphragm, the liver, and spleen injuries had proper treatment. Elsewhere, two intra brain knives were extracted. The average stay was 8.9 days. Morbidity was 6.2% and mortality 3.1%. Conclusion: penetrating trauma is a real public health problem in N'Djamena related to brawls and aggressions. Knife is the most used agent.","DOI":"10.19044/esj.2016.v12n9p180","ISSN":"18577431","shortTitle":"Les Plaies Penetrantes Par Armes Blanches Et A Feu A N’djamena, Tchad","language":"en","author":[{"family":"O","given":"Choua"},{"family":"K","given":"Rimtebaye"},{"family":"M","given":"Adam Adami"},{"family":"G","given":"Bekoutou"},{"family":"A","given":"Anour M."}],"issued":{"date-parts":[["2016",3,30]]}}}],"schema":"https://github.com/citation-style-language/schema/raw/master/csl-citation.json"} </w:instrText>
      </w:r>
      <w:r>
        <w:rPr>
          <w:rFonts w:ascii="Times New Roman" w:hAnsi="Times New Roman" w:cs="Times New Roman"/>
          <w:sz w:val="20"/>
          <w:szCs w:val="20"/>
          <w:lang w:val="en-US"/>
        </w:rPr>
        <w:fldChar w:fldCharType="separate"/>
      </w:r>
      <w:r>
        <w:rPr>
          <w:rFonts w:ascii="Times New Roman" w:hAnsi="Times New Roman" w:cs="Times New Roman"/>
          <w:sz w:val="20"/>
          <w:szCs w:val="20"/>
          <w:lang w:val="en-US"/>
        </w:rPr>
        <w:t>(6)</w:t>
      </w:r>
      <w:r>
        <w:rPr>
          <w:rFonts w:ascii="Times New Roman" w:hAnsi="Times New Roman" w:cs="Times New Roman"/>
          <w:sz w:val="20"/>
          <w:szCs w:val="20"/>
          <w:lang w:val="en-US"/>
        </w:rPr>
        <w:fldChar w:fldCharType="end"/>
      </w:r>
      <w:r>
        <w:rPr>
          <w:rFonts w:ascii="Times New Roman" w:hAnsi="Times New Roman" w:cs="Times New Roman"/>
          <w:sz w:val="20"/>
          <w:szCs w:val="20"/>
          <w:lang w:val="en-US"/>
        </w:rPr>
        <w:t xml:space="preserve">, au </w:t>
      </w:r>
      <w:r>
        <w:rPr>
          <w:rFonts w:hint="default" w:ascii="Times New Roman" w:hAnsi="Times New Roman" w:cs="Times New Roman"/>
          <w:sz w:val="20"/>
          <w:szCs w:val="20"/>
          <w:lang w:val="fr-FR"/>
        </w:rPr>
        <w:t>B</w:t>
      </w:r>
      <w:r>
        <w:rPr>
          <w:rFonts w:ascii="Times New Roman" w:hAnsi="Times New Roman" w:cs="Times New Roman"/>
          <w:sz w:val="20"/>
          <w:szCs w:val="20"/>
          <w:lang w:val="en-US"/>
        </w:rPr>
        <w:t>énin au Congo</w:t>
      </w:r>
      <w:r>
        <w:rPr>
          <w:rFonts w:hint="default" w:ascii="Times New Roman" w:hAnsi="Times New Roman" w:cs="Times New Roman"/>
          <w:sz w:val="20"/>
          <w:szCs w:val="20"/>
          <w:lang w:val="fr-FR"/>
        </w:rPr>
        <w:t xml:space="preserve"> </w:t>
      </w:r>
      <w:r>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ZOTERO_ITEM CSL_CITATION {"citationID":"DulIR38P","properties":{"formattedCitation":"(11)","plainCitation":"(11)","noteIndex":0},"citationItems":[{"id":571,"uris":["http://zotero.org/users/5416333/items/MMHNA4SP"],"uri":["http://zotero.org/users/5416333/items/MMHNA4SP"],"itemData":{"id":571,"type":"article-journal","title":"Management of penetrant abdominal wounds at the teaching university hospital of Brazzaville, Congo","container-title":"Management","volume":"2","issue":"5","author":[{"family":"Massamba Miabaou","given":"D."},{"family":"Bhodheo","given":"M."},{"family":"Note Madzele","given":"M."},{"family":"Motoula Latou","given":"N."},{"family":"Nzaka Moukala","given":"C."},{"family":"Tsouassa Wangono","given":"G."}],"issued":{"date-parts":[["2017"]]}}}],"schema":"https://github.com/citation-style-language/schema/raw/master/csl-citation.json"} </w:instrText>
      </w:r>
      <w:r>
        <w:rPr>
          <w:rFonts w:ascii="Times New Roman" w:hAnsi="Times New Roman" w:cs="Times New Roman"/>
          <w:sz w:val="20"/>
          <w:szCs w:val="20"/>
          <w:lang w:val="en-US"/>
        </w:rPr>
        <w:fldChar w:fldCharType="separate"/>
      </w:r>
      <w:r>
        <w:rPr>
          <w:rFonts w:ascii="Times New Roman" w:hAnsi="Times New Roman" w:cs="Times New Roman"/>
          <w:sz w:val="20"/>
          <w:szCs w:val="20"/>
          <w:lang w:val="en-US"/>
        </w:rPr>
        <w:t>(11)</w:t>
      </w:r>
      <w:r>
        <w:rPr>
          <w:rFonts w:ascii="Times New Roman" w:hAnsi="Times New Roman" w:cs="Times New Roman"/>
          <w:sz w:val="20"/>
          <w:szCs w:val="20"/>
          <w:lang w:val="en-US"/>
        </w:rPr>
        <w:fldChar w:fldCharType="end"/>
      </w:r>
      <w:r>
        <w:rPr>
          <w:rFonts w:ascii="Times New Roman" w:hAnsi="Times New Roman" w:cs="Times New Roman"/>
          <w:sz w:val="20"/>
          <w:szCs w:val="20"/>
          <w:lang w:val="en-US"/>
        </w:rPr>
        <w:t xml:space="preserve"> au Togo</w:t>
      </w:r>
      <w:r>
        <w:rPr>
          <w:rFonts w:hint="default" w:ascii="Times New Roman" w:hAnsi="Times New Roman" w:cs="Times New Roman"/>
          <w:sz w:val="20"/>
          <w:szCs w:val="20"/>
          <w:lang w:val="fr-FR"/>
        </w:rPr>
        <w:t xml:space="preserve"> </w:t>
      </w:r>
      <w:r>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ZOTERO_ITEM CSL_CITATION {"citationID":"fVheJTUv","properties":{"formattedCitation":"(17)","plainCitation":"(17)","noteIndex":0},"citationItems":[{"id":652,"uris":["http://zotero.org/users/5416333/items/YY2SL2JM"],"uri":["http://zotero.org/users/5416333/items/YY2SL2JM"],"itemData":{"id":652,"type":"article-journal","title":"Perforations traumatiques d’organes creux intra-abdominaux au CHU Gabriel-Touré","container-title":"Journal Africain d'Hépato-Gastroentérologie","page":"290-292","volume":"5","issue":"4","source":"Springer Link","abstract":"ObjectivesThe objectives of this study were to determine the frequency of perforations and to describe the clinical, diagnostic and therapeutic aspects of traumatic perforations of intra-abdominal hollow organs in the general paediatric surgery unit of Gabriel-Touré teaching hospital.MethodologyOur retrospective study from 1 January 2007 to 31 December 2009 included all patients who underwent an emergency surgery for intra-abdominal hollow organs traumatic perforations.FindingsWe have recorded 43 patients with intra-abdominal hollow organs traumatic perforations. The average age was 27 years (ranging from 15 to 65 years), with a male/female sex ratio of 8. The causes were stabbing in 17 (39.5%) patients, road accidents in 9 (20.9%) patients, simple hit in 9 (20.9%) patients, firearm in 5 (11.6%) cases and abortion in 3 cases (6.9%). 22 (51.2%) patients had gastrointestinal symptoms (vomiting, fluid or faeces obstruction). 30 (69.8%) patients had parietal lesions (bruises, wounds). A contracture and an abdominal pain has been found in 25 (58.1) patients. The perforation was located on the stomach in 4 (9.3%) patients, on the jejunum in 16 (37.2%) patients, on the ileum in 12 (28%) patients, on the colon in 11 (26%) patients and on the uterus in 3 (6.9%) patients. There was only one lesion in 35 (81.4%) cases. The treatment consisted of excision-suture-drainage in 26 (60.5%) cases and resection with termino-terminal anastomosis in 7 (16.3%) cases. We have recorded 1 case (2.3%) of evisceration, 2 cases (4.6%) of parietal suppuration and 6 cases (13.9%) of post-surgical death.","DOI":"10.1007/s12157-011-0325-8","ISSN":"1954-3212","journalAbbreviation":"J Afr Hepato Gastroenterol","language":"fr","author":[{"family":"Dembélé","given":"B. -T."},{"family":"Togo","given":"A."},{"family":"Diakité","given":"I."},{"family":"Kanté","given":"L."},{"family":"Traoré","given":"A."},{"family":"Cissé","given":"F."},{"family":"Coulibaly","given":"Y."},{"family":"Keïta","given":"M."},{"family":"Diallo","given":"G."}],"issued":{"date-parts":[["2011",12,1]]}}}],"schema":"https://github.com/citation-style-language/schema/raw/master/csl-citation.json"} </w:instrText>
      </w:r>
      <w:r>
        <w:rPr>
          <w:rFonts w:ascii="Times New Roman" w:hAnsi="Times New Roman" w:cs="Times New Roman"/>
          <w:sz w:val="20"/>
          <w:szCs w:val="20"/>
          <w:lang w:val="en-US"/>
        </w:rPr>
        <w:fldChar w:fldCharType="separate"/>
      </w:r>
      <w:r>
        <w:rPr>
          <w:rFonts w:ascii="Times New Roman" w:hAnsi="Times New Roman" w:cs="Times New Roman"/>
          <w:sz w:val="20"/>
          <w:szCs w:val="20"/>
          <w:lang w:val="en-US"/>
        </w:rPr>
        <w:t>(17)</w:t>
      </w:r>
      <w:r>
        <w:rPr>
          <w:rFonts w:ascii="Times New Roman" w:hAnsi="Times New Roman" w:cs="Times New Roman"/>
          <w:sz w:val="20"/>
          <w:szCs w:val="20"/>
          <w:lang w:val="en-US"/>
        </w:rPr>
        <w:fldChar w:fldCharType="end"/>
      </w:r>
      <w:r>
        <w:rPr>
          <w:rFonts w:ascii="Times New Roman" w:hAnsi="Times New Roman" w:cs="Times New Roman"/>
          <w:sz w:val="20"/>
          <w:szCs w:val="20"/>
          <w:lang w:val="en-US"/>
        </w:rPr>
        <w:t xml:space="preserve">. Par contre Benissa et al </w:t>
      </w:r>
      <w:r>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ZOTERO_ITEM CSL_CITATION {"citationID":"1BFzeIMJ","properties":{"formattedCitation":"(18)","plainCitation":"(18)","noteIndex":0},"citationItems":[{"id":654,"uris":["http://zotero.org/users/5416333/items/J7BY4XCJ"],"uri":["http://zotero.org/users/5416333/items/J7BY4XCJ"],"itemData":{"id":654,"type":"article-journal","title":"Plaies abdominales avec épiplocèle","container-title":"/data/revues/00033944/v0128i10/03002931/","source":"www.em-consulte.com","abstract":"Annales de chirurgie - Vol. 128 - N° 10 - p. 710-713","URL":"https://www.em-consulte.com/en/article/19545","ISSN":"/data/revues/00033944/v0128i10/03002931/","language":"fr","author":[{"family":"Benissa","given":"N."},{"family":"Zoubidi","given":"M."},{"family":"Kafih","given":"M."},{"family":"Ridai","given":"M."},{"family":"Zerouali","given":"N. O."}],"accessed":{"date-parts":[["2019",2,12]]}}}],"schema":"https://github.com/citation-style-language/schema/raw/master/csl-citation.json"} </w:instrText>
      </w:r>
      <w:r>
        <w:rPr>
          <w:rFonts w:ascii="Times New Roman" w:hAnsi="Times New Roman" w:cs="Times New Roman"/>
          <w:sz w:val="20"/>
          <w:szCs w:val="20"/>
          <w:lang w:val="en-US"/>
        </w:rPr>
        <w:fldChar w:fldCharType="separate"/>
      </w:r>
      <w:r>
        <w:rPr>
          <w:rFonts w:ascii="Times New Roman" w:hAnsi="Times New Roman" w:cs="Times New Roman"/>
          <w:sz w:val="20"/>
          <w:szCs w:val="20"/>
          <w:lang w:val="en-US"/>
        </w:rPr>
        <w:t>(18)</w:t>
      </w:r>
      <w:r>
        <w:rPr>
          <w:rFonts w:ascii="Times New Roman" w:hAnsi="Times New Roman" w:cs="Times New Roman"/>
          <w:sz w:val="20"/>
          <w:szCs w:val="20"/>
          <w:lang w:val="en-US"/>
        </w:rPr>
        <w:fldChar w:fldCharType="end"/>
      </w:r>
      <w:r>
        <w:rPr>
          <w:rFonts w:ascii="Times New Roman" w:hAnsi="Times New Roman" w:cs="Times New Roman"/>
          <w:sz w:val="20"/>
          <w:szCs w:val="20"/>
          <w:lang w:val="en-US"/>
        </w:rPr>
        <w:t xml:space="preserve"> au Maroc retrouvait une pr</w:t>
      </w:r>
      <w:r>
        <w:rPr>
          <w:rFonts w:hint="default" w:ascii="Times New Roman" w:hAnsi="Times New Roman" w:cs="Times New Roman"/>
          <w:sz w:val="20"/>
          <w:szCs w:val="20"/>
          <w:lang w:val="fr-FR"/>
        </w:rPr>
        <w:t>é</w:t>
      </w:r>
      <w:r>
        <w:rPr>
          <w:rFonts w:ascii="Times New Roman" w:hAnsi="Times New Roman" w:cs="Times New Roman"/>
          <w:sz w:val="20"/>
          <w:szCs w:val="20"/>
          <w:lang w:val="en-US"/>
        </w:rPr>
        <w:t>dominance de l</w:t>
      </w:r>
      <w:r>
        <w:rPr>
          <w:rFonts w:hint="default" w:ascii="Times New Roman" w:hAnsi="Times New Roman" w:cs="Times New Roman"/>
          <w:sz w:val="20"/>
          <w:szCs w:val="20"/>
          <w:lang w:val="fr-FR"/>
        </w:rPr>
        <w:t>é</w:t>
      </w:r>
      <w:r>
        <w:rPr>
          <w:rFonts w:ascii="Times New Roman" w:hAnsi="Times New Roman" w:cs="Times New Roman"/>
          <w:sz w:val="20"/>
          <w:szCs w:val="20"/>
          <w:lang w:val="en-US"/>
        </w:rPr>
        <w:t>sions épiploïque</w:t>
      </w:r>
      <w:r>
        <w:rPr>
          <w:rFonts w:hint="default" w:ascii="Times New Roman" w:hAnsi="Times New Roman" w:cs="Times New Roman"/>
          <w:sz w:val="20"/>
          <w:szCs w:val="20"/>
          <w:lang w:val="fr-FR"/>
        </w:rPr>
        <w:t>s</w:t>
      </w:r>
      <w:r>
        <w:rPr>
          <w:rFonts w:ascii="Times New Roman" w:hAnsi="Times New Roman" w:cs="Times New Roman"/>
          <w:sz w:val="20"/>
          <w:szCs w:val="20"/>
          <w:lang w:val="en-US"/>
        </w:rPr>
        <w:t>.</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sz w:val="20"/>
          <w:szCs w:val="20"/>
          <w:lang w:val="en-US"/>
        </w:rPr>
      </w:pPr>
      <w:r>
        <w:rPr>
          <w:rFonts w:ascii="Times New Roman" w:hAnsi="Times New Roman" w:cs="Times New Roman"/>
          <w:sz w:val="20"/>
          <w:szCs w:val="20"/>
          <w:lang w:val="en-US"/>
        </w:rPr>
        <w:t xml:space="preserve">Les examens complémentaires ont pour but de confirmer le diagnostic. La règle d’opérer systématiquement toutes plaies pénétrantes de l’abdomen a le mérite de supprimer toute hésitation quant à l’existence ou non d’une lésion viscérale et surtout d’annuler le risque de la méconnaître. Une attitude nuancée initiée en 1960 par SHAFTAN </w:t>
      </w:r>
      <w:r>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ZOTERO_ITEM CSL_CITATION {"citationID":"Lh6Qs2jY","properties":{"formattedCitation":"(19)","plainCitation":"(19)","noteIndex":0},"citationItems":[{"id":646,"uris":["http://zotero.org/users/5416333/items/KGEDZ2YF"],"uri":["http://zotero.org/users/5416333/items/KGEDZ2YF"],"itemData":{"id":646,"type":"article-newspaper","title":"G.W. SHAFTAN.Indication of operation in abdominal trauma. Ann. Surg. 1960, 99 : 657"}}],"schema":"https://github.com/citation-style-language/schema/raw/master/csl-citation.json"} </w:instrText>
      </w:r>
      <w:r>
        <w:rPr>
          <w:rFonts w:ascii="Times New Roman" w:hAnsi="Times New Roman" w:cs="Times New Roman"/>
          <w:sz w:val="20"/>
          <w:szCs w:val="20"/>
          <w:lang w:val="en-US"/>
        </w:rPr>
        <w:fldChar w:fldCharType="separate"/>
      </w:r>
      <w:r>
        <w:rPr>
          <w:rFonts w:ascii="Times New Roman" w:hAnsi="Times New Roman" w:cs="Times New Roman"/>
          <w:sz w:val="20"/>
          <w:szCs w:val="20"/>
          <w:lang w:val="en-US"/>
        </w:rPr>
        <w:t>(19)</w:t>
      </w:r>
      <w:r>
        <w:rPr>
          <w:rFonts w:ascii="Times New Roman" w:hAnsi="Times New Roman" w:cs="Times New Roman"/>
          <w:sz w:val="20"/>
          <w:szCs w:val="20"/>
          <w:lang w:val="en-US"/>
        </w:rPr>
        <w:fldChar w:fldCharType="end"/>
      </w:r>
      <w:r>
        <w:rPr>
          <w:rFonts w:ascii="Times New Roman" w:hAnsi="Times New Roman" w:cs="Times New Roman"/>
          <w:sz w:val="20"/>
          <w:szCs w:val="20"/>
          <w:lang w:val="en-US"/>
        </w:rPr>
        <w:t xml:space="preserve"> prône l’abstentionnisme. Cet abstentionnisme sélectif </w:t>
      </w:r>
      <w:r>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ZOTERO_ITEM CSL_CITATION {"citationID":"mC7WSnOq","properties":{"formattedCitation":"(20)","plainCitation":"(20)","noteIndex":0},"citationItems":[{"id":645,"uris":["http://zotero.org/users/5416333/items/QP45ZNC2"],"uri":["http://zotero.org/users/5416333/items/QP45ZNC2"],"itemData":{"id":645,"type":"article-newspaper","title":"M. NEJJAR, S. BENNANI, O.N. ZEROUALI. Plaies pénétrantes de l’abdomen, à propos de 330 cas. J. Chir. (Paris) 1991, 128, (8-9) : 381-384"}}],"schema":"https://github.com/citation-style-language/schema/raw/master/csl-citation.json"} </w:instrText>
      </w:r>
      <w:r>
        <w:rPr>
          <w:rFonts w:ascii="Times New Roman" w:hAnsi="Times New Roman" w:cs="Times New Roman"/>
          <w:sz w:val="20"/>
          <w:szCs w:val="20"/>
          <w:lang w:val="en-US"/>
        </w:rPr>
        <w:fldChar w:fldCharType="separate"/>
      </w:r>
      <w:r>
        <w:rPr>
          <w:rFonts w:ascii="Times New Roman" w:hAnsi="Times New Roman" w:cs="Times New Roman"/>
          <w:sz w:val="20"/>
          <w:szCs w:val="20"/>
          <w:lang w:val="en-US"/>
        </w:rPr>
        <w:t>(20)</w:t>
      </w:r>
      <w:r>
        <w:rPr>
          <w:rFonts w:ascii="Times New Roman" w:hAnsi="Times New Roman" w:cs="Times New Roman"/>
          <w:sz w:val="20"/>
          <w:szCs w:val="20"/>
          <w:lang w:val="en-US"/>
        </w:rPr>
        <w:fldChar w:fldCharType="end"/>
      </w:r>
      <w:r>
        <w:rPr>
          <w:rFonts w:ascii="Times New Roman" w:hAnsi="Times New Roman" w:cs="Times New Roman"/>
          <w:sz w:val="20"/>
          <w:szCs w:val="20"/>
          <w:lang w:val="en-US"/>
        </w:rPr>
        <w:t xml:space="preserve"> vise à opérer seulement les blessés porteurs de lésions viscérales évidentes, sous réserve d’une surveillance « armée » des autres </w:t>
      </w:r>
      <w:r>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ZOTERO_ITEM CSL_CITATION {"citationID":"DUhdaK1B","properties":{"formattedCitation":"(20\\uc0\\u8211{}22)","plainCitation":"(20–22)","noteIndex":0},"citationItems":[{"id":645,"uris":["http://zotero.org/users/5416333/items/QP45ZNC2"],"uri":["http://zotero.org/users/5416333/items/QP45ZNC2"],"itemData":{"id":645,"type":"article-newspaper","title":"M. NEJJAR, S. BENNANI, O.N. ZEROUALI. Plaies pénétrantes de l’abdomen, à propos de 330 cas. J. Chir. (Paris) 1991, 128, (8-9) : 381-384"}},{"id":644,"uris":["http://zotero.org/users/5416333/items/EVYSFYGS"],"uri":["http://zotero.org/users/5416333/items/EVYSFYGS"],"itemData":{"id":644,"type":"article-newspaper","title":"A. AYITE, K. ETEY, L. FETEKE, M. DOSSIM. Les plaies pénétrantes de l’abdomen au chu de lomé - a propos de 44 cas. Médecine d'Afrique Noire. 1996, 43 (12)"}},{"id":659,"uris":["http://zotero.org/users/5416333/items/U4WRCUDD"],"uri":["http://zotero.org/users/5416333/items/U4WRCUDD"],"itemData":{"id":659,"type":"article-journal","title":"Plaies pénétrantes de l’abdomen : \"abstentionnisme sélectif\" versus laparotomie systématique","container-title":"Mémoires. Académie de chirurgie (France)","volume":"e-mémoires de l'Académie Nationale de Chirurgie, 2003, 2 (2) : 22-25","author":[{"family":"Dieng","given":"Madieng"}],"issued":{"date-parts":[["2003"]]}}}],"schema":"https://github.com/citation-style-language/schema/raw/master/csl-citation.json"} </w:instrText>
      </w:r>
      <w:r>
        <w:rPr>
          <w:rFonts w:ascii="Times New Roman" w:hAnsi="Times New Roman" w:cs="Times New Roman"/>
          <w:sz w:val="20"/>
          <w:szCs w:val="20"/>
          <w:lang w:val="en-US"/>
        </w:rPr>
        <w:fldChar w:fldCharType="separate"/>
      </w:r>
      <w:r>
        <w:rPr>
          <w:rFonts w:ascii="Times New Roman" w:hAnsi="Times New Roman" w:cs="Times New Roman"/>
          <w:sz w:val="20"/>
          <w:szCs w:val="20"/>
          <w:lang w:val="en-US"/>
        </w:rPr>
        <w:t>(20–22)</w:t>
      </w:r>
      <w:r>
        <w:rPr>
          <w:rFonts w:ascii="Times New Roman" w:hAnsi="Times New Roman" w:cs="Times New Roman"/>
          <w:sz w:val="20"/>
          <w:szCs w:val="20"/>
          <w:lang w:val="en-US"/>
        </w:rPr>
        <w:fldChar w:fldCharType="end"/>
      </w:r>
      <w:r>
        <w:rPr>
          <w:rFonts w:ascii="Times New Roman" w:hAnsi="Times New Roman" w:cs="Times New Roman"/>
          <w:sz w:val="20"/>
          <w:szCs w:val="20"/>
          <w:lang w:val="en-US"/>
        </w:rPr>
        <w:t>. Les patients sous surveillance « armée » auront des indications opératoires secondairement ou des non indication</w:t>
      </w:r>
      <w:r>
        <w:rPr>
          <w:rFonts w:hint="default" w:ascii="Times New Roman" w:hAnsi="Times New Roman" w:cs="Times New Roman"/>
          <w:sz w:val="20"/>
          <w:szCs w:val="20"/>
          <w:lang w:val="fr-FR"/>
        </w:rPr>
        <w:t>s</w:t>
      </w:r>
      <w:r>
        <w:rPr>
          <w:rFonts w:ascii="Times New Roman" w:hAnsi="Times New Roman" w:cs="Times New Roman"/>
          <w:sz w:val="20"/>
          <w:szCs w:val="20"/>
          <w:lang w:val="en-US"/>
        </w:rPr>
        <w:t xml:space="preserve">. Pour ce groupe de blessés les examens complémentaires ont pour but d’affirmer le caractère pénétrant ou perforant. La tomodensitométrie reste le gold standard pour l’imagerie des PPA, avec une sensibilité estimée à 80% </w:t>
      </w:r>
      <w:r>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ZOTERO_ITEM CSL_CITATION {"citationID":"GCzlZAA7","properties":{"formattedCitation":"(19)","plainCitation":"(19)","noteIndex":0},"citationItems":[{"id":646,"uris":["http://zotero.org/users/5416333/items/KGEDZ2YF"],"uri":["http://zotero.org/users/5416333/items/KGEDZ2YF"],"itemData":{"id":646,"type":"article-newspaper","title":"G.W. SHAFTAN.Indication of operation in abdominal trauma. Ann. Surg. 1960, 99 : 657"}}],"schema":"https://github.com/citation-style-language/schema/raw/master/csl-citation.json"} </w:instrText>
      </w:r>
      <w:r>
        <w:rPr>
          <w:rFonts w:ascii="Times New Roman" w:hAnsi="Times New Roman" w:cs="Times New Roman"/>
          <w:sz w:val="20"/>
          <w:szCs w:val="20"/>
          <w:lang w:val="en-US"/>
        </w:rPr>
        <w:fldChar w:fldCharType="separate"/>
      </w:r>
      <w:r>
        <w:rPr>
          <w:rFonts w:ascii="Times New Roman" w:hAnsi="Times New Roman" w:cs="Times New Roman"/>
          <w:sz w:val="20"/>
          <w:szCs w:val="20"/>
          <w:lang w:val="en-US"/>
        </w:rPr>
        <w:t>(19)</w:t>
      </w:r>
      <w:r>
        <w:rPr>
          <w:rFonts w:ascii="Times New Roman" w:hAnsi="Times New Roman" w:cs="Times New Roman"/>
          <w:sz w:val="20"/>
          <w:szCs w:val="20"/>
          <w:lang w:val="en-US"/>
        </w:rPr>
        <w:fldChar w:fldCharType="end"/>
      </w:r>
      <w:r>
        <w:rPr>
          <w:rFonts w:ascii="Times New Roman" w:hAnsi="Times New Roman" w:cs="Times New Roman"/>
          <w:sz w:val="20"/>
          <w:szCs w:val="20"/>
          <w:lang w:val="en-US"/>
        </w:rPr>
        <w:t xml:space="preserve">; suivi par l’échographie et la radiographie standard </w:t>
      </w:r>
      <w:r>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ZOTERO_ITEM CSL_CITATION {"citationID":"ClzOOwLH","properties":{"formattedCitation":"(11)","plainCitation":"(11)","noteIndex":0},"citationItems":[{"id":571,"uris":["http://zotero.org/users/5416333/items/MMHNA4SP"],"uri":["http://zotero.org/users/5416333/items/MMHNA4SP"],"itemData":{"id":571,"type":"article-journal","title":"Management of penetrant abdominal wounds at the teaching university hospital of Brazzaville, Congo","container-title":"Management","volume":"2","issue":"5","author":[{"family":"Massamba Miabaou","given":"D."},{"family":"Bhodheo","given":"M."},{"family":"Note Madzele","given":"M."},{"family":"Motoula Latou","given":"N."},{"family":"Nzaka Moukala","given":"C."},{"family":"Tsouassa Wangono","given":"G."}],"issued":{"date-parts":[["2017"]]}}}],"schema":"https://github.com/citation-style-language/schema/raw/master/csl-citation.json"} </w:instrText>
      </w:r>
      <w:r>
        <w:rPr>
          <w:rFonts w:ascii="Times New Roman" w:hAnsi="Times New Roman" w:cs="Times New Roman"/>
          <w:sz w:val="20"/>
          <w:szCs w:val="20"/>
          <w:lang w:val="en-US"/>
        </w:rPr>
        <w:fldChar w:fldCharType="separate"/>
      </w:r>
      <w:r>
        <w:rPr>
          <w:rFonts w:ascii="Times New Roman" w:hAnsi="Times New Roman" w:cs="Times New Roman"/>
          <w:sz w:val="20"/>
          <w:szCs w:val="20"/>
          <w:lang w:val="en-US"/>
        </w:rPr>
        <w:t>(11)</w:t>
      </w:r>
      <w:r>
        <w:rPr>
          <w:rFonts w:ascii="Times New Roman" w:hAnsi="Times New Roman" w:cs="Times New Roman"/>
          <w:sz w:val="20"/>
          <w:szCs w:val="20"/>
          <w:lang w:val="en-US"/>
        </w:rPr>
        <w:fldChar w:fldCharType="end"/>
      </w:r>
      <w:r>
        <w:rPr>
          <w:rFonts w:ascii="Times New Roman" w:hAnsi="Times New Roman" w:cs="Times New Roman"/>
          <w:sz w:val="20"/>
          <w:szCs w:val="20"/>
          <w:lang w:val="en-US"/>
        </w:rPr>
        <w:t>. Dans notre étude les examens complémentaires utilisés étaient la radiographie de l’ASP, la radiographie du thorax, l’échographie abdomino</w:t>
      </w:r>
      <w:r>
        <w:rPr>
          <w:rFonts w:hint="default" w:ascii="Times New Roman" w:hAnsi="Times New Roman" w:cs="Times New Roman"/>
          <w:sz w:val="20"/>
          <w:szCs w:val="20"/>
          <w:lang w:val="fr-FR"/>
        </w:rPr>
        <w:t>-</w:t>
      </w:r>
      <w:r>
        <w:rPr>
          <w:rFonts w:ascii="Times New Roman" w:hAnsi="Times New Roman" w:cs="Times New Roman"/>
          <w:sz w:val="20"/>
          <w:szCs w:val="20"/>
          <w:lang w:val="en-US"/>
        </w:rPr>
        <w:t xml:space="preserve">pelvienne et l’exploration de la plaie. L’exploration du trajet de la plaie au doigt ganté sous anesthésie est très sensible selon des auteurs </w:t>
      </w:r>
      <w:r>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ZOTERO_ITEM CSL_CITATION {"citationID":"tI9Yinn5","properties":{"formattedCitation":"(21)","plainCitation":"(21)","noteIndex":0},"citationItems":[{"id":644,"uris":["http://zotero.org/users/5416333/items/EVYSFYGS"],"uri":["http://zotero.org/users/5416333/items/EVYSFYGS"],"itemData":{"id":644,"type":"article-newspaper","title":"A. AYITE, K. ETEY, L. FETEKE, M. DOSSIM. Les plaies pénétrantes de l’abdomen au chu de lomé - a propos de 44 cas. Médecine d'Afrique Noire. 1996, 43 (12)"}}],"schema":"https://github.com/citation-style-language/schema/raw/master/csl-citation.json"} </w:instrText>
      </w:r>
      <w:r>
        <w:rPr>
          <w:rFonts w:ascii="Times New Roman" w:hAnsi="Times New Roman" w:cs="Times New Roman"/>
          <w:sz w:val="20"/>
          <w:szCs w:val="20"/>
          <w:lang w:val="en-US"/>
        </w:rPr>
        <w:fldChar w:fldCharType="separate"/>
      </w:r>
      <w:r>
        <w:rPr>
          <w:rFonts w:ascii="Times New Roman" w:hAnsi="Times New Roman" w:cs="Times New Roman"/>
          <w:sz w:val="20"/>
          <w:szCs w:val="20"/>
          <w:lang w:val="en-US"/>
        </w:rPr>
        <w:t>(21)</w:t>
      </w:r>
      <w:r>
        <w:rPr>
          <w:rFonts w:ascii="Times New Roman" w:hAnsi="Times New Roman" w:cs="Times New Roman"/>
          <w:sz w:val="20"/>
          <w:szCs w:val="20"/>
          <w:lang w:val="en-US"/>
        </w:rPr>
        <w:fldChar w:fldCharType="end"/>
      </w:r>
      <w:r>
        <w:rPr>
          <w:rFonts w:ascii="Times New Roman" w:hAnsi="Times New Roman" w:cs="Times New Roman"/>
          <w:sz w:val="20"/>
          <w:szCs w:val="20"/>
          <w:lang w:val="en-US"/>
        </w:rPr>
        <w:t xml:space="preserve">, elle a été faite chez 14 blessés dans notre étude. L’exploration de la plaie au stylet n’a pas été faite car proscrite par plusieurs auteurs parce que dangereuse </w:t>
      </w:r>
      <w:r>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ZOTERO_ITEM CSL_CITATION {"citationID":"QxSJ5so4","properties":{"formattedCitation":"(23\\uc0\\u8211{}25)","plainCitation":"(23–25)","noteIndex":0},"citationItems":[{"id":647,"uris":["http://zotero.org/users/5416333/items/6Z7J7ER5"],"uri":["http://zotero.org/users/5416333/items/6Z7J7ER5"],"itemData":{"id":647,"type":"article-newspaper","title":"B. CHICHE, P. MOULE. Urgences chirurgicales. Masson Abrégés (Paris) 1980 86-90."}},{"id":648,"uris":["http://zotero.org/users/5416333/items/TY75F8P6"],"uri":["http://zotero.org/users/5416333/items/TY75F8P6"],"itemData":{"id":648,"type":"article-newspaper","title":"PH. CLOT. Contusions et plaies de l’abdomen.. EMC, Paris, Urgences 11 - 1979 - 24039 - A10"}},{"id":649,"uris":["http://zotero.org/users/5416333/items/R4EYMWRP"],"uri":["http://zotero.org/users/5416333/items/R4EYMWRP"],"itemData":{"id":649,"type":"article-newspaper","title":"F.C. NANCE, M.H. WENNAR, W. LESTER et Coll. S u rgical judgment in the management of penetrating wounds of the abdomen. Ann. Surg. 1974, 179, (5) : 639-646"}}],"schema":"https://github.com/citation-style-language/schema/raw/master/csl-citation.json"} </w:instrText>
      </w:r>
      <w:r>
        <w:rPr>
          <w:rFonts w:ascii="Times New Roman" w:hAnsi="Times New Roman" w:cs="Times New Roman"/>
          <w:sz w:val="20"/>
          <w:szCs w:val="20"/>
          <w:lang w:val="en-US"/>
        </w:rPr>
        <w:fldChar w:fldCharType="separate"/>
      </w:r>
      <w:r>
        <w:rPr>
          <w:rFonts w:ascii="Times New Roman" w:hAnsi="Times New Roman" w:cs="Times New Roman"/>
          <w:sz w:val="20"/>
          <w:szCs w:val="20"/>
          <w:lang w:val="en-US"/>
        </w:rPr>
        <w:t>(23–25)</w:t>
      </w:r>
      <w:r>
        <w:rPr>
          <w:rFonts w:ascii="Times New Roman" w:hAnsi="Times New Roman" w:cs="Times New Roman"/>
          <w:sz w:val="20"/>
          <w:szCs w:val="20"/>
          <w:lang w:val="en-US"/>
        </w:rPr>
        <w:fldChar w:fldCharType="end"/>
      </w:r>
      <w:r>
        <w:rPr>
          <w:rFonts w:ascii="Times New Roman" w:hAnsi="Times New Roman" w:cs="Times New Roman"/>
          <w:sz w:val="20"/>
          <w:szCs w:val="20"/>
          <w:lang w:val="en-US"/>
        </w:rPr>
        <w:t xml:space="preserve"> même si NEJJAR l’estime fiable lorsqu’elle est appliquée avec prudence </w:t>
      </w:r>
      <w:r>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ZOTERO_ITEM CSL_CITATION {"citationID":"Y5emYo5y","properties":{"formattedCitation":"(20)","plainCitation":"(20)","noteIndex":0},"citationItems":[{"id":645,"uris":["http://zotero.org/users/5416333/items/QP45ZNC2"],"uri":["http://zotero.org/users/5416333/items/QP45ZNC2"],"itemData":{"id":645,"type":"article-newspaper","title":"M. NEJJAR, S. BENNANI, O.N. ZEROUALI. Plaies pénétrantes de l’abdomen, à propos de 330 cas. J. Chir. (Paris) 1991, 128, (8-9) : 381-384"}}],"schema":"https://github.com/citation-style-language/schema/raw/master/csl-citation.json"} </w:instrText>
      </w:r>
      <w:r>
        <w:rPr>
          <w:rFonts w:ascii="Times New Roman" w:hAnsi="Times New Roman" w:cs="Times New Roman"/>
          <w:sz w:val="20"/>
          <w:szCs w:val="20"/>
          <w:lang w:val="en-US"/>
        </w:rPr>
        <w:fldChar w:fldCharType="separate"/>
      </w:r>
      <w:r>
        <w:rPr>
          <w:rFonts w:ascii="Times New Roman" w:hAnsi="Times New Roman" w:cs="Times New Roman"/>
          <w:sz w:val="20"/>
          <w:szCs w:val="20"/>
          <w:lang w:val="en-US"/>
        </w:rPr>
        <w:t>(20)</w:t>
      </w:r>
      <w:r>
        <w:rPr>
          <w:rFonts w:ascii="Times New Roman" w:hAnsi="Times New Roman" w:cs="Times New Roman"/>
          <w:sz w:val="20"/>
          <w:szCs w:val="20"/>
          <w:lang w:val="en-US"/>
        </w:rPr>
        <w:fldChar w:fldCharType="end"/>
      </w:r>
      <w:r>
        <w:rPr>
          <w:rFonts w:ascii="Times New Roman" w:hAnsi="Times New Roman" w:cs="Times New Roman"/>
          <w:sz w:val="20"/>
          <w:szCs w:val="20"/>
          <w:lang w:val="en-US"/>
        </w:rPr>
        <w:t>.</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sz w:val="20"/>
          <w:szCs w:val="20"/>
          <w:lang w:val="en-US"/>
        </w:rPr>
      </w:pPr>
      <w:r>
        <w:rPr>
          <w:rFonts w:ascii="Times New Roman" w:hAnsi="Times New Roman" w:cs="Times New Roman"/>
          <w:sz w:val="20"/>
          <w:szCs w:val="20"/>
          <w:lang w:val="en-US"/>
        </w:rPr>
        <w:t xml:space="preserve">Les plaies pénétrantes abdominales posent des problèmes diagnostic qui sont liés aux indications opératoire. Les plaies par arme à feu entraînent presque toujours des lésions viscérales généralement multiples, et doivent être systématiquement opérées </w:t>
      </w:r>
      <w:r>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ZOTERO_ITEM CSL_CITATION {"citationID":"mIUSrQSI","properties":{"formattedCitation":"(20,23\\uc0\\u8211{}25)","plainCitation":"(20,23–25)","noteIndex":0},"citationItems":[{"id":645,"uris":["http://zotero.org/users/5416333/items/QP45ZNC2"],"uri":["http://zotero.org/users/5416333/items/QP45ZNC2"],"itemData":{"id":645,"type":"article-newspaper","title":"M. NEJJAR, S. BENNANI, O.N. ZEROUALI. Plaies pénétrantes de l’abdomen, à propos de 330 cas. J. Chir. (Paris) 1991, 128, (8-9) : 381-384"}},{"id":647,"uris":["http://zotero.org/users/5416333/items/6Z7J7ER5"],"uri":["http://zotero.org/users/5416333/items/6Z7J7ER5"],"itemData":{"id":647,"type":"article-newspaper","title":"B. CHICHE, P. MOULE. Urgences chirurgicales. Masson Abrégés (Paris) 1980 86-90."}},{"id":648,"uris":["http://zotero.org/users/5416333/items/TY75F8P6"],"uri":["http://zotero.org/users/5416333/items/TY75F8P6"],"itemData":{"id":648,"type":"article-newspaper","title":"PH. CLOT. Contusions et plaies de l’abdomen.. EMC, Paris, Urgences 11 - 1979 - 24039 - A10"}},{"id":649,"uris":["http://zotero.org/users/5416333/items/R4EYMWRP"],"uri":["http://zotero.org/users/5416333/items/R4EYMWRP"],"itemData":{"id":649,"type":"article-newspaper","title":"F.C. NANCE, M.H. WENNAR, W. LESTER et Coll. S u rgical judgment in the management of penetrating wounds of the abdomen. Ann. Surg. 1974, 179, (5) : 639-646"}}],"schema":"https://github.com/citation-style-language/schema/raw/master/csl-citation.json"} </w:instrText>
      </w:r>
      <w:r>
        <w:rPr>
          <w:rFonts w:ascii="Times New Roman" w:hAnsi="Times New Roman" w:cs="Times New Roman"/>
          <w:sz w:val="20"/>
          <w:szCs w:val="20"/>
          <w:lang w:val="en-US"/>
        </w:rPr>
        <w:fldChar w:fldCharType="separate"/>
      </w:r>
      <w:r>
        <w:rPr>
          <w:rFonts w:ascii="Times New Roman" w:hAnsi="Times New Roman" w:cs="Times New Roman"/>
          <w:sz w:val="20"/>
          <w:szCs w:val="20"/>
          <w:lang w:val="en-US"/>
        </w:rPr>
        <w:t>(20,23–25)</w:t>
      </w:r>
      <w:r>
        <w:rPr>
          <w:rFonts w:ascii="Times New Roman" w:hAnsi="Times New Roman" w:cs="Times New Roman"/>
          <w:sz w:val="20"/>
          <w:szCs w:val="20"/>
          <w:lang w:val="en-US"/>
        </w:rPr>
        <w:fldChar w:fldCharType="end"/>
      </w:r>
      <w:r>
        <w:rPr>
          <w:rFonts w:ascii="Times New Roman" w:hAnsi="Times New Roman" w:cs="Times New Roman"/>
          <w:sz w:val="20"/>
          <w:szCs w:val="20"/>
          <w:lang w:val="en-US"/>
        </w:rPr>
        <w:t xml:space="preserve">. A contrario certaines séries de plaies abdominale par AF ont pu appliquer la politique de surveillance avec succès </w:t>
      </w:r>
      <w:r>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ZOTERO_ITEM CSL_CITATION {"citationID":"VjfQdW2t","properties":{"formattedCitation":"(24)","plainCitation":"(24)","noteIndex":0},"citationItems":[{"id":648,"uris":["http://zotero.org/users/5416333/items/TY75F8P6"],"uri":["http://zotero.org/users/5416333/items/TY75F8P6"],"itemData":{"id":648,"type":"article-newspaper","title":"PH. CLOT. Contusions et plaies de l’abdomen.. EMC, Paris, Urgences 11 - 1979 - 24039 - A10"}}],"schema":"https://github.com/citation-style-language/schema/raw/master/csl-citation.json"} </w:instrText>
      </w:r>
      <w:r>
        <w:rPr>
          <w:rFonts w:ascii="Times New Roman" w:hAnsi="Times New Roman" w:cs="Times New Roman"/>
          <w:sz w:val="20"/>
          <w:szCs w:val="20"/>
          <w:lang w:val="en-US"/>
        </w:rPr>
        <w:fldChar w:fldCharType="separate"/>
      </w:r>
      <w:r>
        <w:rPr>
          <w:rFonts w:ascii="Times New Roman" w:hAnsi="Times New Roman" w:cs="Times New Roman"/>
          <w:sz w:val="20"/>
          <w:szCs w:val="20"/>
          <w:lang w:val="en-US"/>
        </w:rPr>
        <w:t>(24)</w:t>
      </w:r>
      <w:r>
        <w:rPr>
          <w:rFonts w:ascii="Times New Roman" w:hAnsi="Times New Roman" w:cs="Times New Roman"/>
          <w:sz w:val="20"/>
          <w:szCs w:val="20"/>
          <w:lang w:val="en-US"/>
        </w:rPr>
        <w:fldChar w:fldCharType="end"/>
      </w:r>
      <w:r>
        <w:rPr>
          <w:rFonts w:ascii="Times New Roman" w:hAnsi="Times New Roman" w:cs="Times New Roman"/>
          <w:sz w:val="20"/>
          <w:szCs w:val="20"/>
          <w:lang w:val="en-US"/>
        </w:rPr>
        <w:t>.</w:t>
      </w:r>
      <w:r>
        <w:rPr>
          <w:rFonts w:hint="default" w:ascii="Times New Roman" w:hAnsi="Times New Roman" w:cs="Times New Roman"/>
          <w:sz w:val="20"/>
          <w:szCs w:val="20"/>
          <w:lang w:val="fr-FR"/>
        </w:rPr>
        <w:t xml:space="preserve"> </w:t>
      </w:r>
      <w:r>
        <w:rPr>
          <w:rFonts w:ascii="Times New Roman" w:hAnsi="Times New Roman" w:cs="Times New Roman"/>
          <w:sz w:val="20"/>
          <w:szCs w:val="20"/>
          <w:lang w:val="en-US"/>
        </w:rPr>
        <w:t>Dans nos conditions de travail nous avons systématiquement opéré tous les blessés par arme a feu qui représentaient 5,4% de la population d’étude. Les plaies par arme blanche ont des expressions cliniques variées ne permettant pas toujours d’affirmer le caractère pénétrant et surtout la lésion viscérale éventuelle.</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sz w:val="20"/>
          <w:szCs w:val="20"/>
          <w:lang w:val="en-US"/>
        </w:rPr>
      </w:pPr>
      <w:r>
        <w:rPr>
          <w:rFonts w:ascii="Times New Roman" w:hAnsi="Times New Roman" w:cs="Times New Roman"/>
          <w:sz w:val="20"/>
          <w:szCs w:val="20"/>
          <w:lang w:val="en-US"/>
        </w:rPr>
        <w:t xml:space="preserve">L’indication opératoire est formelle devant des signes clinique évidant du caractère pénétrant ou perforant tel la constatation d’un état de choc avec hémopéritoine, d’une péritonite, d’une éviscération, d’un écoulement de liquide digestif à travers la plaie ou encore une arme blanche in-situ </w:t>
      </w:r>
      <w:r>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ZOTERO_ITEM CSL_CITATION {"citationID":"pUUJotrW","properties":{"formattedCitation":"(26,27)","plainCitation":"(26,27)","noteIndex":0},"citationItems":[{"id":650,"uris":["http://zotero.org/users/5416333/items/TLXY8YD8"],"uri":["http://zotero.org/users/5416333/items/TLXY8YD8"],"itemData":{"id":650,"type":"article-newspaper","title":"Duffas Jean-pierre, Traumatismes de l’abdomen (CSCT).2009 ;p1-2"}},{"id":651,"uris":["http://zotero.org/users/5416333/items/UZFZ2288"],"uri":["http://zotero.org/users/5416333/items/UZFZ2288"],"itemData":{"id":651,"type":"article-newspaper","title":"J.L. DABAN, M. BENSALAH, C. HOFMANN. Spécificités de la prise en charge des traumatismes pénétrants. Urgences 2012 ; 68 :1-13"}}],"schema":"https://github.com/citation-style-language/schema/raw/master/csl-citation.json"} </w:instrText>
      </w:r>
      <w:r>
        <w:rPr>
          <w:rFonts w:ascii="Times New Roman" w:hAnsi="Times New Roman" w:cs="Times New Roman"/>
          <w:sz w:val="20"/>
          <w:szCs w:val="20"/>
          <w:lang w:val="en-US"/>
        </w:rPr>
        <w:fldChar w:fldCharType="separate"/>
      </w:r>
      <w:r>
        <w:rPr>
          <w:rFonts w:ascii="Times New Roman" w:hAnsi="Times New Roman" w:cs="Times New Roman"/>
          <w:sz w:val="20"/>
          <w:szCs w:val="20"/>
          <w:lang w:val="en-US"/>
        </w:rPr>
        <w:t>(26,27)</w:t>
      </w:r>
      <w:r>
        <w:rPr>
          <w:rFonts w:ascii="Times New Roman" w:hAnsi="Times New Roman" w:cs="Times New Roman"/>
          <w:sz w:val="20"/>
          <w:szCs w:val="20"/>
          <w:lang w:val="en-US"/>
        </w:rPr>
        <w:fldChar w:fldCharType="end"/>
      </w:r>
      <w:r>
        <w:rPr>
          <w:rFonts w:ascii="Times New Roman" w:hAnsi="Times New Roman" w:cs="Times New Roman"/>
          <w:sz w:val="20"/>
          <w:szCs w:val="20"/>
          <w:lang w:val="en-US"/>
        </w:rPr>
        <w:t>.</w:t>
      </w:r>
      <w:r>
        <w:rPr>
          <w:rFonts w:hint="default" w:ascii="Times New Roman" w:hAnsi="Times New Roman" w:cs="Times New Roman"/>
          <w:sz w:val="20"/>
          <w:szCs w:val="20"/>
          <w:lang w:val="fr-FR"/>
        </w:rPr>
        <w:t xml:space="preserve"> </w:t>
      </w:r>
      <w:r>
        <w:rPr>
          <w:rFonts w:ascii="Times New Roman" w:hAnsi="Times New Roman" w:cs="Times New Roman"/>
          <w:sz w:val="20"/>
          <w:szCs w:val="20"/>
          <w:lang w:val="en-US"/>
        </w:rPr>
        <w:t>Les blessés ayant présenté ces signes clinique évident de plaie abdominale ont été systématiquement opéré et représentaient 59,4%</w:t>
      </w:r>
      <w:r>
        <w:rPr>
          <w:rFonts w:hint="default" w:ascii="Times New Roman" w:hAnsi="Times New Roman" w:cs="Times New Roman"/>
          <w:sz w:val="20"/>
          <w:szCs w:val="20"/>
          <w:lang w:val="fr-FR"/>
        </w:rPr>
        <w:t xml:space="preserve"> soit </w:t>
      </w:r>
      <w:r>
        <w:rPr>
          <w:rFonts w:ascii="Times New Roman" w:hAnsi="Times New Roman" w:cs="Times New Roman"/>
          <w:sz w:val="20"/>
          <w:szCs w:val="20"/>
          <w:lang w:val="en-US"/>
        </w:rPr>
        <w:t>22</w:t>
      </w:r>
      <w:r>
        <w:rPr>
          <w:rFonts w:hint="default" w:ascii="Times New Roman" w:hAnsi="Times New Roman" w:cs="Times New Roman"/>
          <w:sz w:val="20"/>
          <w:szCs w:val="20"/>
          <w:lang w:val="fr-FR"/>
        </w:rPr>
        <w:t xml:space="preserve"> cas</w:t>
      </w:r>
      <w:r>
        <w:rPr>
          <w:rFonts w:ascii="Times New Roman" w:hAnsi="Times New Roman" w:cs="Times New Roman"/>
          <w:sz w:val="20"/>
          <w:szCs w:val="20"/>
          <w:lang w:val="en-US"/>
        </w:rPr>
        <w:t>.</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sz w:val="20"/>
          <w:szCs w:val="20"/>
          <w:lang w:val="en-US"/>
        </w:rPr>
      </w:pPr>
      <w:r>
        <w:rPr>
          <w:rFonts w:ascii="Times New Roman" w:hAnsi="Times New Roman" w:cs="Times New Roman"/>
          <w:sz w:val="20"/>
          <w:szCs w:val="20"/>
          <w:lang w:val="en-US"/>
        </w:rPr>
        <w:t>Au cours de cette étude 16,2% (6</w:t>
      </w:r>
      <w:r>
        <w:rPr>
          <w:rFonts w:hint="default" w:ascii="Times New Roman" w:hAnsi="Times New Roman" w:cs="Times New Roman"/>
          <w:sz w:val="20"/>
          <w:szCs w:val="20"/>
          <w:lang w:val="fr-FR"/>
        </w:rPr>
        <w:t xml:space="preserve"> cas</w:t>
      </w:r>
      <w:r>
        <w:rPr>
          <w:rFonts w:ascii="Times New Roman" w:hAnsi="Times New Roman" w:cs="Times New Roman"/>
          <w:sz w:val="20"/>
          <w:szCs w:val="20"/>
          <w:lang w:val="en-US"/>
        </w:rPr>
        <w:t xml:space="preserve">) des laparotomies étaient blanches. Ce chiffre est supérieur au taux de laparotomie blanches retrouvé par O et al qui était de 8% </w:t>
      </w:r>
      <w:r>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ZOTERO_ITEM CSL_CITATION {"citationID":"Q5VqZcHY","properties":{"formattedCitation":"(6)","plainCitation":"(6)","noteIndex":0},"citationItems":[{"id":573,"uris":["http://zotero.org/users/5416333/items/NCA4RUGT"],"uri":["http://zotero.org/users/5416333/items/NCA4RUGT"],"itemData":{"id":573,"type":"article-journal","title":"Les Plaies Penetrantes Par Armes Blanches Et A Feu A N’djamena, Tchad: Une Epidemie Silencieuse ?","container-title":"European Scientific Journal, ESJ","page":"180","volume":"12","issue":"9","source":"eujournal.org","abstract":"Aim: the aim of this study was to report the experience of the General Hospital of National Reference in N'djamena (Chad) in the management of penetrating wounds. Patients and methods: This was a prospective study ranging from 01/07/2013 to 30/06/2014. Were included all patients undergoing penetrating stab or firearm wound. The studied variables were: age, sex, and type of trauma, prehospital delay, transport, and the treatment. The length of hospital stay, morbidity and mortality were also studied. Results: the series included 129 patients: 120 men (93%) and 9 women (7%). penetrating trauma constituted 22.7% of the 569 surgical emergency admissions. They were caused by a knife and a gun in respectively 112 (77.5%) and 17 (13.2%) patients. Brawls and assaults were the cause of trauma in 78 cases, respectively (60.5%) and 47 cases (36.4%). The cause was accidental in 4 cases (3.1%). The most used wounding agent was the knife in 100 cases (77.5%), followed by firearms in 17 cases (13.2%) and other sharp objects in 12 cases (9.3%). The admission average time was 3,7h. Patients arrived mostly by public transport. Penetrating wounds were respectively 67 cases in thoracic, 50 cases in abdominal and in 2 intracerebral cases. Treating chest wounds included: in 50.7% of cases right thoracic drain, 46.3% of left thoracic drain and 3% of bilateral thoracic drain. For abdominal penetrating wounds laparotomy was the rule. Surgical treatment in these cases: 6 gastric sutures, 25 sutures and 4 resection of the small intestine, and 10 sutures, plus 2 resections of the colon, 3 negative laparotomies. Similarly, the diaphragm, the liver, and spleen injuries had proper treatment. Elsewhere, two intra brain knives were extracted. The average stay was 8.9 days. Morbidity was 6.2% and mortality 3.1%. Conclusion: penetrating trauma is a real public health problem in N'Djamena related to brawls and aggressions. Knife is the most used agent.","DOI":"10.19044/esj.2016.v12n9p180","ISSN":"18577431","shortTitle":"Les Plaies Penetrantes Par Armes Blanches Et A Feu A N’djamena, Tchad","language":"en","author":[{"family":"O","given":"Choua"},{"family":"K","given":"Rimtebaye"},{"family":"M","given":"Adam Adami"},{"family":"G","given":"Bekoutou"},{"family":"A","given":"Anour M."}],"issued":{"date-parts":[["2016",3,30]]}}}],"schema":"https://github.com/citation-style-language/schema/raw/master/csl-citation.json"} </w:instrText>
      </w:r>
      <w:r>
        <w:rPr>
          <w:rFonts w:ascii="Times New Roman" w:hAnsi="Times New Roman" w:cs="Times New Roman"/>
          <w:sz w:val="20"/>
          <w:szCs w:val="20"/>
          <w:lang w:val="en-US"/>
        </w:rPr>
        <w:fldChar w:fldCharType="separate"/>
      </w:r>
      <w:r>
        <w:rPr>
          <w:rFonts w:ascii="Times New Roman" w:hAnsi="Times New Roman" w:cs="Times New Roman"/>
          <w:sz w:val="20"/>
          <w:szCs w:val="20"/>
          <w:lang w:val="en-US"/>
        </w:rPr>
        <w:t>(6)</w:t>
      </w:r>
      <w:r>
        <w:rPr>
          <w:rFonts w:ascii="Times New Roman" w:hAnsi="Times New Roman" w:cs="Times New Roman"/>
          <w:sz w:val="20"/>
          <w:szCs w:val="20"/>
          <w:lang w:val="en-US"/>
        </w:rPr>
        <w:fldChar w:fldCharType="end"/>
      </w:r>
      <w:r>
        <w:rPr>
          <w:rFonts w:ascii="Times New Roman" w:hAnsi="Times New Roman" w:cs="Times New Roman"/>
          <w:sz w:val="20"/>
          <w:szCs w:val="20"/>
          <w:lang w:val="en-US"/>
        </w:rPr>
        <w:t xml:space="preserve">. Il reste cependant </w:t>
      </w:r>
      <w:r>
        <w:rPr>
          <w:rFonts w:ascii="Times New Roman" w:hAnsi="Times New Roman" w:cs="Times New Roman"/>
          <w:sz w:val="20"/>
          <w:szCs w:val="20"/>
          <w:lang w:val="fr-FR"/>
        </w:rPr>
        <w:t>inférieure</w:t>
      </w:r>
      <w:r>
        <w:rPr>
          <w:rFonts w:ascii="Times New Roman" w:hAnsi="Times New Roman" w:cs="Times New Roman"/>
          <w:sz w:val="20"/>
          <w:szCs w:val="20"/>
          <w:lang w:val="en-US"/>
        </w:rPr>
        <w:t xml:space="preserve"> à plusieurs études réalisées a l’instar d</w:t>
      </w:r>
      <w:r>
        <w:rPr>
          <w:rFonts w:hint="default" w:ascii="Times New Roman" w:hAnsi="Times New Roman" w:cs="Times New Roman"/>
          <w:sz w:val="20"/>
          <w:szCs w:val="20"/>
          <w:lang w:val="fr-FR"/>
        </w:rPr>
        <w:t>e celle du</w:t>
      </w:r>
      <w:r>
        <w:rPr>
          <w:rFonts w:ascii="Times New Roman" w:hAnsi="Times New Roman" w:cs="Times New Roman"/>
          <w:sz w:val="20"/>
          <w:szCs w:val="20"/>
          <w:lang w:val="en-US"/>
        </w:rPr>
        <w:t xml:space="preserve"> Congo Brazaville qui était de 21%. Ce taux de laparotomie blanche reste élevé dans notre milieu et dans la littérature. Cela a conduit certains auteurs à adopter des algorithmes thérapeutiques en mettant un accent sur le traitement non opératoire </w:t>
      </w:r>
      <w:r>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ZOTERO_ITEM CSL_CITATION {"citationID":"H1FVvSvi","properties":{"formattedCitation":"(19,28)","plainCitation":"(19,28)","noteIndex":0},"citationItems":[{"id":646,"uris":["http://zotero.org/users/5416333/items/KGEDZ2YF"],"uri":["http://zotero.org/users/5416333/items/KGEDZ2YF"],"itemData":{"id":646,"type":"article-newspaper","title":"G.W. SHAFTAN.Indication of operation in abdominal trauma. Ann. Surg. 1960, 99 : 657"}},{"id":661,"uris":["http://zotero.org/users/5416333/items/ZZZL2DCE"],"uri":["http://zotero.org/users/5416333/items/ZZZL2DCE"],"itemData":{"id":661,"type":"article-journal","title":"Faisabilité du traitement non opératoire des plaies pénétrantes de l’abdomen en France","container-title":"Journal de Chirurgie Viscérale","page":"175-183","volume":"154","issue":"3","source":"ScienceDirect","abstract":"Résumé\nIntroduction\nEn France, le traitement non opératoire (TNO) des traumatismes pénétrants n’est pas une prise en charge communément admise. Le but de notre étude est d’évaluer la faisabilité du TNO comme traitement de certaines plaies pénétrantes de l’abdomen dans 3 hôpitaux du sud-est de la France.\nMéthodologie\nCette étude est multicentrique et rétro-prospective de janvier 2010 à septembre 2013. Tout patient ayant une plaie pénétrante de l’abdomen par arme blanche (AB) ou par arme à feu (AF) est inclus. Les patients présentant des signes d’abdomen aigu ou une instabilité hémodynamique sont immédiatement pris en charge au bloc opératoire. Ceux qui sont stables bénéficient d’une tomodensitométrie (TDM) avec injection. Si aucune lésion intra-abdominale nécessitant une chirurgie en urgence n’est retrouvée au TDM les patients sont surveillés de façon rapprochée. Les critères évalués dans l’étude sont le taux d’échec du TNO et sa morbidité, le taux de procédure non thérapeutique (PNT) et sa morbidité, la durée d’hospitalisation et une analyse de coût.\nRésultats\nCent patients sont inclus. Un patient est mort à l’admission. Vingt-sept sont sélectionnés pour un TNO (20 AB et 7 AF). Le taux de morbidité est de 18 %. Le taux d’échec est de 7,4 % (2 patients) et il n’y a aucun mort. Soixante-douze patients ont été opérés et parmi eux 22 ont eu une PNT. Dans ce sous-groupe, la morbidité est de 9 % et la mortalité nulle. La durée médiane d’hospitalisation est de 4jours pour le groupe TNO et de 5,5jours pour le groupe opéré. L’analyse de coût montre un avantage économique certain du TNO.\nConclusion\nLa réalisation d’un TNO pour certains traumatismes pénétrants de l’abdomen est faisable, même en France. Les indications peuvent être étendues à certaines plaies par AF. Les critères cliniques sont clairement définis mais les critères scannographiques doivent être plus détaillés pour améliorer la sélection des patients. Le TNO réduit le coût et la durée d’hospitalisation.\nSummary\nIntroduction\nIn France, non-operative management (NOM) is not a widely accepted treatment for penetrating wounds. The aim of our study was to evaluate the feasibility of NOM for treatment of penetrating abdominal traumas at 3 hospitals in the Southeast of France.\nMethodology\nOur study was multi-centric and retroprospective from January, 2010 to September, 2013. Patients presenting with a penetrating abdominal stab wound (SW) or gunshot wound (GSW) were included in the study. Those with signs of acute abdomen or hemodynamic instability had immediate surgery. Patients who were hemodynamically stable had a CT-scan with contrast. If no intra-abdominal injury requiring surgery was evident, patients were observed. Criteria evaluated were failed NOM and its morbidity, rate of non-therapeutic procedures (NTP) and their morbidity, length of hospital stay and cost-analysis.\nResults\nOne hundred patients were included in the study. One patient died at admission. Twenty-seven were selected for NOM (20 SW and 7 GSW). Morbidity rate was 18 %. Failure rate was 7.4 % (2 patients) and there were no mortality. Seventy-two patients required operation of which 22 were NTP. In this sub-group the morbidity rate was 9 %. There were no mortality. Median length of hospital stay was 4 days for the NOM group and 5.5 days for group requiring surgery. Cost-analysis showed an economic advantage to NOM.\nConclusion\nImplementation of NOM of penetrating trauma is feasible and safe in France. Indications may be extended even for some GSW. Clinical criteria are clearly defined but CT scan criteria should be better described to improve patient selection. NOM reduced costs and length of hospital stay.","DOI":"10.1016/j.jchirv.2016.05.011","ISSN":"1878-786X","journalAbbreviation":"Journal de Chirurgie Viscérale","author":[{"family":"Goin","given":"G."},{"family":"Massalou","given":"D."},{"family":"Bege","given":"T."},{"family":"Contargyris","given":"C."},{"family":"Avaro","given":"J. -P."},{"family":"Pauleau","given":"G."},{"family":"Balandraud","given":"P."}],"issued":{"date-parts":[["2017",6,1]]}}}],"schema":"https://github.com/citation-style-language/schema/raw/master/csl-citation.json"} </w:instrText>
      </w:r>
      <w:r>
        <w:rPr>
          <w:rFonts w:ascii="Times New Roman" w:hAnsi="Times New Roman" w:cs="Times New Roman"/>
          <w:sz w:val="20"/>
          <w:szCs w:val="20"/>
          <w:lang w:val="en-US"/>
        </w:rPr>
        <w:fldChar w:fldCharType="separate"/>
      </w:r>
      <w:r>
        <w:rPr>
          <w:rFonts w:ascii="Times New Roman" w:hAnsi="Times New Roman" w:cs="Times New Roman"/>
          <w:sz w:val="20"/>
          <w:szCs w:val="20"/>
          <w:lang w:val="en-US"/>
        </w:rPr>
        <w:t>(19,</w:t>
      </w:r>
      <w:r>
        <w:rPr>
          <w:rFonts w:hint="default" w:ascii="Times New Roman" w:hAnsi="Times New Roman" w:cs="Times New Roman"/>
          <w:sz w:val="20"/>
          <w:szCs w:val="20"/>
          <w:lang w:val="fr-FR"/>
        </w:rPr>
        <w:t xml:space="preserve"> </w:t>
      </w:r>
      <w:r>
        <w:rPr>
          <w:rFonts w:ascii="Times New Roman" w:hAnsi="Times New Roman" w:cs="Times New Roman"/>
          <w:sz w:val="20"/>
          <w:szCs w:val="20"/>
          <w:lang w:val="en-US"/>
        </w:rPr>
        <w:t>28)</w:t>
      </w:r>
      <w:r>
        <w:rPr>
          <w:rFonts w:ascii="Times New Roman" w:hAnsi="Times New Roman" w:cs="Times New Roman"/>
          <w:sz w:val="20"/>
          <w:szCs w:val="20"/>
          <w:lang w:val="en-US"/>
        </w:rPr>
        <w:fldChar w:fldCharType="end"/>
      </w:r>
      <w:r>
        <w:rPr>
          <w:rFonts w:ascii="Times New Roman" w:hAnsi="Times New Roman" w:cs="Times New Roman"/>
          <w:sz w:val="20"/>
          <w:szCs w:val="20"/>
          <w:lang w:val="en-US"/>
        </w:rPr>
        <w:t>. Au cours de notre étude nous avons établi notre prop</w:t>
      </w:r>
      <w:r>
        <w:rPr>
          <w:rFonts w:hint="default" w:ascii="Times New Roman" w:hAnsi="Times New Roman" w:cs="Times New Roman"/>
          <w:sz w:val="20"/>
          <w:szCs w:val="20"/>
          <w:lang w:val="fr-FR"/>
        </w:rPr>
        <w:t>re</w:t>
      </w:r>
      <w:r>
        <w:rPr>
          <w:rFonts w:ascii="Times New Roman" w:hAnsi="Times New Roman" w:cs="Times New Roman"/>
          <w:sz w:val="20"/>
          <w:szCs w:val="20"/>
          <w:lang w:val="en-US"/>
        </w:rPr>
        <w:t xml:space="preserve"> algorithme</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sz w:val="20"/>
          <w:szCs w:val="20"/>
          <w:lang w:val="en-US"/>
        </w:rPr>
      </w:pPr>
      <w:r>
        <w:rPr>
          <w:rFonts w:ascii="Times New Roman" w:hAnsi="Times New Roman" w:cs="Times New Roman"/>
          <w:sz w:val="20"/>
          <w:szCs w:val="20"/>
          <w:lang w:val="en-US"/>
        </w:rPr>
        <w:t>La morbidité post</w:t>
      </w:r>
      <w:r>
        <w:rPr>
          <w:rFonts w:hint="default" w:ascii="Times New Roman" w:hAnsi="Times New Roman" w:cs="Times New Roman"/>
          <w:sz w:val="20"/>
          <w:szCs w:val="20"/>
          <w:lang w:val="fr-FR"/>
        </w:rPr>
        <w:t>-</w:t>
      </w:r>
      <w:r>
        <w:rPr>
          <w:rFonts w:ascii="Times New Roman" w:hAnsi="Times New Roman" w:cs="Times New Roman"/>
          <w:sz w:val="20"/>
          <w:szCs w:val="20"/>
          <w:lang w:val="en-US"/>
        </w:rPr>
        <w:t>opératoire était marqué en majorité par des suppurations pariétales (16,2%). Les suppurations pari</w:t>
      </w:r>
      <w:r>
        <w:rPr>
          <w:rFonts w:hint="default" w:ascii="Times New Roman" w:hAnsi="Times New Roman" w:cs="Times New Roman"/>
          <w:sz w:val="20"/>
          <w:szCs w:val="20"/>
          <w:lang w:val="fr-FR"/>
        </w:rPr>
        <w:t>é</w:t>
      </w:r>
      <w:r>
        <w:rPr>
          <w:rFonts w:ascii="Times New Roman" w:hAnsi="Times New Roman" w:cs="Times New Roman"/>
          <w:sz w:val="20"/>
          <w:szCs w:val="20"/>
          <w:lang w:val="en-US"/>
        </w:rPr>
        <w:t>tal</w:t>
      </w:r>
      <w:r>
        <w:rPr>
          <w:rFonts w:hint="default" w:ascii="Times New Roman" w:hAnsi="Times New Roman" w:cs="Times New Roman"/>
          <w:sz w:val="20"/>
          <w:szCs w:val="20"/>
          <w:lang w:val="fr-FR"/>
        </w:rPr>
        <w:t>e</w:t>
      </w:r>
      <w:r>
        <w:rPr>
          <w:rFonts w:ascii="Times New Roman" w:hAnsi="Times New Roman" w:cs="Times New Roman"/>
          <w:sz w:val="20"/>
          <w:szCs w:val="20"/>
          <w:lang w:val="en-US"/>
        </w:rPr>
        <w:t>s ont été retrouvées dans plusieurs s</w:t>
      </w:r>
      <w:r>
        <w:rPr>
          <w:rFonts w:hint="default" w:ascii="Times New Roman" w:hAnsi="Times New Roman" w:cs="Times New Roman"/>
          <w:sz w:val="20"/>
          <w:szCs w:val="20"/>
          <w:lang w:val="fr-FR"/>
        </w:rPr>
        <w:t>é</w:t>
      </w:r>
      <w:r>
        <w:rPr>
          <w:rFonts w:ascii="Times New Roman" w:hAnsi="Times New Roman" w:cs="Times New Roman"/>
          <w:sz w:val="20"/>
          <w:szCs w:val="20"/>
          <w:lang w:val="en-US"/>
        </w:rPr>
        <w:t>ries comme complications majeures de la prise en charge des PPA</w:t>
      </w:r>
      <w:r>
        <w:rPr>
          <w:rFonts w:hint="default" w:ascii="Times New Roman" w:hAnsi="Times New Roman" w:cs="Times New Roman"/>
          <w:sz w:val="20"/>
          <w:szCs w:val="20"/>
          <w:lang w:val="fr-FR"/>
        </w:rPr>
        <w:t xml:space="preserve"> </w:t>
      </w:r>
      <w:r>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ZOTERO_ITEM CSL_CITATION {"citationID":"RXDXlSXH","properties":{"formattedCitation":"(6,11,16)","plainCitation":"(6,11,16)","noteIndex":0},"citationItems":[{"id":573,"uris":["http://zotero.org/users/5416333/items/NCA4RUGT"],"uri":["http://zotero.org/users/5416333/items/NCA4RUGT"],"itemData":{"id":573,"type":"article-journal","title":"Les Plaies Penetrantes Par Armes Blanches Et A Feu A N’djamena, Tchad: Une Epidemie Silencieuse ?","container-title":"European Scientific Journal, ESJ","page":"180","volume":"12","issue":"9","source":"eujournal.org","abstract":"Aim: the aim of this study was to report the experience of the General Hospital of National Reference in N'djamena (Chad) in the management of penetrating wounds. Patients and methods: This was a prospective study ranging from 01/07/2013 to 30/06/2014. Were included all patients undergoing penetrating stab or firearm wound. The studied variables were: age, sex, and type of trauma, prehospital delay, transport, and the treatment. The length of hospital stay, morbidity and mortality were also studied. Results: the series included 129 patients: 120 men (93%) and 9 women (7%). penetrating trauma constituted 22.7% of the 569 surgical emergency admissions. They were caused by a knife and a gun in respectively 112 (77.5%) and 17 (13.2%) patients. Brawls and assaults were the cause of trauma in 78 cases, respectively (60.5%) and 47 cases (36.4%). The cause was accidental in 4 cases (3.1%). The most used wounding agent was the knife in 100 cases (77.5%), followed by firearms in 17 cases (13.2%) and other sharp objects in 12 cases (9.3%). The admission average time was 3,7h. Patients arrived mostly by public transport. Penetrating wounds were respectively 67 cases in thoracic, 50 cases in abdominal and in 2 intracerebral cases. Treating chest wounds included: in 50.7% of cases right thoracic drain, 46.3% of left thoracic drain and 3% of bilateral thoracic drain. For abdominal penetrating wounds laparotomy was the rule. Surgical treatment in these cases: 6 gastric sutures, 25 sutures and 4 resection of the small intestine, and 10 sutures, plus 2 resections of the colon, 3 negative laparotomies. Similarly, the diaphragm, the liver, and spleen injuries had proper treatment. Elsewhere, two intra brain knives were extracted. The average stay was 8.9 days. Morbidity was 6.2% and mortality 3.1%. Conclusion: penetrating trauma is a real public health problem in N'Djamena related to brawls and aggressions. Knife is the most used agent.","DOI":"10.19044/esj.2016.v12n9p180","ISSN":"18577431","shortTitle":"Les Plaies Penetrantes Par Armes Blanches Et A Feu A N’djamena, Tchad","language":"en","author":[{"family":"O","given":"Choua"},{"family":"K","given":"Rimtebaye"},{"family":"M","given":"Adam Adami"},{"family":"G","given":"Bekoutou"},{"family":"A","given":"Anour M."}],"issued":{"date-parts":[["2016",3,30]]}}},{"id":571,"uris":["http://zotero.org/users/5416333/items/MMHNA4SP"],"uri":["http://zotero.org/users/5416333/items/MMHNA4SP"],"itemData":{"id":571,"type":"article-journal","title":"Management of penetrant abdominal wounds at the teaching university hospital of Brazzaville, Congo","container-title":"Management","volume":"2","issue":"5","author":[{"family":"Massamba Miabaou","given":"D."},{"family":"Bhodheo","given":"M."},{"family":"Note Madzele","given":"M."},{"family":"Motoula Latou","given":"N."},{"family":"Nzaka Moukala","given":"C."},{"family":"Tsouassa Wangono","given":"G."}],"issued":{"date-parts":[["2017"]]}}},{"id":442,"uris":["http://zotero.org/users/5416333/items/G336ADIN"],"uri":["http://zotero.org/users/5416333/items/G336ADIN"],"itemData":{"id":442,"type":"article-journal","title":"Les plaies pénétrantes de l'abdomen, conduite diagnostique et thérapeutique. À propos de 79 patients","container-title":"Annales de Chirurgie","page":"156-163","volume":"129","issue":"3","source":"ScienceDirect","abstract":"Résumé\nIntroduction. – Les plaies de l'abdomen justifient classiquement une laparotomie systématique. Toutefois, cette attitude peut être modulée en fonction de l'agent vulnérant (arme blanche ou arme à feu) et de la précision des examens d'imagerie s'ils écartent la possibilité d'une lésion viscérale et autorisent une surveillance en milieu chirurgical. Patients et méthodes. – Étude rétrospective de 79 patients (mai 1995–mai 2002) ayant une plaie pénétrante de l'abdomen : 47 (59 %) par arme blanche et 32 (41 %) par arme à feu. Les paramètres étudiés ont été la corrélation radiochirurgicale, le traitement et les suites opératoires. Résultats. – Soixante-huit patients ont été opérés de première intention, et 11 ont bénéficié d'une surveillance « armée ». Parmi les 11 patients surveillés (9 après plaie par arme blanche et 2 après plaie par arme à feu), deux ont dû être opérés (1 dans chaque groupe). La corrélation entre l'imagerie et les constatations opératoires était bonne 34 fois (72 %) après plaie par arme blanche et 21 fois (80 %) après plaie par arme à feu ; le nombre moyen de lésions viscérales était respectivement de 1 et 3. Six patients (8 %) sont décédés (mortalité de 2 et 16 % respectivement), douze (15 %) ont eu des suites compliquées. Conclusion. – Les plaies pénétrantes par arme blanche peuvent être traitées par surveillance rapprochée si l'imagerie exclue une lésion viscérale. Les plaies par arme à feu justifient encore une laparotomie systématique en raison de la multiplicité des lésions et de leur mauvais pronostic.\nIntroduction. – Traditionally, penetrating abdominal wounds justify routine laparotomy. However, this policy can be adapted to mechanism of injury (stab or firearm) and accuracy of imaging procedures if they eliminate visceral injury thus allowing close follow up. Patients and methods. – Retrospective study of 79 patients (May 1995–May 2002) with a penetrating abdominal wound: (47 (59%) stab wounds and 32 (41 %) firearm wounds). Correlation between imaging and surgical findings, treatment, post-operative course were studied. Results. – Sixty-eight patients were operated on from the outset, and 11 underwent close follow-up. Of the 11 patients who had follow-up, (9 after stab wound and 2 after firearm wound), two had to be operated (1 in each group). Correlation between imaging and surgical findings was good in 34 (72%) patients after stab wound and in 21 (80%) after firearm wound; the mean number of visceral injuries was 1 and 3 respectively. Six patients (8%) died (mortality: 2% and 16% respectively), 12 (15%) had postoperative complications. Conclusion. – Penetrating abdominal stab wounds can be treated by close follow-up if imaging excludes visceral injury. Firearm wounds still justify routine laparotomy due to both multiplicity of visceral injuries and bad prognosis.","DOI":"10.1016/j.anchir.2004.01.013","ISSN":"0003-3944","journalAbbreviation":"Annales de Chirurgie","author":[{"family":"Monneuse","given":"O. J. -Y"},{"family":"Barth","given":"X"},{"family":"Gruner","given":"L"},{"family":"Pilleul","given":"F"},{"family":"Valette","given":"P. J"},{"family":"Oulie","given":"O"},{"family":"Tissot","given":"E"}],"issued":{"date-parts":[["2004",4,1]]}}}],"schema":"https://github.com/citation-style-language/schema/raw/master/csl-citation.json"} </w:instrText>
      </w:r>
      <w:r>
        <w:rPr>
          <w:rFonts w:ascii="Times New Roman" w:hAnsi="Times New Roman" w:cs="Times New Roman"/>
          <w:sz w:val="20"/>
          <w:szCs w:val="20"/>
          <w:lang w:val="en-US"/>
        </w:rPr>
        <w:fldChar w:fldCharType="separate"/>
      </w:r>
      <w:r>
        <w:rPr>
          <w:rFonts w:ascii="Times New Roman" w:hAnsi="Times New Roman" w:cs="Times New Roman"/>
          <w:sz w:val="20"/>
          <w:szCs w:val="20"/>
          <w:lang w:val="en-US"/>
        </w:rPr>
        <w:t>(6,11,16)</w:t>
      </w:r>
      <w:r>
        <w:rPr>
          <w:rFonts w:ascii="Times New Roman" w:hAnsi="Times New Roman" w:cs="Times New Roman"/>
          <w:sz w:val="20"/>
          <w:szCs w:val="20"/>
          <w:lang w:val="en-US"/>
        </w:rPr>
        <w:fldChar w:fldCharType="end"/>
      </w:r>
      <w:r>
        <w:rPr>
          <w:rFonts w:ascii="Times New Roman" w:hAnsi="Times New Roman" w:cs="Times New Roman"/>
          <w:sz w:val="20"/>
          <w:szCs w:val="20"/>
          <w:lang w:val="en-US"/>
        </w:rPr>
        <w:t>.</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sz w:val="20"/>
          <w:szCs w:val="20"/>
          <w:lang w:val="en-US"/>
        </w:rPr>
      </w:pPr>
      <w:r>
        <w:rPr>
          <w:rFonts w:ascii="Times New Roman" w:hAnsi="Times New Roman" w:cs="Times New Roman"/>
          <w:sz w:val="20"/>
          <w:szCs w:val="20"/>
          <w:lang w:val="en-US"/>
        </w:rPr>
        <w:t xml:space="preserve">La mortalité des PPA variant selon le contexte et l’étiologie. Il est de 1% à 2% pour les AB et de 12% à 18% pour les AF </w:t>
      </w:r>
      <w:r>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ZOTERO_ITEM CSL_CITATION {"citationID":"JWPZu8nb","properties":{"formattedCitation":"(29)","plainCitation":"(29)","noteIndex":0},"citationItems":[{"id":663,"uris":["http://zotero.org/users/5416333/items/TFLS646U"],"uri":["http://zotero.org/users/5416333/items/TFLS646U"],"itemData":{"id":663,"type":"article-journal","title":"Les plaies par arme blanche et leur prise en charge aux urgences","container-title":"Journal Européen des Urgences et de Réanimation","page":"221-227","volume":"24","issue":"4","source":"ScienceDirect","abstract":"Résumé\nLes plaies par armes blanches représentent la cause la plus fréquente de plaies pénétrantes et surviennent principalement au décours d’une agression ou d’une tentative de suicide. La gravité dépend du caractère superficiel ou pénétrant de la plaie, de sa localisation, et des organes lésés. La prise en charge doit être connue car le risque vital est engagé quand la plaie est pénétrante. Les patients dont l’hémodynamique est instable doivent être opérés sans délai après réalisation d’une radio de thorax et d’une échographie Focus assisted sonography for trauma (FAST) guidant la voie d’abord. Chez les patients stables, l’examen clinique orienté, l’exploration de la plaie et des examens d’imagerie dépistent les lésions nécessitant une prise en charge chirurgicale. Les plaies pénétrantes par armes blanches requièrent une étroite et rapide collaboration entre les équipes, adaptée aux moyens de l’établissement d’accueil.\nSummary\nStab wounds represent the most common cause of penetrating wounds, occurring mainly in case of aggression or suicide attempt. Clinical severity depends on the superficial or penetrating aspect of the wound, its location and damaged organs. Medical management must be known because the vital risk is involved in penetrating wounds. Hemodynamically unstable patients should be operated without delay after performing a chest X-ray and ultrasound Focus assisted sonography for trauma (FAST) to guide the surgery. In the stable patients, the general clinical examination, exploration of the wound and medical imaging detect injuries requiring surgical management. Stab penetrating wounds require close and rapid collaboration between medical teams, tailored to the institution's resources.","DOI":"10.1016/j.jeurea.2012.10.006","ISSN":"2211-4238","journalAbbreviation":"Journal Européen des Urgences et de Réanimation","author":[{"family":"Bège","given":"T."},{"family":"Berdah","given":"S. V."},{"family":"Brunet","given":"C."}],"issued":{"date-parts":[["2012",12,1]]}}}],"schema":"https://github.com/citation-style-language/schema/raw/master/csl-citation.json"} </w:instrText>
      </w:r>
      <w:r>
        <w:rPr>
          <w:rFonts w:ascii="Times New Roman" w:hAnsi="Times New Roman" w:cs="Times New Roman"/>
          <w:sz w:val="20"/>
          <w:szCs w:val="20"/>
          <w:lang w:val="en-US"/>
        </w:rPr>
        <w:fldChar w:fldCharType="separate"/>
      </w:r>
      <w:r>
        <w:rPr>
          <w:rFonts w:ascii="Times New Roman" w:hAnsi="Times New Roman" w:cs="Times New Roman"/>
          <w:sz w:val="20"/>
          <w:szCs w:val="20"/>
          <w:lang w:val="en-US"/>
        </w:rPr>
        <w:t>(29)</w:t>
      </w:r>
      <w:r>
        <w:rPr>
          <w:rFonts w:ascii="Times New Roman" w:hAnsi="Times New Roman" w:cs="Times New Roman"/>
          <w:sz w:val="20"/>
          <w:szCs w:val="20"/>
          <w:lang w:val="en-US"/>
        </w:rPr>
        <w:fldChar w:fldCharType="end"/>
      </w:r>
      <w:r>
        <w:rPr>
          <w:rFonts w:ascii="Times New Roman" w:hAnsi="Times New Roman" w:cs="Times New Roman"/>
          <w:sz w:val="20"/>
          <w:szCs w:val="20"/>
          <w:lang w:val="en-US"/>
        </w:rPr>
        <w:t>. La mortalité globale était de 8,1%</w:t>
      </w:r>
      <w:r>
        <w:rPr>
          <w:rFonts w:hint="default" w:ascii="Times New Roman" w:hAnsi="Times New Roman" w:cs="Times New Roman"/>
          <w:sz w:val="20"/>
          <w:szCs w:val="20"/>
          <w:lang w:val="fr-FR"/>
        </w:rPr>
        <w:t xml:space="preserve"> dans notre série</w:t>
      </w:r>
      <w:r>
        <w:rPr>
          <w:rFonts w:ascii="Times New Roman" w:hAnsi="Times New Roman" w:cs="Times New Roman"/>
          <w:sz w:val="20"/>
          <w:szCs w:val="20"/>
          <w:lang w:val="en-US"/>
        </w:rPr>
        <w:t>. Dans les trois cas</w:t>
      </w:r>
      <w:r>
        <w:rPr>
          <w:rFonts w:hint="default" w:ascii="Times New Roman" w:hAnsi="Times New Roman" w:cs="Times New Roman"/>
          <w:sz w:val="20"/>
          <w:szCs w:val="20"/>
          <w:lang w:val="fr-FR"/>
        </w:rPr>
        <w:t xml:space="preserve">, </w:t>
      </w:r>
      <w:r>
        <w:rPr>
          <w:rFonts w:ascii="Times New Roman" w:hAnsi="Times New Roman" w:cs="Times New Roman"/>
          <w:sz w:val="20"/>
          <w:szCs w:val="20"/>
          <w:lang w:val="en-US"/>
        </w:rPr>
        <w:t>la cause principale des décès</w:t>
      </w:r>
      <w:r>
        <w:rPr>
          <w:rFonts w:hint="default" w:ascii="Times New Roman" w:hAnsi="Times New Roman" w:cs="Times New Roman"/>
          <w:sz w:val="20"/>
          <w:szCs w:val="20"/>
          <w:lang w:val="fr-FR"/>
        </w:rPr>
        <w:t xml:space="preserve"> était</w:t>
      </w:r>
      <w:r>
        <w:rPr>
          <w:rFonts w:ascii="Times New Roman" w:hAnsi="Times New Roman" w:cs="Times New Roman"/>
          <w:sz w:val="20"/>
          <w:szCs w:val="20"/>
          <w:lang w:val="en-US"/>
        </w:rPr>
        <w:t xml:space="preserve"> le choc hémorragique. Dans notre contexte un taux aussi </w:t>
      </w:r>
      <w:r>
        <w:rPr>
          <w:rFonts w:ascii="Times New Roman" w:hAnsi="Times New Roman" w:cs="Times New Roman"/>
          <w:sz w:val="20"/>
          <w:szCs w:val="20"/>
          <w:lang w:val="fr-FR"/>
        </w:rPr>
        <w:t>élevé</w:t>
      </w:r>
      <w:r>
        <w:rPr>
          <w:rFonts w:ascii="Times New Roman" w:hAnsi="Times New Roman" w:cs="Times New Roman"/>
          <w:sz w:val="20"/>
          <w:szCs w:val="20"/>
          <w:lang w:val="en-US"/>
        </w:rPr>
        <w:t xml:space="preserve"> de mortalité est dû a une arrivée tardive des malades dans la structure hospitalière. Ce qui pourrait être corrigé par une vulgarisation des premiers secours dans la communautés et une capacitation des services ambulanciers. La mise en place d’un système d’assurance de santé </w:t>
      </w:r>
      <w:r>
        <w:rPr>
          <w:rFonts w:hint="default" w:ascii="Times New Roman" w:hAnsi="Times New Roman" w:cs="Times New Roman"/>
          <w:sz w:val="20"/>
          <w:szCs w:val="20"/>
          <w:lang w:val="fr-FR"/>
        </w:rPr>
        <w:t xml:space="preserve">réduirait </w:t>
      </w:r>
      <w:r>
        <w:rPr>
          <w:rFonts w:ascii="Times New Roman" w:hAnsi="Times New Roman" w:cs="Times New Roman"/>
          <w:sz w:val="20"/>
          <w:szCs w:val="20"/>
          <w:lang w:val="en-US"/>
        </w:rPr>
        <w:t xml:space="preserve">le délai de prise en charge des </w:t>
      </w:r>
      <w:r>
        <w:rPr>
          <w:rFonts w:hint="default" w:ascii="Times New Roman" w:hAnsi="Times New Roman" w:cs="Times New Roman"/>
          <w:sz w:val="20"/>
          <w:szCs w:val="20"/>
          <w:lang w:val="fr-FR"/>
        </w:rPr>
        <w:t>patients</w:t>
      </w:r>
      <w:r>
        <w:rPr>
          <w:rFonts w:ascii="Times New Roman" w:hAnsi="Times New Roman" w:cs="Times New Roman"/>
          <w:sz w:val="20"/>
          <w:szCs w:val="20"/>
          <w:lang w:val="en-US"/>
        </w:rPr>
        <w:t xml:space="preserve"> aux urgences.</w:t>
      </w:r>
    </w:p>
    <w:p>
      <w:pPr>
        <w:keepNext w:val="0"/>
        <w:keepLines w:val="0"/>
        <w:pageBreakBefore w:val="0"/>
        <w:widowControl/>
        <w:kinsoku/>
        <w:wordWrap/>
        <w:overflowPunct/>
        <w:topLinePunct w:val="0"/>
        <w:autoSpaceDE/>
        <w:autoSpaceDN/>
        <w:bidi w:val="0"/>
        <w:adjustRightInd/>
        <w:snapToGrid/>
        <w:spacing w:before="120" w:after="120" w:line="240" w:lineRule="auto"/>
        <w:jc w:val="both"/>
        <w:textAlignment w:val="auto"/>
        <w:rPr>
          <w:rFonts w:hint="default" w:ascii="Times New Roman" w:hAnsi="Times New Roman" w:cs="Times New Roman"/>
          <w:b/>
          <w:sz w:val="20"/>
          <w:szCs w:val="20"/>
          <w:u w:val="none"/>
          <w:lang w:val="fr-FR"/>
        </w:rPr>
      </w:pPr>
      <w:r>
        <w:rPr>
          <w:rFonts w:hint="default" w:ascii="Times New Roman" w:hAnsi="Times New Roman" w:cs="Times New Roman"/>
          <w:b/>
          <w:sz w:val="20"/>
          <w:szCs w:val="20"/>
          <w:u w:val="none"/>
        </w:rPr>
        <w:t>CONCLUSIO</w:t>
      </w:r>
      <w:r>
        <w:rPr>
          <w:rFonts w:hint="default" w:ascii="Times New Roman" w:hAnsi="Times New Roman" w:cs="Times New Roman"/>
          <w:b/>
          <w:sz w:val="20"/>
          <w:szCs w:val="20"/>
          <w:u w:val="none"/>
          <w:lang w:val="fr-FR"/>
        </w:rPr>
        <w:t>N</w:t>
      </w:r>
    </w:p>
    <w:p>
      <w:pPr>
        <w:keepNext w:val="0"/>
        <w:keepLines w:val="0"/>
        <w:pageBreakBefore w:val="0"/>
        <w:widowControl/>
        <w:kinsoku/>
        <w:wordWrap/>
        <w:overflowPunct/>
        <w:topLinePunct w:val="0"/>
        <w:autoSpaceDE/>
        <w:autoSpaceDN/>
        <w:bidi w:val="0"/>
        <w:adjustRightInd/>
        <w:snapToGrid/>
        <w:spacing w:before="60" w:after="60" w:line="240" w:lineRule="auto"/>
        <w:jc w:val="both"/>
        <w:textAlignment w:val="auto"/>
        <w:rPr>
          <w:rFonts w:hint="default" w:ascii="Times New Roman" w:hAnsi="Times New Roman" w:eastAsia="Calibri" w:cs="Times New Roman"/>
          <w:b w:val="0"/>
          <w:bCs w:val="0"/>
          <w:sz w:val="20"/>
          <w:szCs w:val="20"/>
          <w:u w:val="none"/>
        </w:rPr>
      </w:pPr>
      <w:r>
        <w:rPr>
          <w:rFonts w:hint="default" w:ascii="Times New Roman" w:hAnsi="Times New Roman" w:eastAsia="Calibri" w:cs="Times New Roman"/>
          <w:b w:val="0"/>
          <w:bCs w:val="0"/>
          <w:sz w:val="20"/>
          <w:szCs w:val="20"/>
          <w:u w:val="none"/>
        </w:rPr>
        <w:t>A la lumière des résultats obtenus, nous pouvons dire que les plaies pénétrantes de l’abdomen sont récurrentes à l’hôpital Laquintinie de Douala. Nos résultats sont ainsi proches et comparables avec ceux de la littérature. Malgré l’insuffisance de ressources matérielles nécessaires pour le diagnostic, les laparotomies systématiques ne sont plus de rigueur. L’exploration sélective y est pratiquée comme recommandé par plusieurs auteurs, ce qui a permis d’avoir un taux de laparotomies inutiles et de mortalité acceptable dans un contexte socio-économique peu favorable.</w:t>
      </w:r>
    </w:p>
    <w:p>
      <w:pPr>
        <w:keepNext w:val="0"/>
        <w:keepLines w:val="0"/>
        <w:pageBreakBefore w:val="0"/>
        <w:widowControl/>
        <w:kinsoku/>
        <w:wordWrap/>
        <w:overflowPunct/>
        <w:topLinePunct w:val="0"/>
        <w:autoSpaceDE/>
        <w:autoSpaceDN/>
        <w:bidi w:val="0"/>
        <w:adjustRightInd/>
        <w:snapToGrid/>
        <w:spacing w:before="60" w:after="60" w:line="240" w:lineRule="auto"/>
        <w:jc w:val="both"/>
        <w:textAlignment w:val="auto"/>
        <w:rPr>
          <w:rFonts w:hint="default" w:ascii="Times New Roman" w:hAnsi="Times New Roman" w:eastAsia="Calibri" w:cs="Times New Roman"/>
          <w:b/>
          <w:bCs/>
          <w:sz w:val="20"/>
          <w:szCs w:val="20"/>
          <w:u w:val="none"/>
        </w:rPr>
      </w:pPr>
      <w:r>
        <w:rPr>
          <w:rFonts w:hint="default" w:ascii="Times New Roman" w:hAnsi="Times New Roman" w:eastAsia="Calibri" w:cs="Times New Roman"/>
          <w:b/>
          <w:bCs/>
          <w:sz w:val="20"/>
          <w:szCs w:val="20"/>
          <w:u w:val="none"/>
        </w:rPr>
        <w:t>Conflits d'intérêts</w:t>
      </w: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eastAsia="Calibri" w:cs="Times New Roman"/>
          <w:sz w:val="20"/>
          <w:szCs w:val="20"/>
        </w:rPr>
      </w:pPr>
      <w:r>
        <w:rPr>
          <w:rFonts w:hint="default" w:ascii="Times New Roman" w:hAnsi="Times New Roman" w:eastAsia="Calibri" w:cs="Times New Roman"/>
          <w:sz w:val="20"/>
          <w:szCs w:val="20"/>
        </w:rPr>
        <w:t>Les auteurs ne déclarent aucun conflit d'intérêts.</w:t>
      </w:r>
    </w:p>
    <w:p>
      <w:pPr>
        <w:keepNext w:val="0"/>
        <w:keepLines w:val="0"/>
        <w:pageBreakBefore w:val="0"/>
        <w:widowControl/>
        <w:kinsoku/>
        <w:wordWrap/>
        <w:overflowPunct/>
        <w:topLinePunct w:val="0"/>
        <w:autoSpaceDE/>
        <w:autoSpaceDN/>
        <w:bidi w:val="0"/>
        <w:adjustRightInd/>
        <w:snapToGrid/>
        <w:spacing w:before="60" w:after="60" w:line="240" w:lineRule="auto"/>
        <w:jc w:val="both"/>
        <w:textAlignment w:val="auto"/>
        <w:rPr>
          <w:rFonts w:hint="default" w:ascii="Times New Roman" w:hAnsi="Times New Roman" w:eastAsia="Calibri" w:cs="Times New Roman"/>
          <w:b/>
          <w:bCs/>
          <w:sz w:val="20"/>
          <w:szCs w:val="20"/>
        </w:rPr>
      </w:pPr>
      <w:r>
        <w:rPr>
          <w:rFonts w:hint="default" w:ascii="Times New Roman" w:hAnsi="Times New Roman" w:eastAsia="Calibri" w:cs="Times New Roman"/>
          <w:b/>
          <w:bCs/>
          <w:sz w:val="20"/>
          <w:szCs w:val="20"/>
        </w:rPr>
        <w:t>Contributions des auteurs</w:t>
      </w: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eastAsia="Calibri" w:cs="Times New Roman"/>
          <w:sz w:val="20"/>
          <w:szCs w:val="20"/>
        </w:rPr>
      </w:pPr>
      <w:r>
        <w:rPr>
          <w:rFonts w:hint="default" w:ascii="Times New Roman" w:hAnsi="Times New Roman" w:eastAsia="Calibri" w:cs="Times New Roman"/>
          <w:sz w:val="20"/>
          <w:szCs w:val="20"/>
        </w:rPr>
        <w:t>Tous les auteurs ont contribué à la conduite de ce travail. Tous les auteurs déclarent également avoir lu et approuvé la version finale du manuscrit.</w:t>
      </w:r>
    </w:p>
    <w:p>
      <w:pPr>
        <w:keepNext w:val="0"/>
        <w:keepLines w:val="0"/>
        <w:pageBreakBefore w:val="0"/>
        <w:widowControl/>
        <w:kinsoku/>
        <w:wordWrap/>
        <w:overflowPunct/>
        <w:topLinePunct w:val="0"/>
        <w:autoSpaceDE/>
        <w:autoSpaceDN/>
        <w:bidi w:val="0"/>
        <w:adjustRightInd/>
        <w:snapToGrid/>
        <w:spacing w:before="120" w:after="120" w:line="240" w:lineRule="auto"/>
        <w:jc w:val="both"/>
        <w:textAlignment w:val="auto"/>
        <w:rPr>
          <w:rFonts w:hint="default" w:ascii="Times New Roman" w:hAnsi="Times New Roman" w:cs="Times New Roman"/>
          <w:b/>
          <w:bCs/>
          <w:sz w:val="20"/>
          <w:szCs w:val="20"/>
          <w:u w:val="none"/>
        </w:rPr>
      </w:pPr>
      <w:r>
        <w:rPr>
          <w:rFonts w:ascii="Times New Roman" w:hAnsi="Times New Roman"/>
          <w:b/>
          <w:sz w:val="20"/>
          <w:szCs w:val="20"/>
        </w:rPr>
        <w:t>RÉFÉRENCES</w:t>
      </w:r>
    </w:p>
    <w:p>
      <w:pPr>
        <w:pStyle w:val="17"/>
        <w:keepNext w:val="0"/>
        <w:keepLines w:val="0"/>
        <w:pageBreakBefore w:val="0"/>
        <w:widowControl/>
        <w:tabs>
          <w:tab w:val="left" w:pos="504"/>
          <w:tab w:val="clear" w:pos="384"/>
        </w:tabs>
        <w:kinsoku/>
        <w:wordWrap/>
        <w:overflowPunct/>
        <w:topLinePunct w:val="0"/>
        <w:autoSpaceDE/>
        <w:autoSpaceDN/>
        <w:bidi w:val="0"/>
        <w:adjustRightInd/>
        <w:snapToGrid/>
        <w:spacing w:after="0"/>
        <w:jc w:val="both"/>
        <w:textAlignment w:val="auto"/>
        <w:rPr>
          <w:rFonts w:hint="default" w:ascii="Times New Roman" w:hAnsi="Times New Roman" w:cs="Times New Roman"/>
          <w:sz w:val="18"/>
          <w:szCs w:val="18"/>
        </w:rPr>
      </w:pPr>
      <w:r>
        <w:rPr>
          <w:rFonts w:hint="default" w:ascii="Times New Roman" w:hAnsi="Times New Roman" w:cs="Times New Roman"/>
          <w:sz w:val="18"/>
          <w:szCs w:val="18"/>
        </w:rPr>
        <w:t xml:space="preserve">1. </w:t>
      </w:r>
      <w:r>
        <w:rPr>
          <w:rFonts w:hint="default" w:ascii="Times New Roman" w:hAnsi="Times New Roman" w:cs="Times New Roman"/>
          <w:sz w:val="18"/>
          <w:szCs w:val="18"/>
        </w:rPr>
        <w:tab/>
      </w:r>
      <w:r>
        <w:rPr>
          <w:rFonts w:hint="default" w:ascii="Times New Roman" w:hAnsi="Times New Roman" w:cs="Times New Roman"/>
          <w:sz w:val="18"/>
          <w:szCs w:val="18"/>
        </w:rPr>
        <w:t>Benabbas H, Benachour K. Les traumatismes de l’abdomen [Internet] [Thesis]. Université de béjaia; 2018 [cité 18 janv 2019]. Disponible sur: http://172.17.1.105:8080/handle/123456789/11400</w:t>
      </w:r>
    </w:p>
    <w:p>
      <w:pPr>
        <w:pStyle w:val="17"/>
        <w:keepNext w:val="0"/>
        <w:keepLines w:val="0"/>
        <w:pageBreakBefore w:val="0"/>
        <w:widowControl/>
        <w:tabs>
          <w:tab w:val="left" w:pos="504"/>
          <w:tab w:val="clear" w:pos="384"/>
        </w:tabs>
        <w:kinsoku/>
        <w:wordWrap/>
        <w:overflowPunct/>
        <w:topLinePunct w:val="0"/>
        <w:autoSpaceDE/>
        <w:autoSpaceDN/>
        <w:bidi w:val="0"/>
        <w:adjustRightInd/>
        <w:snapToGrid/>
        <w:spacing w:after="0"/>
        <w:jc w:val="both"/>
        <w:textAlignment w:val="auto"/>
        <w:rPr>
          <w:rFonts w:hint="default" w:ascii="Times New Roman" w:hAnsi="Times New Roman" w:cs="Times New Roman"/>
          <w:sz w:val="18"/>
          <w:szCs w:val="18"/>
          <w:lang w:val="en-US"/>
        </w:rPr>
      </w:pPr>
      <w:r>
        <w:rPr>
          <w:rFonts w:hint="default" w:ascii="Times New Roman" w:hAnsi="Times New Roman" w:cs="Times New Roman"/>
          <w:sz w:val="18"/>
          <w:szCs w:val="18"/>
        </w:rPr>
        <w:t xml:space="preserve">2. </w:t>
      </w:r>
      <w:r>
        <w:rPr>
          <w:rFonts w:hint="default" w:ascii="Times New Roman" w:hAnsi="Times New Roman" w:cs="Times New Roman"/>
          <w:sz w:val="18"/>
          <w:szCs w:val="18"/>
        </w:rPr>
        <w:tab/>
      </w:r>
      <w:r>
        <w:rPr>
          <w:rFonts w:hint="default" w:ascii="Times New Roman" w:hAnsi="Times New Roman" w:cs="Times New Roman"/>
          <w:sz w:val="18"/>
          <w:szCs w:val="18"/>
        </w:rPr>
        <w:t xml:space="preserve">Hoffmann C, Goudard Y, Falzone E, Leclerc T, Planchet M, Cazes N, et al. Prise en charge des traumatismes pénétrants de l’abdomen : des spécificités à connaître. </w:t>
      </w:r>
      <w:r>
        <w:rPr>
          <w:rFonts w:hint="default" w:ascii="Times New Roman" w:hAnsi="Times New Roman" w:cs="Times New Roman"/>
          <w:sz w:val="18"/>
          <w:szCs w:val="18"/>
          <w:lang w:val="en-US"/>
        </w:rPr>
        <w:t xml:space="preserve">Ann Fr Anesth Réanimation. 1 févr 2013;32(2):104‑11. </w:t>
      </w:r>
    </w:p>
    <w:p>
      <w:pPr>
        <w:pStyle w:val="17"/>
        <w:keepNext w:val="0"/>
        <w:keepLines w:val="0"/>
        <w:pageBreakBefore w:val="0"/>
        <w:widowControl/>
        <w:tabs>
          <w:tab w:val="left" w:pos="504"/>
          <w:tab w:val="clear" w:pos="384"/>
        </w:tabs>
        <w:kinsoku/>
        <w:wordWrap/>
        <w:overflowPunct/>
        <w:topLinePunct w:val="0"/>
        <w:autoSpaceDE/>
        <w:autoSpaceDN/>
        <w:bidi w:val="0"/>
        <w:adjustRightInd/>
        <w:snapToGrid/>
        <w:spacing w:after="0"/>
        <w:jc w:val="both"/>
        <w:textAlignment w:val="auto"/>
        <w:rPr>
          <w:rFonts w:hint="default" w:ascii="Times New Roman" w:hAnsi="Times New Roman" w:cs="Times New Roman"/>
          <w:sz w:val="18"/>
          <w:szCs w:val="18"/>
        </w:rPr>
      </w:pPr>
      <w:r>
        <w:rPr>
          <w:rFonts w:hint="default" w:ascii="Times New Roman" w:hAnsi="Times New Roman" w:cs="Times New Roman"/>
          <w:sz w:val="18"/>
          <w:szCs w:val="18"/>
          <w:lang w:val="en-US"/>
        </w:rPr>
        <w:t xml:space="preserve">3. </w:t>
      </w:r>
      <w:r>
        <w:rPr>
          <w:rFonts w:hint="default" w:ascii="Times New Roman" w:hAnsi="Times New Roman" w:cs="Times New Roman"/>
          <w:sz w:val="18"/>
          <w:szCs w:val="18"/>
          <w:lang w:val="en-US"/>
        </w:rPr>
        <w:tab/>
      </w:r>
      <w:r>
        <w:rPr>
          <w:rFonts w:hint="default" w:ascii="Times New Roman" w:hAnsi="Times New Roman" w:cs="Times New Roman"/>
          <w:sz w:val="18"/>
          <w:szCs w:val="18"/>
          <w:lang w:val="en-US"/>
        </w:rPr>
        <w:t xml:space="preserve">Penetrating Abdominal Trauma: Practice Essentials, Background, Anatomy. </w:t>
      </w:r>
      <w:r>
        <w:rPr>
          <w:rFonts w:hint="default" w:ascii="Times New Roman" w:hAnsi="Times New Roman" w:cs="Times New Roman"/>
          <w:sz w:val="18"/>
          <w:szCs w:val="18"/>
        </w:rPr>
        <w:t>13 mars 2018 [cité 18 janv 2019]; Disponible sur: https://emedicine.medscape.com/article/2036859-overview#a2</w:t>
      </w:r>
    </w:p>
    <w:p>
      <w:pPr>
        <w:pStyle w:val="17"/>
        <w:keepNext w:val="0"/>
        <w:keepLines w:val="0"/>
        <w:pageBreakBefore w:val="0"/>
        <w:widowControl/>
        <w:tabs>
          <w:tab w:val="left" w:pos="504"/>
          <w:tab w:val="clear" w:pos="384"/>
        </w:tabs>
        <w:kinsoku/>
        <w:wordWrap/>
        <w:overflowPunct/>
        <w:topLinePunct w:val="0"/>
        <w:autoSpaceDE/>
        <w:autoSpaceDN/>
        <w:bidi w:val="0"/>
        <w:adjustRightInd/>
        <w:snapToGrid/>
        <w:spacing w:after="0"/>
        <w:jc w:val="both"/>
        <w:textAlignment w:val="auto"/>
        <w:rPr>
          <w:rFonts w:hint="default" w:ascii="Times New Roman" w:hAnsi="Times New Roman" w:cs="Times New Roman"/>
          <w:sz w:val="18"/>
          <w:szCs w:val="18"/>
        </w:rPr>
      </w:pPr>
      <w:r>
        <w:rPr>
          <w:rFonts w:hint="default" w:ascii="Times New Roman" w:hAnsi="Times New Roman" w:cs="Times New Roman"/>
          <w:sz w:val="18"/>
          <w:szCs w:val="18"/>
          <w:lang w:val="en-US"/>
        </w:rPr>
        <w:t xml:space="preserve">4. </w:t>
      </w:r>
      <w:r>
        <w:rPr>
          <w:rFonts w:hint="default" w:ascii="Times New Roman" w:hAnsi="Times New Roman" w:cs="Times New Roman"/>
          <w:sz w:val="18"/>
          <w:szCs w:val="18"/>
          <w:lang w:val="en-US"/>
        </w:rPr>
        <w:tab/>
      </w:r>
      <w:r>
        <w:rPr>
          <w:rFonts w:hint="default" w:ascii="Times New Roman" w:hAnsi="Times New Roman" w:cs="Times New Roman"/>
          <w:sz w:val="18"/>
          <w:szCs w:val="18"/>
          <w:lang w:val="en-US"/>
        </w:rPr>
        <w:t xml:space="preserve">Bhimji SS, Burns B. Penetrating Abdominal Trauma [Internet]. </w:t>
      </w:r>
      <w:r>
        <w:rPr>
          <w:rFonts w:hint="default" w:ascii="Times New Roman" w:hAnsi="Times New Roman" w:cs="Times New Roman"/>
          <w:sz w:val="18"/>
          <w:szCs w:val="18"/>
        </w:rPr>
        <w:t>StatPearls Publishing; 2018 [cité 18 janv 2019]. Disponible sur: https://www.ncbi.nlm.nih.gov/books/NBK459123/</w:t>
      </w:r>
    </w:p>
    <w:p>
      <w:pPr>
        <w:pStyle w:val="17"/>
        <w:keepNext w:val="0"/>
        <w:keepLines w:val="0"/>
        <w:pageBreakBefore w:val="0"/>
        <w:widowControl/>
        <w:tabs>
          <w:tab w:val="left" w:pos="504"/>
          <w:tab w:val="clear" w:pos="384"/>
        </w:tabs>
        <w:kinsoku/>
        <w:wordWrap/>
        <w:overflowPunct/>
        <w:topLinePunct w:val="0"/>
        <w:autoSpaceDE/>
        <w:autoSpaceDN/>
        <w:bidi w:val="0"/>
        <w:adjustRightInd/>
        <w:snapToGrid/>
        <w:spacing w:after="0"/>
        <w:jc w:val="both"/>
        <w:textAlignment w:val="auto"/>
        <w:rPr>
          <w:rFonts w:hint="default" w:ascii="Times New Roman" w:hAnsi="Times New Roman" w:cs="Times New Roman"/>
          <w:sz w:val="18"/>
          <w:szCs w:val="18"/>
        </w:rPr>
      </w:pPr>
      <w:r>
        <w:rPr>
          <w:rFonts w:hint="default" w:ascii="Times New Roman" w:hAnsi="Times New Roman" w:cs="Times New Roman"/>
          <w:sz w:val="18"/>
          <w:szCs w:val="18"/>
        </w:rPr>
        <w:t xml:space="preserve">5. </w:t>
      </w:r>
      <w:r>
        <w:rPr>
          <w:rFonts w:hint="default" w:ascii="Times New Roman" w:hAnsi="Times New Roman" w:cs="Times New Roman"/>
          <w:sz w:val="18"/>
          <w:szCs w:val="18"/>
        </w:rPr>
        <w:tab/>
      </w:r>
      <w:r>
        <w:rPr>
          <w:rFonts w:hint="default" w:ascii="Times New Roman" w:hAnsi="Times New Roman" w:cs="Times New Roman"/>
          <w:sz w:val="18"/>
          <w:szCs w:val="18"/>
        </w:rPr>
        <w:t xml:space="preserve">Debien B, Lenoir B. Traumatismes balistiques du thorax. </w:t>
      </w:r>
      <w:r>
        <w:rPr>
          <w:rFonts w:hint="default" w:ascii="Times New Roman" w:hAnsi="Times New Roman" w:cs="Times New Roman"/>
          <w:sz w:val="18"/>
          <w:szCs w:val="18"/>
          <w:lang w:val="en-US"/>
        </w:rPr>
        <w:t xml:space="preserve">In : Sfar, editor.  Conférences d’actualisation. </w:t>
      </w:r>
      <w:r>
        <w:rPr>
          <w:rFonts w:hint="default" w:ascii="Times New Roman" w:hAnsi="Times New Roman" w:cs="Times New Roman"/>
          <w:sz w:val="18"/>
          <w:szCs w:val="18"/>
        </w:rPr>
        <w:t>Congrès national d’anesthésie et de réanimation. Paris : Elsevier ; 2004. p. 515-32.</w:t>
      </w:r>
    </w:p>
    <w:p>
      <w:pPr>
        <w:pStyle w:val="17"/>
        <w:keepNext w:val="0"/>
        <w:keepLines w:val="0"/>
        <w:pageBreakBefore w:val="0"/>
        <w:widowControl/>
        <w:tabs>
          <w:tab w:val="left" w:pos="504"/>
          <w:tab w:val="clear" w:pos="384"/>
        </w:tabs>
        <w:kinsoku/>
        <w:wordWrap/>
        <w:overflowPunct/>
        <w:topLinePunct w:val="0"/>
        <w:autoSpaceDE/>
        <w:autoSpaceDN/>
        <w:bidi w:val="0"/>
        <w:adjustRightInd/>
        <w:snapToGrid/>
        <w:spacing w:after="0"/>
        <w:jc w:val="both"/>
        <w:textAlignment w:val="auto"/>
        <w:rPr>
          <w:rFonts w:hint="default" w:ascii="Times New Roman" w:hAnsi="Times New Roman" w:cs="Times New Roman"/>
          <w:sz w:val="18"/>
          <w:szCs w:val="18"/>
        </w:rPr>
      </w:pPr>
      <w:r>
        <w:rPr>
          <w:rFonts w:hint="default" w:ascii="Times New Roman" w:hAnsi="Times New Roman" w:cs="Times New Roman"/>
          <w:sz w:val="18"/>
          <w:szCs w:val="18"/>
        </w:rPr>
        <w:t xml:space="preserve">6. </w:t>
      </w:r>
      <w:r>
        <w:rPr>
          <w:rFonts w:hint="default" w:ascii="Times New Roman" w:hAnsi="Times New Roman" w:cs="Times New Roman"/>
          <w:sz w:val="18"/>
          <w:szCs w:val="18"/>
        </w:rPr>
        <w:tab/>
      </w:r>
      <w:r>
        <w:rPr>
          <w:rFonts w:hint="default" w:ascii="Times New Roman" w:hAnsi="Times New Roman" w:cs="Times New Roman"/>
          <w:sz w:val="18"/>
          <w:szCs w:val="18"/>
        </w:rPr>
        <w:t>O C, K R, M AA, G B, A AM. Les Plaies Penetrantes Par Armes Blanches Et A Feu A N’djamena, Tchad: Une Epidemie Silencieuse ? Eur Sci J ESJ. 30 mars 2016;12(9):180.</w:t>
      </w:r>
    </w:p>
    <w:p>
      <w:pPr>
        <w:pStyle w:val="17"/>
        <w:keepNext w:val="0"/>
        <w:keepLines w:val="0"/>
        <w:pageBreakBefore w:val="0"/>
        <w:widowControl/>
        <w:tabs>
          <w:tab w:val="left" w:pos="504"/>
          <w:tab w:val="clear" w:pos="384"/>
        </w:tabs>
        <w:kinsoku/>
        <w:wordWrap/>
        <w:overflowPunct/>
        <w:topLinePunct w:val="0"/>
        <w:autoSpaceDE/>
        <w:autoSpaceDN/>
        <w:bidi w:val="0"/>
        <w:adjustRightInd/>
        <w:snapToGrid/>
        <w:spacing w:after="0"/>
        <w:jc w:val="both"/>
        <w:textAlignment w:val="auto"/>
        <w:rPr>
          <w:rFonts w:hint="default" w:ascii="Times New Roman" w:hAnsi="Times New Roman" w:cs="Times New Roman"/>
          <w:sz w:val="18"/>
          <w:szCs w:val="18"/>
          <w:lang w:val="en-US"/>
        </w:rPr>
      </w:pPr>
      <w:r>
        <w:rPr>
          <w:rFonts w:hint="default" w:ascii="Times New Roman" w:hAnsi="Times New Roman" w:cs="Times New Roman"/>
          <w:sz w:val="18"/>
          <w:szCs w:val="18"/>
          <w:lang w:val="fr-FR"/>
        </w:rPr>
        <w:t>7.</w:t>
      </w:r>
      <w:r>
        <w:rPr>
          <w:rFonts w:hint="default" w:ascii="Times New Roman" w:hAnsi="Times New Roman" w:cs="Times New Roman"/>
          <w:sz w:val="18"/>
          <w:szCs w:val="18"/>
          <w:lang w:val="fr-FR"/>
        </w:rPr>
        <w:tab/>
      </w:r>
      <w:r>
        <w:rPr>
          <w:rFonts w:hint="default" w:ascii="Times New Roman" w:hAnsi="Times New Roman" w:cs="Times New Roman"/>
          <w:sz w:val="18"/>
          <w:szCs w:val="18"/>
          <w:lang w:val="en-US"/>
        </w:rPr>
        <w:t>Biffl WL, Leppaniemi A. Management Guidelines for Penetrating Abdominal Trauma. World J Surg. 1 juin 2015;39(6):1373‑80.</w:t>
      </w:r>
    </w:p>
    <w:p>
      <w:pPr>
        <w:pStyle w:val="17"/>
        <w:keepNext w:val="0"/>
        <w:keepLines w:val="0"/>
        <w:pageBreakBefore w:val="0"/>
        <w:widowControl/>
        <w:tabs>
          <w:tab w:val="left" w:pos="504"/>
          <w:tab w:val="clear" w:pos="384"/>
        </w:tabs>
        <w:kinsoku/>
        <w:wordWrap/>
        <w:overflowPunct/>
        <w:topLinePunct w:val="0"/>
        <w:autoSpaceDE/>
        <w:autoSpaceDN/>
        <w:bidi w:val="0"/>
        <w:adjustRightInd/>
        <w:snapToGrid/>
        <w:spacing w:after="0"/>
        <w:jc w:val="both"/>
        <w:textAlignment w:val="auto"/>
        <w:rPr>
          <w:rFonts w:hint="default" w:ascii="Times New Roman" w:hAnsi="Times New Roman" w:cs="Times New Roman"/>
          <w:sz w:val="18"/>
          <w:szCs w:val="18"/>
          <w:lang w:val="en-US"/>
        </w:rPr>
      </w:pPr>
      <w:r>
        <w:rPr>
          <w:rFonts w:hint="default" w:ascii="Times New Roman" w:hAnsi="Times New Roman" w:cs="Times New Roman"/>
          <w:sz w:val="18"/>
          <w:szCs w:val="18"/>
          <w:lang w:val="fr-FR"/>
        </w:rPr>
        <w:t>8.</w:t>
      </w:r>
      <w:r>
        <w:rPr>
          <w:rFonts w:hint="default" w:ascii="Times New Roman" w:hAnsi="Times New Roman" w:cs="Times New Roman"/>
          <w:sz w:val="18"/>
          <w:szCs w:val="18"/>
          <w:lang w:val="fr-FR"/>
        </w:rPr>
        <w:tab/>
      </w:r>
      <w:r>
        <w:rPr>
          <w:rFonts w:hint="default" w:ascii="Times New Roman" w:hAnsi="Times New Roman" w:cs="Times New Roman"/>
          <w:sz w:val="18"/>
          <w:szCs w:val="18"/>
          <w:lang w:val="en-US"/>
        </w:rPr>
        <w:t>Demetriades D, Murray J, Charalambides K, Alo K, Velmahos G, Rhee P, et al. Trauma fatalities: time and location of hospital deaths. J Am Coll Surg. janv 2004;198(1):20‑6.</w:t>
      </w:r>
    </w:p>
    <w:p>
      <w:pPr>
        <w:pStyle w:val="17"/>
        <w:keepNext w:val="0"/>
        <w:keepLines w:val="0"/>
        <w:pageBreakBefore w:val="0"/>
        <w:widowControl/>
        <w:tabs>
          <w:tab w:val="left" w:pos="504"/>
          <w:tab w:val="clear" w:pos="384"/>
        </w:tabs>
        <w:kinsoku/>
        <w:wordWrap/>
        <w:overflowPunct/>
        <w:topLinePunct w:val="0"/>
        <w:autoSpaceDE/>
        <w:autoSpaceDN/>
        <w:bidi w:val="0"/>
        <w:adjustRightInd/>
        <w:snapToGrid/>
        <w:spacing w:after="0"/>
        <w:jc w:val="both"/>
        <w:textAlignment w:val="auto"/>
        <w:rPr>
          <w:rFonts w:hint="default" w:ascii="Times New Roman" w:hAnsi="Times New Roman" w:cs="Times New Roman"/>
          <w:sz w:val="18"/>
          <w:szCs w:val="18"/>
        </w:rPr>
      </w:pPr>
      <w:r>
        <w:rPr>
          <w:rFonts w:hint="default" w:ascii="Times New Roman" w:hAnsi="Times New Roman" w:cs="Times New Roman"/>
          <w:sz w:val="18"/>
          <w:szCs w:val="18"/>
          <w:lang w:val="fr-FR"/>
        </w:rPr>
        <w:t>9.</w:t>
      </w:r>
      <w:r>
        <w:rPr>
          <w:rFonts w:hint="default" w:ascii="Times New Roman" w:hAnsi="Times New Roman" w:cs="Times New Roman"/>
          <w:sz w:val="18"/>
          <w:szCs w:val="18"/>
          <w:lang w:val="fr-FR"/>
        </w:rPr>
        <w:tab/>
      </w:r>
      <w:r>
        <w:rPr>
          <w:rFonts w:hint="default" w:ascii="Times New Roman" w:hAnsi="Times New Roman" w:cs="Times New Roman"/>
          <w:sz w:val="18"/>
          <w:szCs w:val="18"/>
          <w:lang w:val="en-US"/>
        </w:rPr>
        <w:t xml:space="preserve">Nicholas JM, Rix EP, Easley KA, Feliciano DV, Cava RA, Ingram WL, et al. Changing patterns in the management of penetrating abdominal trauma: the more things change, the more they stay the same. </w:t>
      </w:r>
      <w:r>
        <w:rPr>
          <w:rFonts w:hint="default" w:ascii="Times New Roman" w:hAnsi="Times New Roman" w:cs="Times New Roman"/>
          <w:sz w:val="18"/>
          <w:szCs w:val="18"/>
        </w:rPr>
        <w:t>J Trauma. déc 2003;55(6):1095‑108; discussion 1108-1110.</w:t>
      </w:r>
    </w:p>
    <w:p>
      <w:pPr>
        <w:pStyle w:val="17"/>
        <w:keepNext w:val="0"/>
        <w:keepLines w:val="0"/>
        <w:pageBreakBefore w:val="0"/>
        <w:widowControl/>
        <w:tabs>
          <w:tab w:val="left" w:pos="504"/>
          <w:tab w:val="clear" w:pos="384"/>
        </w:tabs>
        <w:kinsoku/>
        <w:wordWrap/>
        <w:overflowPunct/>
        <w:topLinePunct w:val="0"/>
        <w:autoSpaceDE/>
        <w:autoSpaceDN/>
        <w:bidi w:val="0"/>
        <w:adjustRightInd/>
        <w:snapToGrid/>
        <w:spacing w:after="0"/>
        <w:jc w:val="both"/>
        <w:textAlignment w:val="auto"/>
        <w:rPr>
          <w:rFonts w:hint="default" w:ascii="Times New Roman" w:hAnsi="Times New Roman" w:cs="Times New Roman"/>
          <w:sz w:val="18"/>
          <w:szCs w:val="18"/>
          <w:lang w:val="en-US"/>
        </w:rPr>
      </w:pPr>
      <w:r>
        <w:rPr>
          <w:rFonts w:hint="default" w:ascii="Times New Roman" w:hAnsi="Times New Roman" w:cs="Times New Roman"/>
          <w:sz w:val="18"/>
          <w:szCs w:val="18"/>
          <w:lang w:val="fr-FR"/>
        </w:rPr>
        <w:t>10.</w:t>
      </w:r>
      <w:r>
        <w:rPr>
          <w:rFonts w:hint="default" w:ascii="Times New Roman" w:hAnsi="Times New Roman" w:cs="Times New Roman"/>
          <w:sz w:val="18"/>
          <w:szCs w:val="18"/>
          <w:lang w:val="fr-FR"/>
        </w:rPr>
        <w:tab/>
      </w:r>
      <w:r>
        <w:rPr>
          <w:rFonts w:hint="default" w:ascii="Times New Roman" w:hAnsi="Times New Roman" w:cs="Times New Roman"/>
          <w:sz w:val="18"/>
          <w:szCs w:val="18"/>
        </w:rPr>
        <w:t xml:space="preserve">P. MASSO-MISSE, A. ESSOMBA, M.A. SOSSO. Plaies pénétrantes  asymptomatiques de l’abdomen par arme blanche : pour une exploration  sélective. </w:t>
      </w:r>
      <w:r>
        <w:rPr>
          <w:rFonts w:hint="default" w:ascii="Times New Roman" w:hAnsi="Times New Roman" w:cs="Times New Roman"/>
          <w:sz w:val="18"/>
          <w:szCs w:val="18"/>
          <w:lang w:val="en-US"/>
        </w:rPr>
        <w:t>Médecine d’Afrique Noire : 1996, 43 (2).</w:t>
      </w:r>
    </w:p>
    <w:p>
      <w:pPr>
        <w:pStyle w:val="17"/>
        <w:keepNext w:val="0"/>
        <w:keepLines w:val="0"/>
        <w:pageBreakBefore w:val="0"/>
        <w:widowControl/>
        <w:tabs>
          <w:tab w:val="left" w:pos="504"/>
          <w:tab w:val="clear" w:pos="384"/>
        </w:tabs>
        <w:kinsoku/>
        <w:wordWrap/>
        <w:overflowPunct/>
        <w:topLinePunct w:val="0"/>
        <w:autoSpaceDE/>
        <w:autoSpaceDN/>
        <w:bidi w:val="0"/>
        <w:adjustRightInd/>
        <w:snapToGrid/>
        <w:spacing w:after="0"/>
        <w:jc w:val="both"/>
        <w:textAlignment w:val="auto"/>
        <w:rPr>
          <w:rFonts w:hint="default" w:ascii="Times New Roman" w:hAnsi="Times New Roman" w:cs="Times New Roman"/>
          <w:sz w:val="18"/>
          <w:szCs w:val="18"/>
          <w:lang w:val="en-US"/>
        </w:rPr>
      </w:pPr>
      <w:r>
        <w:rPr>
          <w:rFonts w:hint="default" w:ascii="Times New Roman" w:hAnsi="Times New Roman" w:cs="Times New Roman"/>
          <w:sz w:val="18"/>
          <w:szCs w:val="18"/>
          <w:lang w:val="fr-FR"/>
        </w:rPr>
        <w:t>11.</w:t>
      </w:r>
      <w:r>
        <w:rPr>
          <w:rFonts w:hint="default" w:ascii="Times New Roman" w:hAnsi="Times New Roman" w:cs="Times New Roman"/>
          <w:sz w:val="18"/>
          <w:szCs w:val="18"/>
          <w:lang w:val="fr-FR"/>
        </w:rPr>
        <w:tab/>
      </w:r>
      <w:r>
        <w:rPr>
          <w:rFonts w:hint="default" w:ascii="Times New Roman" w:hAnsi="Times New Roman" w:cs="Times New Roman"/>
          <w:sz w:val="18"/>
          <w:szCs w:val="18"/>
          <w:lang w:val="en-US"/>
        </w:rPr>
        <w:t>Massamba Miabaou D, Bhodheo M, Note Madzele M, Motoula Latou N, Nzaka Moukala C, Tsouassa Wangono G. Management of penetrant abdominal wounds at the teaching university hospital of Brazzaville, Congo. Management. 2017;2(5).</w:t>
      </w:r>
    </w:p>
    <w:p>
      <w:pPr>
        <w:pStyle w:val="17"/>
        <w:keepNext w:val="0"/>
        <w:keepLines w:val="0"/>
        <w:pageBreakBefore w:val="0"/>
        <w:widowControl/>
        <w:tabs>
          <w:tab w:val="left" w:pos="504"/>
          <w:tab w:val="clear" w:pos="384"/>
        </w:tabs>
        <w:kinsoku/>
        <w:wordWrap/>
        <w:overflowPunct/>
        <w:topLinePunct w:val="0"/>
        <w:autoSpaceDE/>
        <w:autoSpaceDN/>
        <w:bidi w:val="0"/>
        <w:adjustRightInd/>
        <w:snapToGrid/>
        <w:spacing w:after="0"/>
        <w:jc w:val="both"/>
        <w:textAlignment w:val="auto"/>
        <w:rPr>
          <w:rFonts w:hint="default" w:ascii="Times New Roman" w:hAnsi="Times New Roman" w:cs="Times New Roman"/>
          <w:sz w:val="18"/>
          <w:szCs w:val="18"/>
          <w:lang w:val="en-US"/>
        </w:rPr>
      </w:pPr>
      <w:r>
        <w:rPr>
          <w:rFonts w:hint="default" w:ascii="Times New Roman" w:hAnsi="Times New Roman" w:cs="Times New Roman"/>
          <w:sz w:val="18"/>
          <w:szCs w:val="18"/>
          <w:lang w:val="fr-FR"/>
        </w:rPr>
        <w:t>12.</w:t>
      </w:r>
      <w:r>
        <w:rPr>
          <w:rFonts w:hint="default" w:ascii="Times New Roman" w:hAnsi="Times New Roman" w:cs="Times New Roman"/>
          <w:sz w:val="18"/>
          <w:szCs w:val="18"/>
          <w:lang w:val="fr-FR"/>
        </w:rPr>
        <w:tab/>
      </w:r>
      <w:r>
        <w:rPr>
          <w:rFonts w:hint="default" w:ascii="Times New Roman" w:hAnsi="Times New Roman" w:cs="Times New Roman"/>
          <w:sz w:val="18"/>
          <w:szCs w:val="18"/>
          <w:lang w:val="en-US"/>
        </w:rPr>
        <w:t>Mnguni MN, Muckart DJJ, Madiba TE. Abdominal Trauma in Durban, South Africa: Factors Influencing Outcome. Int Surg. 2012;97(2):161‑8.</w:t>
      </w:r>
    </w:p>
    <w:p>
      <w:pPr>
        <w:pStyle w:val="17"/>
        <w:keepNext w:val="0"/>
        <w:keepLines w:val="0"/>
        <w:pageBreakBefore w:val="0"/>
        <w:widowControl/>
        <w:tabs>
          <w:tab w:val="left" w:pos="504"/>
          <w:tab w:val="clear" w:pos="384"/>
        </w:tabs>
        <w:kinsoku/>
        <w:wordWrap/>
        <w:overflowPunct/>
        <w:topLinePunct w:val="0"/>
        <w:autoSpaceDE/>
        <w:autoSpaceDN/>
        <w:bidi w:val="0"/>
        <w:adjustRightInd/>
        <w:snapToGrid/>
        <w:spacing w:after="0"/>
        <w:jc w:val="both"/>
        <w:textAlignment w:val="auto"/>
        <w:rPr>
          <w:rFonts w:hint="default" w:ascii="Times New Roman" w:hAnsi="Times New Roman" w:cs="Times New Roman"/>
          <w:sz w:val="18"/>
          <w:szCs w:val="18"/>
          <w:lang w:val="fr-FR"/>
        </w:rPr>
      </w:pPr>
      <w:r>
        <w:rPr>
          <w:rFonts w:hint="default" w:ascii="Times New Roman" w:hAnsi="Times New Roman" w:cs="Times New Roman"/>
          <w:sz w:val="18"/>
          <w:szCs w:val="18"/>
          <w:lang w:val="fr-FR"/>
        </w:rPr>
        <w:t>13.</w:t>
      </w:r>
      <w:r>
        <w:rPr>
          <w:rFonts w:hint="default" w:ascii="Times New Roman" w:hAnsi="Times New Roman" w:cs="Times New Roman"/>
          <w:sz w:val="18"/>
          <w:szCs w:val="18"/>
          <w:lang w:val="fr-FR"/>
        </w:rPr>
        <w:tab/>
      </w:r>
      <w:r>
        <w:rPr>
          <w:rFonts w:hint="default" w:ascii="Times New Roman" w:hAnsi="Times New Roman" w:cs="Times New Roman"/>
          <w:sz w:val="18"/>
          <w:szCs w:val="18"/>
          <w:lang w:val="en-US"/>
        </w:rPr>
        <w:t xml:space="preserve">Omer MY, Hamza AA, Musa MT. Penetrating Abdominal Injuries: Pattern and Outcome of Management in Khartoum. </w:t>
      </w:r>
      <w:r>
        <w:rPr>
          <w:rFonts w:hint="default" w:ascii="Times New Roman" w:hAnsi="Times New Roman" w:cs="Times New Roman"/>
          <w:sz w:val="18"/>
          <w:szCs w:val="18"/>
        </w:rPr>
        <w:t xml:space="preserve">Int J Clin Med [Internet]. 7 janv 2014 [cité 7 févr 2019];2014. Disponible sur: </w:t>
      </w: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HYPERLINK "http://www.scirp.org/journal/PaperInformation.aspx?PaperID=41736." </w:instrText>
      </w:r>
      <w:r>
        <w:rPr>
          <w:rFonts w:hint="default" w:ascii="Times New Roman" w:hAnsi="Times New Roman" w:cs="Times New Roman"/>
          <w:sz w:val="18"/>
          <w:szCs w:val="18"/>
        </w:rPr>
        <w:fldChar w:fldCharType="separate"/>
      </w:r>
      <w:r>
        <w:rPr>
          <w:rStyle w:val="10"/>
          <w:rFonts w:hint="default" w:ascii="Times New Roman" w:hAnsi="Times New Roman" w:cs="Times New Roman"/>
          <w:sz w:val="18"/>
          <w:szCs w:val="18"/>
        </w:rPr>
        <w:t>http://www.scirp.org/journal/PaperInformation.aspx?PaperID=41736</w:t>
      </w:r>
      <w:r>
        <w:rPr>
          <w:rStyle w:val="10"/>
          <w:rFonts w:hint="default" w:ascii="Times New Roman" w:hAnsi="Times New Roman" w:cs="Times New Roman"/>
          <w:sz w:val="18"/>
          <w:szCs w:val="18"/>
          <w:lang w:val="fr-FR"/>
        </w:rPr>
        <w:t>.</w:t>
      </w:r>
      <w:r>
        <w:rPr>
          <w:rFonts w:hint="default" w:ascii="Times New Roman" w:hAnsi="Times New Roman" w:cs="Times New Roman"/>
          <w:sz w:val="18"/>
          <w:szCs w:val="18"/>
        </w:rPr>
        <w:fldChar w:fldCharType="end"/>
      </w:r>
    </w:p>
    <w:p>
      <w:pPr>
        <w:pStyle w:val="17"/>
        <w:keepNext w:val="0"/>
        <w:keepLines w:val="0"/>
        <w:pageBreakBefore w:val="0"/>
        <w:widowControl/>
        <w:tabs>
          <w:tab w:val="left" w:pos="504"/>
          <w:tab w:val="clear" w:pos="384"/>
        </w:tabs>
        <w:kinsoku/>
        <w:wordWrap/>
        <w:overflowPunct/>
        <w:topLinePunct w:val="0"/>
        <w:autoSpaceDE/>
        <w:autoSpaceDN/>
        <w:bidi w:val="0"/>
        <w:adjustRightInd/>
        <w:snapToGrid/>
        <w:spacing w:after="0"/>
        <w:jc w:val="both"/>
        <w:textAlignment w:val="auto"/>
        <w:rPr>
          <w:rFonts w:hint="default" w:ascii="Times New Roman" w:hAnsi="Times New Roman" w:cs="Times New Roman"/>
          <w:sz w:val="18"/>
          <w:szCs w:val="18"/>
          <w:lang w:val="en-US"/>
        </w:rPr>
      </w:pPr>
      <w:r>
        <w:rPr>
          <w:rFonts w:hint="default" w:ascii="Times New Roman" w:hAnsi="Times New Roman" w:cs="Times New Roman"/>
          <w:sz w:val="18"/>
          <w:szCs w:val="18"/>
          <w:lang w:val="fr-FR"/>
        </w:rPr>
        <w:t>14.</w:t>
      </w:r>
      <w:r>
        <w:rPr>
          <w:rFonts w:hint="default" w:ascii="Times New Roman" w:hAnsi="Times New Roman" w:cs="Times New Roman"/>
          <w:sz w:val="18"/>
          <w:szCs w:val="18"/>
          <w:lang w:val="fr-FR"/>
        </w:rPr>
        <w:tab/>
      </w:r>
      <w:r>
        <w:rPr>
          <w:rFonts w:hint="default" w:ascii="Times New Roman" w:hAnsi="Times New Roman" w:cs="Times New Roman"/>
          <w:sz w:val="18"/>
          <w:szCs w:val="18"/>
        </w:rPr>
        <w:t xml:space="preserve">Sambo BT, Hodonou AM, Allode AS, Mensah E, Youssouf M, Menhinto D. Aspects Épidémiologiques, Diagnostiques Et Thérapeutiques Des Traumatismes Abdominaux À Bembéréké-Nord Bénin. </w:t>
      </w:r>
      <w:r>
        <w:rPr>
          <w:rFonts w:hint="default" w:ascii="Times New Roman" w:hAnsi="Times New Roman" w:cs="Times New Roman"/>
          <w:sz w:val="18"/>
          <w:szCs w:val="18"/>
          <w:lang w:val="en-US"/>
        </w:rPr>
        <w:t>Eur Sci J ESJ. 30 mars 2016;12(9):395.</w:t>
      </w:r>
    </w:p>
    <w:p>
      <w:pPr>
        <w:pStyle w:val="17"/>
        <w:keepNext w:val="0"/>
        <w:keepLines w:val="0"/>
        <w:pageBreakBefore w:val="0"/>
        <w:widowControl/>
        <w:tabs>
          <w:tab w:val="left" w:pos="504"/>
          <w:tab w:val="clear" w:pos="384"/>
        </w:tabs>
        <w:kinsoku/>
        <w:wordWrap/>
        <w:overflowPunct/>
        <w:topLinePunct w:val="0"/>
        <w:autoSpaceDE/>
        <w:autoSpaceDN/>
        <w:bidi w:val="0"/>
        <w:adjustRightInd/>
        <w:snapToGrid/>
        <w:spacing w:after="0"/>
        <w:jc w:val="both"/>
        <w:textAlignment w:val="auto"/>
        <w:rPr>
          <w:rFonts w:hint="default" w:ascii="Times New Roman" w:hAnsi="Times New Roman" w:cs="Times New Roman"/>
          <w:sz w:val="18"/>
          <w:szCs w:val="18"/>
        </w:rPr>
      </w:pPr>
      <w:r>
        <w:rPr>
          <w:rFonts w:hint="default" w:ascii="Times New Roman" w:hAnsi="Times New Roman" w:cs="Times New Roman"/>
          <w:sz w:val="18"/>
          <w:szCs w:val="18"/>
          <w:lang w:val="fr-FR"/>
        </w:rPr>
        <w:t>15.</w:t>
      </w:r>
      <w:r>
        <w:rPr>
          <w:rFonts w:hint="default" w:ascii="Times New Roman" w:hAnsi="Times New Roman" w:cs="Times New Roman"/>
          <w:sz w:val="18"/>
          <w:szCs w:val="18"/>
          <w:lang w:val="fr-FR"/>
        </w:rPr>
        <w:tab/>
      </w:r>
      <w:r>
        <w:rPr>
          <w:rFonts w:hint="default" w:ascii="Times New Roman" w:hAnsi="Times New Roman" w:cs="Times New Roman"/>
          <w:sz w:val="18"/>
          <w:szCs w:val="18"/>
          <w:lang w:val="en-US"/>
        </w:rPr>
        <w:t xml:space="preserve">Asuquo M, Umoh M, Nwagbara V, Ugare G, Agbor C, Japhet E. Penetrating Abdominal Trauma: Experience in A Teaching Hospital, Calabar, Southern Nigeria. </w:t>
      </w:r>
      <w:r>
        <w:rPr>
          <w:rFonts w:hint="default" w:ascii="Times New Roman" w:hAnsi="Times New Roman" w:cs="Times New Roman"/>
          <w:sz w:val="18"/>
          <w:szCs w:val="18"/>
        </w:rPr>
        <w:t>Int J Clin Med. 24 sept 2012;03:426.</w:t>
      </w:r>
    </w:p>
    <w:p>
      <w:pPr>
        <w:pStyle w:val="17"/>
        <w:keepNext w:val="0"/>
        <w:keepLines w:val="0"/>
        <w:pageBreakBefore w:val="0"/>
        <w:widowControl/>
        <w:tabs>
          <w:tab w:val="left" w:pos="504"/>
          <w:tab w:val="clear" w:pos="384"/>
        </w:tabs>
        <w:kinsoku/>
        <w:wordWrap/>
        <w:overflowPunct/>
        <w:topLinePunct w:val="0"/>
        <w:autoSpaceDE/>
        <w:autoSpaceDN/>
        <w:bidi w:val="0"/>
        <w:adjustRightInd/>
        <w:snapToGrid/>
        <w:spacing w:after="0"/>
        <w:jc w:val="both"/>
        <w:textAlignment w:val="auto"/>
        <w:rPr>
          <w:rFonts w:hint="default" w:ascii="Times New Roman" w:hAnsi="Times New Roman" w:cs="Times New Roman"/>
          <w:sz w:val="18"/>
          <w:szCs w:val="18"/>
        </w:rPr>
      </w:pPr>
      <w:r>
        <w:rPr>
          <w:rFonts w:hint="default" w:ascii="Times New Roman" w:hAnsi="Times New Roman" w:cs="Times New Roman"/>
          <w:sz w:val="18"/>
          <w:szCs w:val="18"/>
        </w:rPr>
        <w:t xml:space="preserve">16. </w:t>
      </w:r>
      <w:r>
        <w:rPr>
          <w:rFonts w:hint="default" w:ascii="Times New Roman" w:hAnsi="Times New Roman" w:cs="Times New Roman"/>
          <w:sz w:val="18"/>
          <w:szCs w:val="18"/>
        </w:rPr>
        <w:tab/>
      </w:r>
      <w:r>
        <w:rPr>
          <w:rFonts w:hint="default" w:ascii="Times New Roman" w:hAnsi="Times New Roman" w:cs="Times New Roman"/>
          <w:sz w:val="18"/>
          <w:szCs w:val="18"/>
        </w:rPr>
        <w:t xml:space="preserve">Monneuse OJ-Y, Barth X, Gruner L, Pilleul F, Valette PJ, Oulie O, et al. Les plaies pénétrantes de l’abdomen, conduite diagnostique et thérapeutique. À propos de 79 patients. Ann Chir. 1 avr 2004;129(3):156‑63. </w:t>
      </w:r>
    </w:p>
    <w:p>
      <w:pPr>
        <w:pStyle w:val="17"/>
        <w:keepNext w:val="0"/>
        <w:keepLines w:val="0"/>
        <w:pageBreakBefore w:val="0"/>
        <w:widowControl/>
        <w:tabs>
          <w:tab w:val="left" w:pos="504"/>
          <w:tab w:val="clear" w:pos="384"/>
        </w:tabs>
        <w:kinsoku/>
        <w:wordWrap/>
        <w:overflowPunct/>
        <w:topLinePunct w:val="0"/>
        <w:autoSpaceDE/>
        <w:autoSpaceDN/>
        <w:bidi w:val="0"/>
        <w:adjustRightInd/>
        <w:snapToGrid/>
        <w:spacing w:after="0"/>
        <w:jc w:val="both"/>
        <w:textAlignment w:val="auto"/>
        <w:rPr>
          <w:rFonts w:hint="default" w:ascii="Times New Roman" w:hAnsi="Times New Roman" w:cs="Times New Roman"/>
          <w:sz w:val="18"/>
          <w:szCs w:val="18"/>
        </w:rPr>
      </w:pPr>
      <w:r>
        <w:rPr>
          <w:rFonts w:hint="default" w:ascii="Times New Roman" w:hAnsi="Times New Roman" w:cs="Times New Roman"/>
          <w:sz w:val="18"/>
          <w:szCs w:val="18"/>
        </w:rPr>
        <w:t xml:space="preserve">17. </w:t>
      </w:r>
      <w:r>
        <w:rPr>
          <w:rFonts w:hint="default" w:ascii="Times New Roman" w:hAnsi="Times New Roman" w:cs="Times New Roman"/>
          <w:sz w:val="18"/>
          <w:szCs w:val="18"/>
        </w:rPr>
        <w:tab/>
      </w:r>
      <w:r>
        <w:rPr>
          <w:rFonts w:hint="default" w:ascii="Times New Roman" w:hAnsi="Times New Roman" w:cs="Times New Roman"/>
          <w:sz w:val="18"/>
          <w:szCs w:val="18"/>
        </w:rPr>
        <w:t xml:space="preserve">Dembélé B-T, Togo A, Diakité I, Kanté L, Traoré A, Cissé F, et al. Perforations traumatiques d’organes creux intra-abdominaux au CHU Gabriel-Touré. J Afr Hépato-Gastroentérologie. 1 déc 2011;5(4):290‑2. </w:t>
      </w:r>
    </w:p>
    <w:p>
      <w:pPr>
        <w:pStyle w:val="17"/>
        <w:keepNext w:val="0"/>
        <w:keepLines w:val="0"/>
        <w:pageBreakBefore w:val="0"/>
        <w:widowControl/>
        <w:tabs>
          <w:tab w:val="left" w:pos="504"/>
          <w:tab w:val="clear" w:pos="384"/>
        </w:tabs>
        <w:kinsoku/>
        <w:wordWrap/>
        <w:overflowPunct/>
        <w:topLinePunct w:val="0"/>
        <w:autoSpaceDE/>
        <w:autoSpaceDN/>
        <w:bidi w:val="0"/>
        <w:adjustRightInd/>
        <w:snapToGrid/>
        <w:spacing w:after="0"/>
        <w:jc w:val="both"/>
        <w:textAlignment w:val="auto"/>
        <w:rPr>
          <w:rFonts w:hint="default" w:ascii="Times New Roman" w:hAnsi="Times New Roman" w:cs="Times New Roman"/>
          <w:sz w:val="18"/>
          <w:szCs w:val="18"/>
        </w:rPr>
      </w:pPr>
      <w:r>
        <w:rPr>
          <w:rFonts w:hint="default" w:ascii="Times New Roman" w:hAnsi="Times New Roman" w:cs="Times New Roman"/>
          <w:sz w:val="18"/>
          <w:szCs w:val="18"/>
        </w:rPr>
        <w:t xml:space="preserve">18. </w:t>
      </w:r>
      <w:r>
        <w:rPr>
          <w:rFonts w:hint="default" w:ascii="Times New Roman" w:hAnsi="Times New Roman" w:cs="Times New Roman"/>
          <w:sz w:val="18"/>
          <w:szCs w:val="18"/>
        </w:rPr>
        <w:tab/>
      </w:r>
      <w:r>
        <w:rPr>
          <w:rFonts w:hint="default" w:ascii="Times New Roman" w:hAnsi="Times New Roman" w:cs="Times New Roman"/>
          <w:sz w:val="18"/>
          <w:szCs w:val="18"/>
        </w:rPr>
        <w:t>Benissa N, Zoubidi M, Kafih M, Ridai M, Zerouali NO. Plaies abdominales avec épiplocèle. /data/revues/00033944/v0128i10/03002931/ [Internet]. [cité 12 févr 2019]; Disponible sur: https://www.em-consulte.com/en/article/19545</w:t>
      </w:r>
    </w:p>
    <w:p>
      <w:pPr>
        <w:pStyle w:val="17"/>
        <w:keepNext w:val="0"/>
        <w:keepLines w:val="0"/>
        <w:pageBreakBefore w:val="0"/>
        <w:widowControl/>
        <w:tabs>
          <w:tab w:val="left" w:pos="504"/>
          <w:tab w:val="clear" w:pos="384"/>
        </w:tabs>
        <w:kinsoku/>
        <w:wordWrap/>
        <w:overflowPunct/>
        <w:topLinePunct w:val="0"/>
        <w:autoSpaceDE/>
        <w:autoSpaceDN/>
        <w:bidi w:val="0"/>
        <w:adjustRightInd/>
        <w:snapToGrid/>
        <w:spacing w:after="0"/>
        <w:jc w:val="both"/>
        <w:textAlignment w:val="auto"/>
        <w:rPr>
          <w:rFonts w:hint="default" w:ascii="Times New Roman" w:hAnsi="Times New Roman" w:cs="Times New Roman"/>
          <w:sz w:val="18"/>
          <w:szCs w:val="18"/>
        </w:rPr>
      </w:pPr>
      <w:r>
        <w:rPr>
          <w:rFonts w:hint="default" w:ascii="Times New Roman" w:hAnsi="Times New Roman" w:cs="Times New Roman"/>
          <w:sz w:val="18"/>
          <w:szCs w:val="18"/>
          <w:lang w:val="en-US"/>
        </w:rPr>
        <w:t xml:space="preserve">19. </w:t>
      </w:r>
      <w:r>
        <w:rPr>
          <w:rFonts w:hint="default" w:ascii="Times New Roman" w:hAnsi="Times New Roman" w:cs="Times New Roman"/>
          <w:sz w:val="18"/>
          <w:szCs w:val="18"/>
          <w:lang w:val="en-US"/>
        </w:rPr>
        <w:tab/>
      </w:r>
      <w:r>
        <w:rPr>
          <w:rFonts w:hint="default" w:ascii="Times New Roman" w:hAnsi="Times New Roman" w:cs="Times New Roman"/>
          <w:sz w:val="18"/>
          <w:szCs w:val="18"/>
          <w:lang w:val="en-US"/>
        </w:rPr>
        <w:t xml:space="preserve">G.W. SHAFTAN.Indication of operation in abdominal trauma. </w:t>
      </w:r>
      <w:r>
        <w:rPr>
          <w:rFonts w:hint="default" w:ascii="Times New Roman" w:hAnsi="Times New Roman" w:cs="Times New Roman"/>
          <w:sz w:val="18"/>
          <w:szCs w:val="18"/>
        </w:rPr>
        <w:t>Ann. Surg. 1960, 99 : 657.</w:t>
      </w:r>
    </w:p>
    <w:p>
      <w:pPr>
        <w:pStyle w:val="17"/>
        <w:keepNext w:val="0"/>
        <w:keepLines w:val="0"/>
        <w:pageBreakBefore w:val="0"/>
        <w:widowControl/>
        <w:tabs>
          <w:tab w:val="left" w:pos="504"/>
          <w:tab w:val="clear" w:pos="384"/>
        </w:tabs>
        <w:kinsoku/>
        <w:wordWrap/>
        <w:overflowPunct/>
        <w:topLinePunct w:val="0"/>
        <w:autoSpaceDE/>
        <w:autoSpaceDN/>
        <w:bidi w:val="0"/>
        <w:adjustRightInd/>
        <w:snapToGrid/>
        <w:spacing w:after="0"/>
        <w:jc w:val="both"/>
        <w:textAlignment w:val="auto"/>
        <w:rPr>
          <w:rFonts w:hint="default" w:ascii="Times New Roman" w:hAnsi="Times New Roman" w:cs="Times New Roman"/>
          <w:sz w:val="18"/>
          <w:szCs w:val="18"/>
        </w:rPr>
      </w:pPr>
      <w:r>
        <w:rPr>
          <w:rFonts w:hint="default" w:ascii="Times New Roman" w:hAnsi="Times New Roman" w:cs="Times New Roman"/>
          <w:sz w:val="18"/>
          <w:szCs w:val="18"/>
        </w:rPr>
        <w:t xml:space="preserve">20. </w:t>
      </w:r>
      <w:r>
        <w:rPr>
          <w:rFonts w:hint="default" w:ascii="Times New Roman" w:hAnsi="Times New Roman" w:cs="Times New Roman"/>
          <w:sz w:val="18"/>
          <w:szCs w:val="18"/>
        </w:rPr>
        <w:tab/>
      </w:r>
      <w:r>
        <w:rPr>
          <w:rFonts w:hint="default" w:ascii="Times New Roman" w:hAnsi="Times New Roman" w:cs="Times New Roman"/>
          <w:sz w:val="18"/>
          <w:szCs w:val="18"/>
        </w:rPr>
        <w:t xml:space="preserve">M. NEJJAR, S. BENNANI, O.N. ZEROUALI. Plaies pénétrantes de l’abdomen, à propos de 330 cas. J. Chir. (Paris) 1991, 128, (8-9) : 381-384. </w:t>
      </w:r>
    </w:p>
    <w:p>
      <w:pPr>
        <w:pStyle w:val="17"/>
        <w:keepNext w:val="0"/>
        <w:keepLines w:val="0"/>
        <w:pageBreakBefore w:val="0"/>
        <w:widowControl/>
        <w:tabs>
          <w:tab w:val="left" w:pos="504"/>
          <w:tab w:val="clear" w:pos="384"/>
        </w:tabs>
        <w:kinsoku/>
        <w:wordWrap/>
        <w:overflowPunct/>
        <w:topLinePunct w:val="0"/>
        <w:autoSpaceDE/>
        <w:autoSpaceDN/>
        <w:bidi w:val="0"/>
        <w:adjustRightInd/>
        <w:snapToGrid/>
        <w:spacing w:after="0"/>
        <w:jc w:val="both"/>
        <w:textAlignment w:val="auto"/>
        <w:rPr>
          <w:rFonts w:hint="default" w:ascii="Times New Roman" w:hAnsi="Times New Roman" w:cs="Times New Roman"/>
          <w:sz w:val="18"/>
          <w:szCs w:val="18"/>
        </w:rPr>
      </w:pPr>
      <w:r>
        <w:rPr>
          <w:rFonts w:hint="default" w:ascii="Times New Roman" w:hAnsi="Times New Roman" w:cs="Times New Roman"/>
          <w:sz w:val="18"/>
          <w:szCs w:val="18"/>
        </w:rPr>
        <w:t xml:space="preserve">21. </w:t>
      </w:r>
      <w:r>
        <w:rPr>
          <w:rFonts w:hint="default" w:ascii="Times New Roman" w:hAnsi="Times New Roman" w:cs="Times New Roman"/>
          <w:sz w:val="18"/>
          <w:szCs w:val="18"/>
        </w:rPr>
        <w:tab/>
      </w:r>
      <w:r>
        <w:rPr>
          <w:rFonts w:hint="default" w:ascii="Times New Roman" w:hAnsi="Times New Roman" w:cs="Times New Roman"/>
          <w:sz w:val="18"/>
          <w:szCs w:val="18"/>
        </w:rPr>
        <w:t>A. AYITE, K. ETEY, L. FETEKE, M. DOSSIM. Les plaies pénétrantes de l’abdomen au chu de lomé - a propos de 44 cas. Médecine d’Afrique Noire. 1996, 43 (12).</w:t>
      </w:r>
    </w:p>
    <w:p>
      <w:pPr>
        <w:pStyle w:val="17"/>
        <w:keepNext w:val="0"/>
        <w:keepLines w:val="0"/>
        <w:pageBreakBefore w:val="0"/>
        <w:widowControl/>
        <w:tabs>
          <w:tab w:val="left" w:pos="504"/>
          <w:tab w:val="clear" w:pos="384"/>
        </w:tabs>
        <w:kinsoku/>
        <w:wordWrap/>
        <w:overflowPunct/>
        <w:topLinePunct w:val="0"/>
        <w:autoSpaceDE/>
        <w:autoSpaceDN/>
        <w:bidi w:val="0"/>
        <w:adjustRightInd/>
        <w:snapToGrid/>
        <w:spacing w:after="0"/>
        <w:jc w:val="both"/>
        <w:textAlignment w:val="auto"/>
        <w:rPr>
          <w:rFonts w:hint="default" w:ascii="Times New Roman" w:hAnsi="Times New Roman" w:cs="Times New Roman"/>
          <w:sz w:val="18"/>
          <w:szCs w:val="18"/>
        </w:rPr>
      </w:pPr>
      <w:r>
        <w:rPr>
          <w:rFonts w:hint="default" w:ascii="Times New Roman" w:hAnsi="Times New Roman" w:cs="Times New Roman"/>
          <w:sz w:val="18"/>
          <w:szCs w:val="18"/>
        </w:rPr>
        <w:t xml:space="preserve">22. </w:t>
      </w:r>
      <w:r>
        <w:rPr>
          <w:rFonts w:hint="default" w:ascii="Times New Roman" w:hAnsi="Times New Roman" w:cs="Times New Roman"/>
          <w:sz w:val="18"/>
          <w:szCs w:val="18"/>
        </w:rPr>
        <w:tab/>
      </w:r>
      <w:r>
        <w:rPr>
          <w:rFonts w:hint="default" w:ascii="Times New Roman" w:hAnsi="Times New Roman" w:cs="Times New Roman"/>
          <w:sz w:val="18"/>
          <w:szCs w:val="18"/>
        </w:rPr>
        <w:t xml:space="preserve">Dieng M. Plaies pénétrantes de l’abdomen : « abstentionnisme sélectif » versus laparotomie systématique. Mém Académie Chir Fr. 2003;e-mémoires de l’Académie Nationale de Chirurgie, 2003, 2 (2) : 22-25. </w:t>
      </w:r>
    </w:p>
    <w:p>
      <w:pPr>
        <w:pStyle w:val="17"/>
        <w:keepNext w:val="0"/>
        <w:keepLines w:val="0"/>
        <w:pageBreakBefore w:val="0"/>
        <w:widowControl/>
        <w:tabs>
          <w:tab w:val="left" w:pos="504"/>
          <w:tab w:val="clear" w:pos="384"/>
        </w:tabs>
        <w:kinsoku/>
        <w:wordWrap/>
        <w:overflowPunct/>
        <w:topLinePunct w:val="0"/>
        <w:autoSpaceDE/>
        <w:autoSpaceDN/>
        <w:bidi w:val="0"/>
        <w:adjustRightInd/>
        <w:snapToGrid/>
        <w:spacing w:after="0"/>
        <w:jc w:val="both"/>
        <w:textAlignment w:val="auto"/>
        <w:rPr>
          <w:rFonts w:hint="default" w:ascii="Times New Roman" w:hAnsi="Times New Roman" w:cs="Times New Roman"/>
          <w:sz w:val="18"/>
          <w:szCs w:val="18"/>
        </w:rPr>
      </w:pPr>
      <w:r>
        <w:rPr>
          <w:rFonts w:hint="default" w:ascii="Times New Roman" w:hAnsi="Times New Roman" w:cs="Times New Roman"/>
          <w:sz w:val="18"/>
          <w:szCs w:val="18"/>
        </w:rPr>
        <w:t xml:space="preserve">23. </w:t>
      </w:r>
      <w:r>
        <w:rPr>
          <w:rFonts w:hint="default" w:ascii="Times New Roman" w:hAnsi="Times New Roman" w:cs="Times New Roman"/>
          <w:sz w:val="18"/>
          <w:szCs w:val="18"/>
        </w:rPr>
        <w:tab/>
      </w:r>
      <w:r>
        <w:rPr>
          <w:rFonts w:hint="default" w:ascii="Times New Roman" w:hAnsi="Times New Roman" w:cs="Times New Roman"/>
          <w:sz w:val="18"/>
          <w:szCs w:val="18"/>
        </w:rPr>
        <w:t>B. CHICHE, P. MOULE. Urgences chirurgicales. Masson Abrégés (Paris) 1980 86-90.</w:t>
      </w:r>
    </w:p>
    <w:p>
      <w:pPr>
        <w:pStyle w:val="17"/>
        <w:keepNext w:val="0"/>
        <w:keepLines w:val="0"/>
        <w:pageBreakBefore w:val="0"/>
        <w:widowControl/>
        <w:tabs>
          <w:tab w:val="left" w:pos="504"/>
          <w:tab w:val="clear" w:pos="384"/>
        </w:tabs>
        <w:kinsoku/>
        <w:wordWrap/>
        <w:overflowPunct/>
        <w:topLinePunct w:val="0"/>
        <w:autoSpaceDE/>
        <w:autoSpaceDN/>
        <w:bidi w:val="0"/>
        <w:adjustRightInd/>
        <w:snapToGrid/>
        <w:spacing w:after="0"/>
        <w:jc w:val="both"/>
        <w:textAlignment w:val="auto"/>
        <w:rPr>
          <w:rFonts w:hint="default" w:ascii="Times New Roman" w:hAnsi="Times New Roman" w:cs="Times New Roman"/>
          <w:sz w:val="18"/>
          <w:szCs w:val="18"/>
        </w:rPr>
      </w:pPr>
      <w:r>
        <w:rPr>
          <w:rFonts w:hint="default" w:ascii="Times New Roman" w:hAnsi="Times New Roman" w:cs="Times New Roman"/>
          <w:sz w:val="18"/>
          <w:szCs w:val="18"/>
        </w:rPr>
        <w:t xml:space="preserve">24. </w:t>
      </w:r>
      <w:r>
        <w:rPr>
          <w:rFonts w:hint="default" w:ascii="Times New Roman" w:hAnsi="Times New Roman" w:cs="Times New Roman"/>
          <w:sz w:val="18"/>
          <w:szCs w:val="18"/>
        </w:rPr>
        <w:tab/>
      </w:r>
      <w:r>
        <w:rPr>
          <w:rFonts w:hint="default" w:ascii="Times New Roman" w:hAnsi="Times New Roman" w:cs="Times New Roman"/>
          <w:sz w:val="18"/>
          <w:szCs w:val="18"/>
        </w:rPr>
        <w:t>PH. CLOT. Contusions et plaies de l’abdomen.. EMC, Paris, Urgences 11 - 1979 - 24039 - A10.</w:t>
      </w:r>
    </w:p>
    <w:p>
      <w:pPr>
        <w:pStyle w:val="17"/>
        <w:keepNext w:val="0"/>
        <w:keepLines w:val="0"/>
        <w:pageBreakBefore w:val="0"/>
        <w:widowControl/>
        <w:tabs>
          <w:tab w:val="left" w:pos="504"/>
          <w:tab w:val="clear" w:pos="384"/>
        </w:tabs>
        <w:kinsoku/>
        <w:wordWrap/>
        <w:overflowPunct/>
        <w:topLinePunct w:val="0"/>
        <w:autoSpaceDE/>
        <w:autoSpaceDN/>
        <w:bidi w:val="0"/>
        <w:adjustRightInd/>
        <w:snapToGrid/>
        <w:spacing w:after="0"/>
        <w:jc w:val="both"/>
        <w:textAlignment w:val="auto"/>
        <w:rPr>
          <w:rFonts w:hint="default" w:ascii="Times New Roman" w:hAnsi="Times New Roman" w:cs="Times New Roman"/>
          <w:sz w:val="18"/>
          <w:szCs w:val="18"/>
        </w:rPr>
      </w:pPr>
      <w:r>
        <w:rPr>
          <w:rFonts w:hint="default" w:ascii="Times New Roman" w:hAnsi="Times New Roman" w:cs="Times New Roman"/>
          <w:sz w:val="18"/>
          <w:szCs w:val="18"/>
        </w:rPr>
        <w:t xml:space="preserve">25. </w:t>
      </w:r>
      <w:r>
        <w:rPr>
          <w:rFonts w:hint="default" w:ascii="Times New Roman" w:hAnsi="Times New Roman" w:cs="Times New Roman"/>
          <w:sz w:val="18"/>
          <w:szCs w:val="18"/>
        </w:rPr>
        <w:tab/>
      </w:r>
      <w:r>
        <w:rPr>
          <w:rFonts w:hint="default" w:ascii="Times New Roman" w:hAnsi="Times New Roman" w:cs="Times New Roman"/>
          <w:sz w:val="18"/>
          <w:szCs w:val="18"/>
        </w:rPr>
        <w:t xml:space="preserve">F.C. NANCE, M.H. WENNAR, W. LESTER et Coll. </w:t>
      </w:r>
      <w:r>
        <w:rPr>
          <w:rFonts w:hint="default" w:ascii="Times New Roman" w:hAnsi="Times New Roman" w:cs="Times New Roman"/>
          <w:sz w:val="18"/>
          <w:szCs w:val="18"/>
          <w:lang w:val="en-US"/>
        </w:rPr>
        <w:t xml:space="preserve">S u rgical judgment in the management of penetrating wounds of the abdomen. </w:t>
      </w:r>
      <w:r>
        <w:rPr>
          <w:rFonts w:hint="default" w:ascii="Times New Roman" w:hAnsi="Times New Roman" w:cs="Times New Roman"/>
          <w:sz w:val="18"/>
          <w:szCs w:val="18"/>
        </w:rPr>
        <w:t xml:space="preserve">Ann. Surg. 1974, 179, (5) : 639-646. </w:t>
      </w:r>
    </w:p>
    <w:p>
      <w:pPr>
        <w:pStyle w:val="17"/>
        <w:keepNext w:val="0"/>
        <w:keepLines w:val="0"/>
        <w:pageBreakBefore w:val="0"/>
        <w:widowControl/>
        <w:tabs>
          <w:tab w:val="left" w:pos="504"/>
          <w:tab w:val="clear" w:pos="384"/>
        </w:tabs>
        <w:kinsoku/>
        <w:wordWrap/>
        <w:overflowPunct/>
        <w:topLinePunct w:val="0"/>
        <w:autoSpaceDE/>
        <w:autoSpaceDN/>
        <w:bidi w:val="0"/>
        <w:adjustRightInd/>
        <w:snapToGrid/>
        <w:spacing w:after="0"/>
        <w:jc w:val="both"/>
        <w:textAlignment w:val="auto"/>
        <w:rPr>
          <w:rFonts w:hint="default" w:ascii="Times New Roman" w:hAnsi="Times New Roman" w:cs="Times New Roman"/>
          <w:sz w:val="18"/>
          <w:szCs w:val="18"/>
        </w:rPr>
      </w:pPr>
      <w:r>
        <w:rPr>
          <w:rFonts w:hint="default" w:ascii="Times New Roman" w:hAnsi="Times New Roman" w:cs="Times New Roman"/>
          <w:sz w:val="18"/>
          <w:szCs w:val="18"/>
        </w:rPr>
        <w:t xml:space="preserve">26. </w:t>
      </w:r>
      <w:r>
        <w:rPr>
          <w:rFonts w:hint="default" w:ascii="Times New Roman" w:hAnsi="Times New Roman" w:cs="Times New Roman"/>
          <w:sz w:val="18"/>
          <w:szCs w:val="18"/>
        </w:rPr>
        <w:tab/>
      </w:r>
      <w:r>
        <w:rPr>
          <w:rFonts w:hint="default" w:ascii="Times New Roman" w:hAnsi="Times New Roman" w:cs="Times New Roman"/>
          <w:sz w:val="18"/>
          <w:szCs w:val="18"/>
        </w:rPr>
        <w:t>Duffas Jean-pierre, Traumatismes de l’abdomen (CSCT).2009 ;p1-2.</w:t>
      </w:r>
    </w:p>
    <w:p>
      <w:pPr>
        <w:pStyle w:val="17"/>
        <w:keepNext w:val="0"/>
        <w:keepLines w:val="0"/>
        <w:pageBreakBefore w:val="0"/>
        <w:widowControl/>
        <w:tabs>
          <w:tab w:val="left" w:pos="504"/>
          <w:tab w:val="clear" w:pos="384"/>
        </w:tabs>
        <w:kinsoku/>
        <w:wordWrap/>
        <w:overflowPunct/>
        <w:topLinePunct w:val="0"/>
        <w:autoSpaceDE/>
        <w:autoSpaceDN/>
        <w:bidi w:val="0"/>
        <w:adjustRightInd/>
        <w:snapToGrid/>
        <w:spacing w:after="0"/>
        <w:jc w:val="both"/>
        <w:textAlignment w:val="auto"/>
        <w:rPr>
          <w:rFonts w:hint="default"/>
        </w:rPr>
      </w:pPr>
      <w:r>
        <w:rPr>
          <w:rFonts w:hint="default" w:ascii="Times New Roman" w:hAnsi="Times New Roman" w:cs="Times New Roman"/>
          <w:sz w:val="18"/>
          <w:szCs w:val="18"/>
          <w:lang w:val="en-US"/>
        </w:rPr>
        <w:t xml:space="preserve">27. </w:t>
      </w:r>
      <w:r>
        <w:rPr>
          <w:rFonts w:hint="default" w:ascii="Times New Roman" w:hAnsi="Times New Roman" w:cs="Times New Roman"/>
          <w:sz w:val="18"/>
          <w:szCs w:val="18"/>
          <w:lang w:val="en-US"/>
        </w:rPr>
        <w:tab/>
      </w:r>
      <w:r>
        <w:rPr>
          <w:rFonts w:hint="default" w:ascii="Times New Roman" w:hAnsi="Times New Roman" w:cs="Times New Roman"/>
          <w:sz w:val="18"/>
          <w:szCs w:val="18"/>
          <w:lang w:val="en-US"/>
        </w:rPr>
        <w:t xml:space="preserve">J.L. DABAN, M. BENSALAH, C. HOFMANN. </w:t>
      </w:r>
      <w:r>
        <w:rPr>
          <w:rFonts w:hint="default" w:ascii="Times New Roman" w:hAnsi="Times New Roman" w:cs="Times New Roman"/>
          <w:sz w:val="18"/>
          <w:szCs w:val="18"/>
        </w:rPr>
        <w:t>Spécificités de la prise en charge des traumatismes pénétrants. Urgences 2012 ; 68 :1-13.</w:t>
      </w:r>
    </w:p>
    <w:p>
      <w:pPr>
        <w:pStyle w:val="17"/>
        <w:keepNext w:val="0"/>
        <w:keepLines w:val="0"/>
        <w:pageBreakBefore w:val="0"/>
        <w:widowControl/>
        <w:tabs>
          <w:tab w:val="left" w:pos="504"/>
          <w:tab w:val="clear" w:pos="384"/>
        </w:tabs>
        <w:kinsoku/>
        <w:wordWrap/>
        <w:overflowPunct/>
        <w:topLinePunct w:val="0"/>
        <w:autoSpaceDE/>
        <w:autoSpaceDN/>
        <w:bidi w:val="0"/>
        <w:adjustRightInd/>
        <w:snapToGrid/>
        <w:spacing w:after="0"/>
        <w:jc w:val="both"/>
        <w:textAlignment w:val="auto"/>
        <w:rPr>
          <w:rFonts w:hint="default" w:ascii="Times New Roman" w:hAnsi="Times New Roman" w:cs="Times New Roman"/>
          <w:sz w:val="18"/>
          <w:szCs w:val="18"/>
        </w:rPr>
      </w:pPr>
      <w:r>
        <w:rPr>
          <w:rFonts w:hint="default" w:ascii="Times New Roman" w:hAnsi="Times New Roman" w:cs="Times New Roman"/>
          <w:sz w:val="18"/>
          <w:szCs w:val="18"/>
        </w:rPr>
        <w:t xml:space="preserve">28. </w:t>
      </w:r>
      <w:r>
        <w:rPr>
          <w:rFonts w:hint="default" w:ascii="Times New Roman" w:hAnsi="Times New Roman" w:cs="Times New Roman"/>
          <w:sz w:val="18"/>
          <w:szCs w:val="18"/>
        </w:rPr>
        <w:tab/>
      </w:r>
      <w:r>
        <w:rPr>
          <w:rFonts w:hint="default" w:ascii="Times New Roman" w:hAnsi="Times New Roman" w:cs="Times New Roman"/>
          <w:sz w:val="18"/>
          <w:szCs w:val="18"/>
        </w:rPr>
        <w:t>Goin G, Massalou D, Bege T, Contargyris C, Avaro J-P, Pauleau G, et al. Faisabilité du traitement non opératoire des plaies pénétrantes de l’abdomen en France. J Chir Viscérale. 1 juin 2017;154(3):175‑83.</w:t>
      </w:r>
    </w:p>
    <w:p>
      <w:pPr>
        <w:pStyle w:val="17"/>
        <w:keepNext w:val="0"/>
        <w:keepLines w:val="0"/>
        <w:pageBreakBefore w:val="0"/>
        <w:widowControl/>
        <w:tabs>
          <w:tab w:val="left" w:pos="504"/>
          <w:tab w:val="clear" w:pos="384"/>
        </w:tabs>
        <w:kinsoku/>
        <w:wordWrap/>
        <w:overflowPunct/>
        <w:topLinePunct w:val="0"/>
        <w:autoSpaceDE/>
        <w:autoSpaceDN/>
        <w:bidi w:val="0"/>
        <w:adjustRightInd/>
        <w:snapToGrid/>
        <w:spacing w:after="0"/>
        <w:jc w:val="both"/>
        <w:textAlignment w:val="auto"/>
        <w:rPr>
          <w:rFonts w:hint="default"/>
        </w:rPr>
      </w:pPr>
      <w:r>
        <w:rPr>
          <w:rFonts w:hint="default" w:ascii="Times New Roman" w:hAnsi="Times New Roman" w:cs="Times New Roman"/>
          <w:sz w:val="18"/>
          <w:szCs w:val="18"/>
        </w:rPr>
        <w:t xml:space="preserve">29. </w:t>
      </w:r>
      <w:r>
        <w:rPr>
          <w:rFonts w:hint="default" w:ascii="Times New Roman" w:hAnsi="Times New Roman" w:cs="Times New Roman"/>
          <w:sz w:val="18"/>
          <w:szCs w:val="18"/>
        </w:rPr>
        <w:tab/>
      </w:r>
      <w:r>
        <w:rPr>
          <w:rFonts w:hint="default" w:ascii="Times New Roman" w:hAnsi="Times New Roman" w:cs="Times New Roman"/>
          <w:sz w:val="18"/>
          <w:szCs w:val="18"/>
        </w:rPr>
        <w:t>Bège T, Berdah SV, Brunet C. Les plaies par arme blanche et leur prise en charge aux urgences. J Eur Urgences Réanimation. 1 déc 2</w:t>
      </w:r>
      <w:r>
        <w:rPr>
          <w:rFonts w:ascii="Times New Roman" w:hAnsi="Times New Roman" w:cs="Times New Roman"/>
          <w:sz w:val="18"/>
          <w:szCs w:val="18"/>
        </w:rPr>
        <w:t>012;24(4):221‑7.</w:t>
      </w:r>
    </w:p>
    <w:sectPr>
      <w:type w:val="continuous"/>
      <w:pgSz w:w="11850" w:h="16783"/>
      <w:pgMar w:top="1134" w:right="850" w:bottom="1417" w:left="1134" w:header="708" w:footer="708" w:gutter="0"/>
      <w:cols w:equalWidth="0" w:num="2">
        <w:col w:w="4720" w:space="425"/>
        <w:col w:w="4720"/>
      </w:cols>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Calibri"/>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黑体">
    <w:altName w:val="Microsoft YaHei UI"/>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Calibri">
    <w:panose1 w:val="020F0502020204030204"/>
    <w:charset w:val="86"/>
    <w:family w:val="swiss"/>
    <w:pitch w:val="default"/>
    <w:sig w:usb0="E10002FF" w:usb1="4000ACFF" w:usb2="00000009" w:usb3="00000000" w:csb0="2000019F" w:csb1="00000000"/>
  </w:font>
  <w:font w:name="Microsoft YaHei UI">
    <w:panose1 w:val="020B0503020204020204"/>
    <w:charset w:val="86"/>
    <w:family w:val="auto"/>
    <w:pitch w:val="default"/>
    <w:sig w:usb0="80000287" w:usb1="28CF3C52" w:usb2="00000016" w:usb3="00000000" w:csb0="0004001F" w:csb1="00000000"/>
  </w:font>
  <w:font w:name="SimSun">
    <w:altName w:val="Calibri"/>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10002FF" w:usb1="4000ACFF" w:usb2="00000009" w:usb3="00000000" w:csb0="2000019F" w:csb1="00000000"/>
  </w:font>
  <w:font w:name="Calibri">
    <w:panose1 w:val="020F0502020204030204"/>
    <w:charset w:val="00"/>
    <w:family w:val="auto"/>
    <w:pitch w:val="default"/>
    <w:sig w:usb0="E10002FF" w:usb1="4000ACFF" w:usb2="00000009" w:usb3="00000000" w:csb0="2000019F" w:csb1="00000000"/>
  </w:font>
  <w:font w:name="Segoe UI">
    <w:panose1 w:val="020B0502040204020203"/>
    <w:charset w:val="00"/>
    <w:family w:val="swiss"/>
    <w:pitch w:val="default"/>
    <w:sig w:usb0="E10022FF" w:usb1="C000E47F" w:usb2="00000029" w:usb3="00000000" w:csb0="200001DF" w:csb1="20000000"/>
  </w:font>
  <w:font w:name="SimSun">
    <w:altName w:val="Microsoft YaHei UI"/>
    <w:panose1 w:val="02010600030101010101"/>
    <w:charset w:val="86"/>
    <w:family w:val="auto"/>
    <w:pitch w:val="default"/>
    <w:sig w:usb0="00000000" w:usb1="0000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4140"/>
      </w:tabs>
      <w:rPr>
        <w:rFonts w:ascii="Times New Roman"/>
        <w:sz w:val="18"/>
        <w:lang w:val="en-US"/>
      </w:rPr>
    </w:pPr>
    <w:r>
      <w:rPr>
        <w:rFonts w:ascii="Times New Roman"/>
        <w:sz w:val="18"/>
        <w:lang w:val="en-US"/>
      </w:rPr>
      <w:pict>
        <v:group id="Groupe 87" o:spid="_x0000_s2049" o:spt="203" style="position:absolute;left:0pt;margin-left:519.6pt;margin-top:783.9pt;height:25.35pt;width:33pt;mso-position-horizontal-relative:page;mso-position-vertical-relative:page;mso-wrap-distance-left:9pt;mso-wrap-distance-right:9pt;z-index:-251658240;mso-width-relative:page;mso-height-relative:page;" coordorigin="1731,14550" coordsize="660,507" o:allowincell="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">
          <o:lock v:ext="edit"/>
          <v:shape id="AutoShape 88" o:spid="_x0000_s2050" o:spt="4" type="#_x0000_t4" style="position:absolute;left:1793;top:14550;height:507;width:536;"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d3osYA&#10;AADcAAAADwAAAGRycy9kb3ducmV2LnhtbESPQUvDQBSE74X+h+UVerObWls1dltEKBSrh6aC10f2&#10;mQSzb2P2NYn/3i0IPQ4z8w2z3g6uVh21ofJsYD5LQBHn3lZcGPg47W4eQAVBtlh7JgO/FGC7GY/W&#10;mFrf85G6TAoVIRxSNFCKNKnWIS/JYZj5hjh6X751KFG2hbYt9hHuan2bJCvtsOK4UGJDLyXl39nZ&#10;GXg7LHg5XzTday+ZfBaVvfs5vRsznQzPT6CEBrmG/9t7a2D5eA+XM/EI6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d3osYAAADcAAAADwAAAAAAAAAAAAAAAACYAgAAZHJz&#10;L2Rvd25yZXYueG1sUEsFBgAAAAAEAAQA9QAAAIsDAAAAAA==&#10;">
            <v:path/>
            <v:fill on="f" focussize="0,0"/>
            <v:stroke color="#A5A5A5" joinstyle="miter"/>
            <v:imagedata o:title=""/>
            <o:lock v:ext="edit"/>
          </v:shape>
          <v:rect id="Rectangle 89" o:spid="_x0000_s2051" o:spt="1" style="position:absolute;left:1848;top:14616;height:375;width:427;"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GXB8IA&#10;AADcAAAADwAAAGRycy9kb3ducmV2LnhtbERPz2vCMBS+C/4P4Qm7aepgQ6tRRBB2mc7qQW+P5tmU&#10;Ni+lyWz1r18OA48f3+/lure1uFPrS8cKppMEBHHudMmFgvNpN56B8AFZY+2YFDzIw3o1HCwx1a7j&#10;I92zUIgYwj5FBSaEJpXS54Ys+olriCN3c63FEGFbSN1iF8NtLd+T5FNaLDk2GGxoayivsl+r4Ody&#10;6LJr5TWW56o+PPfm+znrlXob9ZsFiEB9eIn/3V9awcc8ro1n4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8ZcHwgAAANwAAAAPAAAAAAAAAAAAAAAAAJgCAABkcnMvZG93&#10;bnJldi54bWxQSwUGAAAAAAQABAD1AAAAhwMAAAAA&#10;">
            <v:path/>
            <v:fill on="f" focussize="0,0"/>
            <v:stroke color="#A5A5A5"/>
            <v:imagedata o:title=""/>
            <o:lock v:ext="edit"/>
          </v:rect>
          <v:shape id="Text Box 90" o:spid="_x0000_s2052" o:spt="202" type="#_x0000_t202" style="position:absolute;left:1731;top:14639;height:330;width:66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vIMUA&#10;AADcAAAADwAAAGRycy9kb3ducmV2LnhtbESPwWrDMBBE74X+g9hCLiWRE6ip3cghBEpzKtTNIcet&#10;tbGFrZWxFMf++6hQ6HGYmTfMdjfZTow0eONYwXqVgCCunDZcKzh9vy9fQfiArLFzTApm8rArHh+2&#10;mGt34y8ay1CLCGGfo4ImhD6X0lcNWfQr1xNH7+IGiyHKoZZ6wFuE205ukiSVFg3HhQZ7OjRUteXV&#10;KnjO2p9PvJw/xjAf1iY1ST/OJ6UWT9P+DUSgKfyH/9pHreAly+D3TDwC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q8gxQAAANwAAAAPAAAAAAAAAAAAAAAAAJgCAABkcnMv&#10;ZG93bnJldi54bWxQSwUGAAAAAAQABAD1AAAAigMAAAAA&#10;">
            <v:path/>
            <v:fill on="f" focussize="0,0"/>
            <v:stroke on="f" joinstyle="miter"/>
            <v:imagedata o:title=""/>
            <o:lock v:ext="edit"/>
            <v:textbox inset="0mm,0.762mm,0mm,0mm">
              <w:txbxContent>
                <w:p>
                  <w:pPr>
                    <w:jc w:val="center"/>
                    <w:rPr>
                      <w:color w:val="17365D"/>
                      <w:sz w:val="16"/>
                      <w:szCs w:val="16"/>
                    </w:rPr>
                  </w:pPr>
                  <w:r>
                    <w:fldChar w:fldCharType="begin"/>
                  </w:r>
                  <w:r>
                    <w:instrText xml:space="preserve">PAGE   \* MERGEFORMAT</w:instrText>
                  </w:r>
                  <w:r>
                    <w:fldChar w:fldCharType="separate"/>
                  </w:r>
                  <w:r>
                    <w:rPr>
                      <w:color w:val="17365D"/>
                      <w:sz w:val="16"/>
                      <w:szCs w:val="16"/>
                    </w:rPr>
                    <w:t>39</w:t>
                  </w:r>
                  <w:r>
                    <w:rPr>
                      <w:color w:val="17365D"/>
                      <w:sz w:val="16"/>
                      <w:szCs w:val="16"/>
                    </w:rPr>
                    <w:fldChar w:fldCharType="end"/>
                  </w:r>
                </w:p>
              </w:txbxContent>
            </v:textbox>
          </v:shape>
          <v:group id="Group 91" o:spid="_x0000_s2053" o:spt="203" style="position:absolute;left:1775;top:14647;height:314;width:571;"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o:lock v:ext="edit"/>
            <v:shape id="AutoShape 92" o:spid="_x0000_s2054" o:spt="100" style="position:absolute;left:1782;top:14858;height:530;width:375;rotation:-5898240f;"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lXsYA&#10;AADcAAAADwAAAGRycy9kb3ducmV2LnhtbESPQWsCMRSE70L/Q3gFb5qoILoapVYshfbSrT309tg8&#10;s4ubl3WTrtt/3xQEj8PMfMOst72rRUdtqDxrmIwVCOLCm4qthuPnYbQAESKywdozafilANvNw2CN&#10;mfFX/qAuj1YkCIcMNZQxNpmUoSjJYRj7hjh5J986jEm2VpoWrwnuajlVai4dVpwWSmzouaTinP84&#10;DZcXq76OZvme72bnpT1879+63V7r4WP/tAIRqY/38K39ajTM1QT+z6Qj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nlXsYAAADcAAAADwAAAAAAAAAAAAAAAACYAgAAZHJz&#10;L2Rvd25yZXYueG1sUEsFBgAAAAAEAAQA9QAAAIsDAAAAAA==&#10;" path="m0,0l5400,21600,16200,21600,21600,0,0,0xe">
              <v:path textboxrect="4493,4483,17107,17117" o:connecttype="custom" o:connectlocs="328,265;188,530;47,265;188,0" o:connectangles="0,0,0,0"/>
              <v:fill on="f" focussize="0,0"/>
              <v:stroke color="#A5A5A5" joinstyle="miter"/>
              <v:imagedata o:title=""/>
              <o:lock v:ext="edit"/>
            </v:shape>
            <v:shape id="AutoShape 93" o:spid="_x0000_s2055" o:spt="100" style="position:absolute;left:1934;top:14858;flip:x;height:530;width:375;rotation:-5898240f;"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G/jMMA&#10;AADcAAAADwAAAGRycy9kb3ducmV2LnhtbESPQWvCQBSE74L/YXmF3sxGoSLRVUrU4tXUi7dH9jVZ&#10;mn0bdleT9td3BaHHYWa+YTa70XbiTj4YxwrmWQ6CuHbacKPg8nmcrUCEiKyxc0wKfijAbjudbLDQ&#10;buAz3avYiAThUKCCNsa+kDLULVkMmeuJk/flvMWYpG+k9jgkuO3kIs+X0qLhtNBiT2VL9Xd1swr6&#10;+WkcSn8t3z66fbM6/1aHgzFKvb6M72sQkcb4H362T1rBMl/A40w6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G/jMMAAADcAAAADwAAAAAAAAAAAAAAAACYAgAAZHJzL2Rv&#10;d25yZXYueG1sUEsFBgAAAAAEAAQA9QAAAIgDAAAAAA==&#10;" path="m0,0l5400,21600,16200,21600,21600,0,0,0xe">
              <v:path textboxrect="4493,4483,17107,17117" o:connecttype="custom" o:connectlocs="328,265;188,530;47,265;188,0" o:connectangles="0,0,0,0"/>
              <v:fill on="f" focussize="0,0"/>
              <v:stroke color="#A5A5A5" joinstyle="miter"/>
              <v:imagedata o:title=""/>
              <o:lock v:ext="edit"/>
            </v:shape>
          </v:group>
          <w10:wrap type="tight"/>
        </v:group>
      </w:pict>
    </w:r>
    <w:r>
      <w:rPr>
        <w:rFonts w:ascii="Times New Roman"/>
        <w:sz w:val="18"/>
        <w:lang w:val="en-US"/>
      </w:rPr>
      <w:t>Health Sci. Dis: Vol 21 (3) March 2020</w:t>
    </w:r>
  </w:p>
  <w:p>
    <w:pPr>
      <w:pStyle w:val="8"/>
      <w:tabs>
        <w:tab w:val="left" w:pos="3008"/>
      </w:tabs>
      <w:rPr>
        <w:rFonts w:ascii="Times New Roman"/>
        <w:sz w:val="18"/>
        <w:lang w:val="en-US"/>
      </w:rPr>
    </w:pPr>
    <w:r>
      <w:rPr>
        <w:rFonts w:ascii="Times New Roman"/>
        <w:sz w:val="18"/>
        <w:lang w:val="en-US"/>
      </w:rPr>
      <w:t xml:space="preserve">Available free at </w:t>
    </w:r>
    <w:r>
      <w:fldChar w:fldCharType="begin"/>
    </w:r>
    <w:r>
      <w:instrText xml:space="preserve"> HYPERLINK "http://www.hsd-fmsb.org" </w:instrText>
    </w:r>
    <w:r>
      <w:fldChar w:fldCharType="separate"/>
    </w:r>
    <w:r>
      <w:rPr>
        <w:rStyle w:val="10"/>
        <w:rFonts w:ascii="Times New Roman"/>
        <w:sz w:val="18"/>
        <w:lang w:val="en-US"/>
      </w:rPr>
      <w:t>www.hsd-fmsb.org</w:t>
    </w:r>
    <w:r>
      <w:rPr>
        <w:rStyle w:val="10"/>
        <w:rFonts w:ascii="Times New Roman"/>
        <w:sz w:val="18"/>
        <w:lang w:val="en-US"/>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40" w:lineRule="auto"/>
      <w:rPr>
        <w:rFonts w:ascii="Times New Roman" w:hAnsi="Times New Roman"/>
        <w:i/>
        <w:sz w:val="20"/>
      </w:rPr>
    </w:pPr>
    <w:r>
      <w:rPr>
        <w:rFonts w:hint="default" w:ascii="Times New Roman" w:hAnsi="Times New Roman"/>
        <w:sz w:val="20"/>
        <w:lang w:val="fr-FR"/>
      </w:rPr>
      <w:t>Plaies pénétrantes abdominales à l’hôpital Laquintinie de Douala</w:t>
    </w:r>
    <w:r>
      <w:rPr>
        <w:rFonts w:hint="default" w:ascii="Times New Roman" w:hAnsi="Times New Roman"/>
        <w:sz w:val="20"/>
        <w:lang w:val="fr-FR"/>
      </w:rPr>
      <w:tab/>
    </w:r>
    <w:r>
      <w:rPr>
        <w:rFonts w:ascii="Times New Roman" w:hAnsi="Times New Roman"/>
        <w:sz w:val="20"/>
      </w:rPr>
      <w:tab/>
    </w:r>
    <w:r>
      <w:rPr>
        <w:rFonts w:hint="default" w:ascii="Times New Roman" w:hAnsi="Times New Roman"/>
        <w:sz w:val="20"/>
        <w:lang w:val="fr-FR"/>
      </w:rPr>
      <w:tab/>
    </w:r>
    <w:r>
      <w:rPr>
        <w:rFonts w:ascii="Times New Roman" w:hAnsi="Times New Roman"/>
        <w:sz w:val="20"/>
      </w:rPr>
      <w:tab/>
    </w:r>
    <w:r>
      <w:rPr>
        <w:rFonts w:hint="default" w:ascii="Times New Roman" w:hAnsi="Times New Roman"/>
        <w:sz w:val="20"/>
        <w:lang w:val="fr-FR"/>
      </w:rPr>
      <w:tab/>
    </w:r>
    <w:r>
      <w:rPr>
        <w:rFonts w:ascii="Times New Roman" w:hAnsi="Times New Roman"/>
        <w:sz w:val="20"/>
      </w:rPr>
      <w:t xml:space="preserve">   </w:t>
    </w:r>
    <w:r>
      <w:rPr>
        <w:rFonts w:hint="default" w:ascii="Times New Roman" w:hAnsi="Times New Roman"/>
        <w:sz w:val="20"/>
        <w:lang w:val="fr-FR"/>
      </w:rPr>
      <w:t xml:space="preserve">   </w:t>
    </w:r>
    <w:r>
      <w:rPr>
        <w:rFonts w:hint="default" w:ascii="Times New Roman" w:hAnsi="Times New Roman"/>
        <w:i/>
        <w:sz w:val="20"/>
        <w:lang w:val="fr-FR"/>
      </w:rPr>
      <w:t>Bombah</w:t>
    </w:r>
    <w:r>
      <w:rPr>
        <w:rFonts w:ascii="Times New Roman" w:hAnsi="Times New Roman"/>
        <w:i/>
        <w:sz w:val="20"/>
      </w:rPr>
      <w:t xml:space="preserve"> et al</w:t>
    </w:r>
  </w:p>
  <w:p>
    <w:pPr>
      <w:spacing w:after="120" w:line="240" w:lineRule="auto"/>
    </w:pPr>
    <w:r>
      <w:rPr>
        <w:rFonts w:ascii="Times New Roman" w:hAnsi="Times New Roman"/>
        <w:i/>
        <w:sz w:val="20"/>
      </w:rPr>
      <w:t>__________________________________________________________________________________________________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9674A8"/>
    <w:multiLevelType w:val="multilevel"/>
    <w:tmpl w:val="749674A8"/>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708"/>
  <w:hyphenationZone w:val="425"/>
  <w:displayHorizontalDrawingGridEvery w:val="1"/>
  <w:displayVerticalDrawingGridEvery w:val="1"/>
  <w:noPunctuationKerning w:val="1"/>
  <w:characterSpacingControl w:val="doNotCompress"/>
  <w:hdrShapeDefaults>
    <o:shapelayout v:ext="edit">
      <o:idmap v:ext="edit" data="2"/>
    </o:shapelayout>
  </w:hdrShapeDefaults>
  <w:compat>
    <w:doNotExpandShiftReturn/>
    <w:doNotWrapTextWithPunct/>
    <w:doNotUseEastAsianBreakRules/>
    <w:doNotUseIndentAsNumberingTabStop/>
    <w:useAltKinsokuLineBreakRules/>
    <w:compatSetting w:name="compatibilityMode" w:uri="http://schemas.microsoft.com/office/word" w:val="12"/>
  </w:compat>
  <w:rsids>
    <w:rsidRoot w:val="0025496F"/>
    <w:rsid w:val="00006A3C"/>
    <w:rsid w:val="00007EDA"/>
    <w:rsid w:val="00015C6D"/>
    <w:rsid w:val="000162B8"/>
    <w:rsid w:val="000208B4"/>
    <w:rsid w:val="00026F4B"/>
    <w:rsid w:val="0002734E"/>
    <w:rsid w:val="00033B9E"/>
    <w:rsid w:val="000346C1"/>
    <w:rsid w:val="00045894"/>
    <w:rsid w:val="00056CB4"/>
    <w:rsid w:val="00071455"/>
    <w:rsid w:val="00074FDD"/>
    <w:rsid w:val="00095A6D"/>
    <w:rsid w:val="000A19CB"/>
    <w:rsid w:val="000A2970"/>
    <w:rsid w:val="000A5EB0"/>
    <w:rsid w:val="000A7874"/>
    <w:rsid w:val="000B138F"/>
    <w:rsid w:val="000C21DF"/>
    <w:rsid w:val="000C764D"/>
    <w:rsid w:val="000D3760"/>
    <w:rsid w:val="000E6C7B"/>
    <w:rsid w:val="000F3AC1"/>
    <w:rsid w:val="00100023"/>
    <w:rsid w:val="00102593"/>
    <w:rsid w:val="00112CB3"/>
    <w:rsid w:val="00121D1A"/>
    <w:rsid w:val="00124A0F"/>
    <w:rsid w:val="00126C0A"/>
    <w:rsid w:val="00130AB6"/>
    <w:rsid w:val="001361DB"/>
    <w:rsid w:val="0014363A"/>
    <w:rsid w:val="00146623"/>
    <w:rsid w:val="00174F94"/>
    <w:rsid w:val="00197279"/>
    <w:rsid w:val="001A214A"/>
    <w:rsid w:val="001A6575"/>
    <w:rsid w:val="001B22E6"/>
    <w:rsid w:val="001B5035"/>
    <w:rsid w:val="001C522F"/>
    <w:rsid w:val="001C6C1D"/>
    <w:rsid w:val="001E1E88"/>
    <w:rsid w:val="001F13F7"/>
    <w:rsid w:val="001F1DCA"/>
    <w:rsid w:val="00221A0C"/>
    <w:rsid w:val="00222E6C"/>
    <w:rsid w:val="00223244"/>
    <w:rsid w:val="002261FF"/>
    <w:rsid w:val="002344CB"/>
    <w:rsid w:val="00242016"/>
    <w:rsid w:val="0024652A"/>
    <w:rsid w:val="0025496F"/>
    <w:rsid w:val="0025621F"/>
    <w:rsid w:val="002618BA"/>
    <w:rsid w:val="00283874"/>
    <w:rsid w:val="00283FD0"/>
    <w:rsid w:val="002909BD"/>
    <w:rsid w:val="002946B4"/>
    <w:rsid w:val="002C560F"/>
    <w:rsid w:val="002D317E"/>
    <w:rsid w:val="002D38B3"/>
    <w:rsid w:val="002D696B"/>
    <w:rsid w:val="002E1302"/>
    <w:rsid w:val="002F03FE"/>
    <w:rsid w:val="002F7C6D"/>
    <w:rsid w:val="003009B2"/>
    <w:rsid w:val="003022ED"/>
    <w:rsid w:val="00302B08"/>
    <w:rsid w:val="0030417A"/>
    <w:rsid w:val="003135B9"/>
    <w:rsid w:val="0031521B"/>
    <w:rsid w:val="0031746C"/>
    <w:rsid w:val="003303C0"/>
    <w:rsid w:val="00337F53"/>
    <w:rsid w:val="00345C3C"/>
    <w:rsid w:val="00360B0E"/>
    <w:rsid w:val="00361EE7"/>
    <w:rsid w:val="00363722"/>
    <w:rsid w:val="003723F2"/>
    <w:rsid w:val="00376BF2"/>
    <w:rsid w:val="00377E21"/>
    <w:rsid w:val="00391636"/>
    <w:rsid w:val="00397EB3"/>
    <w:rsid w:val="003B3C44"/>
    <w:rsid w:val="003D4121"/>
    <w:rsid w:val="003D6A71"/>
    <w:rsid w:val="003E1026"/>
    <w:rsid w:val="003E4EE7"/>
    <w:rsid w:val="003E6288"/>
    <w:rsid w:val="003E7622"/>
    <w:rsid w:val="003F5BE2"/>
    <w:rsid w:val="0040480F"/>
    <w:rsid w:val="004146CE"/>
    <w:rsid w:val="00423FBB"/>
    <w:rsid w:val="0042716E"/>
    <w:rsid w:val="004326B3"/>
    <w:rsid w:val="004328A7"/>
    <w:rsid w:val="00436566"/>
    <w:rsid w:val="00455506"/>
    <w:rsid w:val="0046043B"/>
    <w:rsid w:val="00474546"/>
    <w:rsid w:val="00492FAA"/>
    <w:rsid w:val="0049492C"/>
    <w:rsid w:val="004A0FAC"/>
    <w:rsid w:val="004A3429"/>
    <w:rsid w:val="004A6C68"/>
    <w:rsid w:val="004C7163"/>
    <w:rsid w:val="004D1189"/>
    <w:rsid w:val="004D314A"/>
    <w:rsid w:val="004E5270"/>
    <w:rsid w:val="004F0319"/>
    <w:rsid w:val="004F0B16"/>
    <w:rsid w:val="004F3056"/>
    <w:rsid w:val="0051541A"/>
    <w:rsid w:val="00520C65"/>
    <w:rsid w:val="00531F0E"/>
    <w:rsid w:val="005343FA"/>
    <w:rsid w:val="005363BB"/>
    <w:rsid w:val="00540FCA"/>
    <w:rsid w:val="005666FF"/>
    <w:rsid w:val="00566D34"/>
    <w:rsid w:val="0056742F"/>
    <w:rsid w:val="00577999"/>
    <w:rsid w:val="00581727"/>
    <w:rsid w:val="005B6B2D"/>
    <w:rsid w:val="005C4F85"/>
    <w:rsid w:val="005C59A2"/>
    <w:rsid w:val="005E15EF"/>
    <w:rsid w:val="005E2063"/>
    <w:rsid w:val="005F17EF"/>
    <w:rsid w:val="005F5992"/>
    <w:rsid w:val="005F6213"/>
    <w:rsid w:val="00601D53"/>
    <w:rsid w:val="00603281"/>
    <w:rsid w:val="00604BA5"/>
    <w:rsid w:val="0060647E"/>
    <w:rsid w:val="00606ED8"/>
    <w:rsid w:val="006075A4"/>
    <w:rsid w:val="006131CB"/>
    <w:rsid w:val="00613492"/>
    <w:rsid w:val="006171D7"/>
    <w:rsid w:val="00621934"/>
    <w:rsid w:val="00625270"/>
    <w:rsid w:val="00632D89"/>
    <w:rsid w:val="006353C9"/>
    <w:rsid w:val="00640005"/>
    <w:rsid w:val="006444CB"/>
    <w:rsid w:val="0064489E"/>
    <w:rsid w:val="00646386"/>
    <w:rsid w:val="006514B8"/>
    <w:rsid w:val="00652ABC"/>
    <w:rsid w:val="00665F0F"/>
    <w:rsid w:val="00671302"/>
    <w:rsid w:val="00671979"/>
    <w:rsid w:val="0068602F"/>
    <w:rsid w:val="00694CF0"/>
    <w:rsid w:val="00696E1B"/>
    <w:rsid w:val="006B22C1"/>
    <w:rsid w:val="006E0EB5"/>
    <w:rsid w:val="006F0F6B"/>
    <w:rsid w:val="00703820"/>
    <w:rsid w:val="007104C4"/>
    <w:rsid w:val="00711C6E"/>
    <w:rsid w:val="00723421"/>
    <w:rsid w:val="00745121"/>
    <w:rsid w:val="00747644"/>
    <w:rsid w:val="00751204"/>
    <w:rsid w:val="00752F64"/>
    <w:rsid w:val="007A0A6D"/>
    <w:rsid w:val="007B3C5C"/>
    <w:rsid w:val="007B7841"/>
    <w:rsid w:val="007C2618"/>
    <w:rsid w:val="007D09EA"/>
    <w:rsid w:val="007D0F54"/>
    <w:rsid w:val="007D1811"/>
    <w:rsid w:val="007D1FC0"/>
    <w:rsid w:val="007E1063"/>
    <w:rsid w:val="007E21EA"/>
    <w:rsid w:val="007E30B4"/>
    <w:rsid w:val="007F6239"/>
    <w:rsid w:val="007F7809"/>
    <w:rsid w:val="008161C2"/>
    <w:rsid w:val="00817980"/>
    <w:rsid w:val="00837273"/>
    <w:rsid w:val="0085204F"/>
    <w:rsid w:val="00855A96"/>
    <w:rsid w:val="008607F1"/>
    <w:rsid w:val="00860F15"/>
    <w:rsid w:val="008720EC"/>
    <w:rsid w:val="00881658"/>
    <w:rsid w:val="0089314C"/>
    <w:rsid w:val="008A1A0D"/>
    <w:rsid w:val="008A2F34"/>
    <w:rsid w:val="008A4B5D"/>
    <w:rsid w:val="008E2753"/>
    <w:rsid w:val="008F66F0"/>
    <w:rsid w:val="0090159E"/>
    <w:rsid w:val="00906597"/>
    <w:rsid w:val="00916946"/>
    <w:rsid w:val="00917F96"/>
    <w:rsid w:val="00922275"/>
    <w:rsid w:val="00925B33"/>
    <w:rsid w:val="00925C7C"/>
    <w:rsid w:val="00934A81"/>
    <w:rsid w:val="00937F30"/>
    <w:rsid w:val="00954FD6"/>
    <w:rsid w:val="0099007F"/>
    <w:rsid w:val="00991D6D"/>
    <w:rsid w:val="00994937"/>
    <w:rsid w:val="009A3756"/>
    <w:rsid w:val="009C0857"/>
    <w:rsid w:val="009E2BA4"/>
    <w:rsid w:val="009E5D03"/>
    <w:rsid w:val="009E78ED"/>
    <w:rsid w:val="00A05AD0"/>
    <w:rsid w:val="00A05D61"/>
    <w:rsid w:val="00A1792D"/>
    <w:rsid w:val="00A205DA"/>
    <w:rsid w:val="00A23C83"/>
    <w:rsid w:val="00A34C0C"/>
    <w:rsid w:val="00A36D56"/>
    <w:rsid w:val="00A37F7D"/>
    <w:rsid w:val="00A41876"/>
    <w:rsid w:val="00A533A4"/>
    <w:rsid w:val="00A553FC"/>
    <w:rsid w:val="00A651DC"/>
    <w:rsid w:val="00A6556D"/>
    <w:rsid w:val="00A81D3F"/>
    <w:rsid w:val="00A84779"/>
    <w:rsid w:val="00A877D3"/>
    <w:rsid w:val="00AA143C"/>
    <w:rsid w:val="00AA2460"/>
    <w:rsid w:val="00AB3A28"/>
    <w:rsid w:val="00AC23AD"/>
    <w:rsid w:val="00AC5C6C"/>
    <w:rsid w:val="00AE12F9"/>
    <w:rsid w:val="00AE6AE4"/>
    <w:rsid w:val="00AF0E61"/>
    <w:rsid w:val="00AF419D"/>
    <w:rsid w:val="00AF5241"/>
    <w:rsid w:val="00AF7D27"/>
    <w:rsid w:val="00B06911"/>
    <w:rsid w:val="00B11812"/>
    <w:rsid w:val="00B152C1"/>
    <w:rsid w:val="00B41F89"/>
    <w:rsid w:val="00B441F6"/>
    <w:rsid w:val="00B658C9"/>
    <w:rsid w:val="00B748E6"/>
    <w:rsid w:val="00B74D2D"/>
    <w:rsid w:val="00B853C9"/>
    <w:rsid w:val="00B97DF5"/>
    <w:rsid w:val="00BA079C"/>
    <w:rsid w:val="00BD1DCF"/>
    <w:rsid w:val="00BF6707"/>
    <w:rsid w:val="00C06AF4"/>
    <w:rsid w:val="00C076E7"/>
    <w:rsid w:val="00C14204"/>
    <w:rsid w:val="00C1663A"/>
    <w:rsid w:val="00C34AA9"/>
    <w:rsid w:val="00C424D0"/>
    <w:rsid w:val="00C513E4"/>
    <w:rsid w:val="00C57331"/>
    <w:rsid w:val="00C60A3E"/>
    <w:rsid w:val="00C65D09"/>
    <w:rsid w:val="00C75D4C"/>
    <w:rsid w:val="00C7710E"/>
    <w:rsid w:val="00C81653"/>
    <w:rsid w:val="00C90747"/>
    <w:rsid w:val="00C955F5"/>
    <w:rsid w:val="00CA5249"/>
    <w:rsid w:val="00CB6799"/>
    <w:rsid w:val="00CC3CF1"/>
    <w:rsid w:val="00CD309D"/>
    <w:rsid w:val="00CD7DE2"/>
    <w:rsid w:val="00CE0FDD"/>
    <w:rsid w:val="00CE1750"/>
    <w:rsid w:val="00CF4228"/>
    <w:rsid w:val="00D019E0"/>
    <w:rsid w:val="00D0431B"/>
    <w:rsid w:val="00D0481F"/>
    <w:rsid w:val="00D1600F"/>
    <w:rsid w:val="00D22934"/>
    <w:rsid w:val="00D378B8"/>
    <w:rsid w:val="00D61D85"/>
    <w:rsid w:val="00D85BC4"/>
    <w:rsid w:val="00DA0996"/>
    <w:rsid w:val="00DA5145"/>
    <w:rsid w:val="00DB7913"/>
    <w:rsid w:val="00DD1D50"/>
    <w:rsid w:val="00DD217E"/>
    <w:rsid w:val="00DE0648"/>
    <w:rsid w:val="00DE2DE4"/>
    <w:rsid w:val="00DE4545"/>
    <w:rsid w:val="00DF07DB"/>
    <w:rsid w:val="00DF13C4"/>
    <w:rsid w:val="00DF5721"/>
    <w:rsid w:val="00E03043"/>
    <w:rsid w:val="00E063DD"/>
    <w:rsid w:val="00E06DB2"/>
    <w:rsid w:val="00E20F62"/>
    <w:rsid w:val="00E22C36"/>
    <w:rsid w:val="00E26154"/>
    <w:rsid w:val="00E37B92"/>
    <w:rsid w:val="00E50D9D"/>
    <w:rsid w:val="00E51551"/>
    <w:rsid w:val="00E729CA"/>
    <w:rsid w:val="00EA77C5"/>
    <w:rsid w:val="00EB35C6"/>
    <w:rsid w:val="00EB7A54"/>
    <w:rsid w:val="00EC256E"/>
    <w:rsid w:val="00EC397F"/>
    <w:rsid w:val="00ED0E06"/>
    <w:rsid w:val="00EE23D6"/>
    <w:rsid w:val="00EE52CA"/>
    <w:rsid w:val="00F06633"/>
    <w:rsid w:val="00F20637"/>
    <w:rsid w:val="00F22A9F"/>
    <w:rsid w:val="00F24172"/>
    <w:rsid w:val="00F247D9"/>
    <w:rsid w:val="00F26C4C"/>
    <w:rsid w:val="00F37C8F"/>
    <w:rsid w:val="00F51568"/>
    <w:rsid w:val="00F54EFC"/>
    <w:rsid w:val="00F708E4"/>
    <w:rsid w:val="00F85CE1"/>
    <w:rsid w:val="00F863CD"/>
    <w:rsid w:val="00F90B08"/>
    <w:rsid w:val="00F9401E"/>
    <w:rsid w:val="00FA3E29"/>
    <w:rsid w:val="00FB1A39"/>
    <w:rsid w:val="00FB6AD1"/>
    <w:rsid w:val="00FC410A"/>
    <w:rsid w:val="00FC6B1F"/>
    <w:rsid w:val="00FE241B"/>
    <w:rsid w:val="00FE41AB"/>
    <w:rsid w:val="00FE6849"/>
    <w:rsid w:val="00FF4983"/>
    <w:rsid w:val="041801BF"/>
    <w:rsid w:val="04A41EB6"/>
    <w:rsid w:val="059013A3"/>
    <w:rsid w:val="0C414128"/>
    <w:rsid w:val="15F60C94"/>
    <w:rsid w:val="18F57232"/>
    <w:rsid w:val="291457A8"/>
    <w:rsid w:val="340A5D6B"/>
    <w:rsid w:val="3572119A"/>
    <w:rsid w:val="3AC723F1"/>
    <w:rsid w:val="43A67AAD"/>
    <w:rsid w:val="58097A6A"/>
    <w:rsid w:val="5A285566"/>
    <w:rsid w:val="5E083AD3"/>
    <w:rsid w:val="6C4343D6"/>
    <w:rsid w:val="71180851"/>
    <w:rsid w:val="75FA3320"/>
    <w:rsid w:val="76891DE7"/>
    <w:rsid w:val="7F440A8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qFormat="1" w:uiPriority="99" w:name="Balloon Text"/>
    <w:lsdException w:qFormat="1" w:unhideWhenUsed="0" w:uiPriority="59" w:semiHidden="0" w:name="Table Grid"/>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fr-FR" w:eastAsia="en-US" w:bidi="ar-SA"/>
    </w:rPr>
  </w:style>
  <w:style w:type="character" w:default="1" w:styleId="9">
    <w:name w:val="Default Paragraph Font"/>
    <w:semiHidden/>
    <w:unhideWhenUsed/>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2">
    <w:name w:val="HTML Preformatted"/>
    <w:semiHidden/>
    <w:unhideWhenUsed/>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SimSun" w:hAnsi="SimSun" w:eastAsia="SimSun" w:cs="SimSun"/>
      <w:kern w:val="0"/>
      <w:sz w:val="24"/>
      <w:szCs w:val="24"/>
      <w:lang w:val="en-US" w:eastAsia="zh-CN" w:bidi="ar"/>
    </w:rPr>
  </w:style>
  <w:style w:type="paragraph" w:styleId="3">
    <w:name w:val="annotation subject"/>
    <w:basedOn w:val="4"/>
    <w:next w:val="4"/>
    <w:link w:val="14"/>
    <w:semiHidden/>
    <w:unhideWhenUsed/>
    <w:qFormat/>
    <w:uiPriority w:val="99"/>
    <w:rPr>
      <w:b/>
      <w:bCs/>
    </w:rPr>
  </w:style>
  <w:style w:type="paragraph" w:styleId="4">
    <w:name w:val="annotation text"/>
    <w:basedOn w:val="1"/>
    <w:link w:val="13"/>
    <w:semiHidden/>
    <w:unhideWhenUsed/>
    <w:qFormat/>
    <w:uiPriority w:val="99"/>
    <w:pPr>
      <w:spacing w:line="240" w:lineRule="auto"/>
    </w:pPr>
    <w:rPr>
      <w:sz w:val="20"/>
      <w:szCs w:val="20"/>
    </w:rPr>
  </w:style>
  <w:style w:type="paragraph" w:styleId="5">
    <w:name w:val="caption"/>
    <w:basedOn w:val="1"/>
    <w:next w:val="1"/>
    <w:unhideWhenUsed/>
    <w:qFormat/>
    <w:uiPriority w:val="35"/>
    <w:pPr>
      <w:spacing w:line="240" w:lineRule="auto"/>
    </w:pPr>
    <w:rPr>
      <w:b/>
      <w:bCs/>
      <w:color w:val="4F81BD" w:themeColor="accent1"/>
      <w:sz w:val="18"/>
      <w:szCs w:val="18"/>
    </w:rPr>
  </w:style>
  <w:style w:type="paragraph" w:styleId="6">
    <w:name w:val="Balloon Text"/>
    <w:basedOn w:val="1"/>
    <w:link w:val="15"/>
    <w:semiHidden/>
    <w:unhideWhenUsed/>
    <w:qFormat/>
    <w:uiPriority w:val="99"/>
    <w:pPr>
      <w:spacing w:after="0" w:line="240" w:lineRule="auto"/>
    </w:pPr>
    <w:rPr>
      <w:rFonts w:ascii="Segoe UI" w:hAnsi="Segoe UI" w:cs="Segoe UI"/>
      <w:sz w:val="18"/>
      <w:szCs w:val="18"/>
    </w:rPr>
  </w:style>
  <w:style w:type="paragraph" w:styleId="7">
    <w:name w:val="Normal (Web)"/>
    <w:basedOn w:val="1"/>
    <w:unhideWhenUsed/>
    <w:qFormat/>
    <w:uiPriority w:val="99"/>
    <w:rPr>
      <w:rFonts w:ascii="Times New Roman" w:hAnsi="Times New Roman" w:cs="Times New Roman"/>
      <w:sz w:val="24"/>
      <w:szCs w:val="24"/>
    </w:rPr>
  </w:style>
  <w:style w:type="paragraph" w:styleId="8">
    <w:name w:val="footer"/>
    <w:basedOn w:val="1"/>
    <w:unhideWhenUsed/>
    <w:qFormat/>
    <w:uiPriority w:val="99"/>
    <w:pPr>
      <w:tabs>
        <w:tab w:val="center" w:pos="4536"/>
        <w:tab w:val="right" w:pos="9072"/>
      </w:tabs>
      <w:spacing w:after="0" w:line="240" w:lineRule="auto"/>
    </w:pPr>
  </w:style>
  <w:style w:type="character" w:styleId="10">
    <w:name w:val="Hyperlink"/>
    <w:basedOn w:val="9"/>
    <w:unhideWhenUsed/>
    <w:qFormat/>
    <w:uiPriority w:val="99"/>
    <w:rPr>
      <w:color w:val="0000FF" w:themeColor="hyperlink"/>
      <w:u w:val="single"/>
    </w:rPr>
  </w:style>
  <w:style w:type="character" w:styleId="11">
    <w:name w:val="annotation reference"/>
    <w:basedOn w:val="9"/>
    <w:semiHidden/>
    <w:unhideWhenUsed/>
    <w:qFormat/>
    <w:uiPriority w:val="99"/>
    <w:rPr>
      <w:sz w:val="16"/>
      <w:szCs w:val="16"/>
    </w:rPr>
  </w:style>
  <w:style w:type="character" w:customStyle="1" w:styleId="13">
    <w:name w:val="Commentaire Car"/>
    <w:basedOn w:val="9"/>
    <w:link w:val="4"/>
    <w:semiHidden/>
    <w:qFormat/>
    <w:uiPriority w:val="99"/>
    <w:rPr>
      <w:sz w:val="20"/>
      <w:szCs w:val="20"/>
    </w:rPr>
  </w:style>
  <w:style w:type="character" w:customStyle="1" w:styleId="14">
    <w:name w:val="Objet du commentaire Car"/>
    <w:basedOn w:val="13"/>
    <w:link w:val="3"/>
    <w:semiHidden/>
    <w:qFormat/>
    <w:uiPriority w:val="99"/>
    <w:rPr>
      <w:b/>
      <w:bCs/>
      <w:sz w:val="20"/>
      <w:szCs w:val="20"/>
    </w:rPr>
  </w:style>
  <w:style w:type="character" w:customStyle="1" w:styleId="15">
    <w:name w:val="Texte de bulles Car"/>
    <w:basedOn w:val="9"/>
    <w:link w:val="6"/>
    <w:semiHidden/>
    <w:qFormat/>
    <w:uiPriority w:val="99"/>
    <w:rPr>
      <w:rFonts w:ascii="Segoe UI" w:hAnsi="Segoe UI" w:cs="Segoe UI"/>
      <w:sz w:val="18"/>
      <w:szCs w:val="18"/>
    </w:rPr>
  </w:style>
  <w:style w:type="table" w:styleId="16">
    <w:name w:val="Table Grid"/>
    <w:basedOn w:val="1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7">
    <w:name w:val="Bibliography"/>
    <w:basedOn w:val="1"/>
    <w:next w:val="1"/>
    <w:unhideWhenUsed/>
    <w:qFormat/>
    <w:uiPriority w:val="37"/>
    <w:pPr>
      <w:tabs>
        <w:tab w:val="left" w:pos="384"/>
      </w:tabs>
      <w:spacing w:after="240" w:line="240" w:lineRule="auto"/>
      <w:ind w:left="384" w:hanging="384"/>
    </w:pPr>
  </w:style>
  <w:style w:type="paragraph" w:customStyle="1" w:styleId="18">
    <w:name w:val="Revision"/>
    <w:hidden/>
    <w:semiHidden/>
    <w:qFormat/>
    <w:uiPriority w:val="99"/>
    <w:pPr>
      <w:spacing w:after="0" w:line="240" w:lineRule="auto"/>
    </w:pPr>
    <w:rPr>
      <w:rFonts w:asciiTheme="minorHAnsi" w:hAnsiTheme="minorHAnsi" w:eastAsiaTheme="minorHAnsi" w:cstheme="minorBidi"/>
      <w:sz w:val="22"/>
      <w:szCs w:val="22"/>
      <w:lang w:val="fr-FR" w:eastAsia="en-US" w:bidi="ar-SA"/>
    </w:rPr>
  </w:style>
  <w:style w:type="paragraph" w:styleId="19">
    <w:name w:val="List Paragraph"/>
    <w:basedOn w:val="1"/>
    <w:qFormat/>
    <w:uiPriority w:val="34"/>
    <w:pPr>
      <w:ind w:left="720"/>
      <w:contextualSpacing/>
    </w:pPr>
  </w:style>
  <w:style w:type="table" w:customStyle="1" w:styleId="20">
    <w:name w:val="Ombrage clair3"/>
    <w:basedOn w:val="12"/>
    <w:qFormat/>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Layout w:type="fixed"/>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paragraph" w:styleId="21">
    <w:name w:val="No Spacing"/>
    <w:qFormat/>
    <w:uiPriority w:val="1"/>
    <w:pPr>
      <w:spacing w:after="0" w:line="240" w:lineRule="auto"/>
    </w:pPr>
    <w:rPr>
      <w:rFonts w:asciiTheme="minorHAnsi" w:hAnsiTheme="minorHAnsi" w:eastAsiaTheme="minorEastAsia" w:cstheme="minorBidi"/>
      <w:sz w:val="22"/>
      <w:szCs w:val="22"/>
      <w:lang w:val="fr-FR" w:eastAsia="en-US" w:bidi="ar-SA"/>
    </w:rPr>
  </w:style>
  <w:style w:type="paragraph" w:customStyle="1" w:styleId="22">
    <w:name w:val="Default"/>
    <w:qFormat/>
    <w:uiPriority w:val="0"/>
    <w:pPr>
      <w:autoSpaceDE w:val="0"/>
      <w:autoSpaceDN w:val="0"/>
      <w:adjustRightInd w:val="0"/>
      <w:spacing w:after="0" w:line="240" w:lineRule="auto"/>
    </w:pPr>
    <w:rPr>
      <w:rFonts w:ascii="Arial" w:hAnsi="Arial" w:cs="Arial" w:eastAsiaTheme="minorEastAsia"/>
      <w:color w:val="000000"/>
      <w:sz w:val="24"/>
      <w:szCs w:val="24"/>
      <w:lang w:val="fr-FR" w:eastAsia="fr-FR" w:bidi="ar-SA"/>
    </w:rPr>
  </w:style>
  <w:style w:type="table" w:customStyle="1" w:styleId="23">
    <w:name w:val="Ombrage clair5"/>
    <w:basedOn w:val="12"/>
    <w:qFormat/>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Layout w:type="fixed"/>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emf"/><Relationship Id="rId7" Type="http://schemas.openxmlformats.org/officeDocument/2006/relationships/image" Target="media/image2.emf"/><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50"/>
    <customShpInfo spid="_x0000_s2051"/>
    <customShpInfo spid="_x0000_s2052"/>
    <customShpInfo spid="_x0000_s2054"/>
    <customShpInfo spid="_x0000_s2055"/>
    <customShpInfo spid="_x0000_s2053"/>
    <customShpInfo spid="_x0000_s2049"/>
    <customShpInfo spid="_x0000_s1026"/>
    <customShpInfo spid="_x0000_s1033"/>
    <customShpInfo spid="_x0000_s1034"/>
    <customShpInfo spid="_x0000_s1035"/>
    <customShpInfo spid="_x0000_s1031"/>
    <customShpInfo spid="_x0000_s1032"/>
    <customShpInfo spid="_x0000_s103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10432</Words>
  <Characters>57382</Characters>
  <Lines>478</Lines>
  <Paragraphs>135</Paragraphs>
  <TotalTime>9</TotalTime>
  <ScaleCrop>false</ScaleCrop>
  <LinksUpToDate>false</LinksUpToDate>
  <CharactersWithSpaces>67679</CharactersWithSpaces>
  <Application>WPS Office_11.2.0.8970_F1E327BC-269C-435d-A152-05C5408002CA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2019-12-26T14:20:00Z</dcterms:created>
  <dc:creator>massama</dc:creator>
  <cp:lastModifiedBy>user</cp:lastModifiedBy>
  <dcterms:modified xsi:type="dcterms:W3CDTF">2020-03-11T06:54:40Z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zotero-version="4.0.28.7"&gt;&lt;session id="TO1RNWLG"/&gt;&lt;style id="http://www.zotero.org/styles/vancouver" locale="fr-FR" hasBibliography="1" bibliographyStyleHasBeenSet="1"/&gt;&lt;prefs&gt;&lt;pref name="fieldType" value="Field"/&gt;&lt;pref name="storeR</vt:lpwstr>
  </property>
  <property fmtid="{D5CDD505-2E9C-101B-9397-08002B2CF9AE}" pid="3" name="ZOTERO_PREF_2">
    <vt:lpwstr>eferences" value="true"/&gt;&lt;pref name="automaticJournalAbbreviations" value="true"/&gt;&lt;pref name="noteType" value=""/&gt;&lt;/prefs&gt;&lt;/data&gt;</vt:lpwstr>
  </property>
  <property fmtid="{D5CDD505-2E9C-101B-9397-08002B2CF9AE}" pid="4" name="KSOProductBuildVer">
    <vt:lpwstr>1036-11.2.0.8970</vt:lpwstr>
  </property>
</Properties>
</file>