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60" w:after="120" w:line="260" w:lineRule="auto"/>
        <w:textAlignment w:val="auto"/>
        <w:rPr>
          <w:rFonts w:hint="default" w:ascii="Times New Roman" w:hAnsi="Times New Roman"/>
          <w:b/>
          <w:bCs/>
          <w:sz w:val="24"/>
          <w:lang w:val="fr-FR"/>
        </w:rPr>
      </w:pPr>
      <w:r>
        <w:rPr>
          <w:rFonts w:hint="default" w:ascii="Times New Roman" w:hAnsi="Times New Roman"/>
          <w:b/>
          <w:bCs/>
          <w:sz w:val="24"/>
          <w:lang w:val="en-US" w:eastAsia="fr-FR"/>
        </w:rPr>
        <w:drawing>
          <wp:anchor distT="0" distB="0" distL="114300" distR="114300" simplePos="0" relativeHeight="251662336" behindDoc="1" locked="0" layoutInCell="1" allowOverlap="1">
            <wp:simplePos x="0" y="0"/>
            <wp:positionH relativeFrom="column">
              <wp:posOffset>-110490</wp:posOffset>
            </wp:positionH>
            <wp:positionV relativeFrom="paragraph">
              <wp:posOffset>-27940</wp:posOffset>
            </wp:positionV>
            <wp:extent cx="6438900" cy="562610"/>
            <wp:effectExtent l="0" t="0" r="0" b="8890"/>
            <wp:wrapTight wrapText="bothSides">
              <wp:wrapPolygon>
                <wp:start x="0" y="0"/>
                <wp:lineTo x="0" y="21210"/>
                <wp:lineTo x="21536" y="21210"/>
                <wp:lineTo x="21536" y="0"/>
                <wp:lineTo x="0" y="0"/>
              </wp:wrapPolygon>
            </wp:wrapTight>
            <wp:docPr id="1" name="Picture 2" descr="C:\Users\23767\Pictures\bannerhsd56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23767\Pictures\bannerhsd56jpg.png"/>
                    <pic:cNvPicPr>
                      <a:picLocks noChangeAspect="1" noChangeArrowheads="1"/>
                    </pic:cNvPicPr>
                  </pic:nvPicPr>
                  <pic:blipFill>
                    <a:blip r:embed="rId6" cstate="print"/>
                    <a:srcRect t="10641" b="4082"/>
                    <a:stretch>
                      <a:fillRect/>
                    </a:stretch>
                  </pic:blipFill>
                  <pic:spPr>
                    <a:xfrm>
                      <a:off x="0" y="0"/>
                      <a:ext cx="6438900" cy="562610"/>
                    </a:xfrm>
                    <a:prstGeom prst="rect">
                      <a:avLst/>
                    </a:prstGeom>
                    <a:noFill/>
                    <a:ln w="9525">
                      <a:noFill/>
                      <a:miter lim="800000"/>
                      <a:headEnd/>
                      <a:tailEnd/>
                    </a:ln>
                  </pic:spPr>
                </pic:pic>
              </a:graphicData>
            </a:graphic>
          </wp:anchor>
        </w:drawing>
      </w:r>
      <w:r>
        <w:rPr>
          <w:rFonts w:hint="default" w:ascii="Times New Roman" w:hAnsi="Times New Roman"/>
          <w:b/>
          <w:bCs/>
          <w:sz w:val="24"/>
          <w:lang w:val="en-US" w:eastAsia="fr-FR"/>
        </w:rPr>
        <w:t>Cas</w:t>
      </w:r>
      <w:r>
        <w:rPr>
          <w:rFonts w:ascii="Times New Roman" w:hAnsi="Times New Roman"/>
          <w:b/>
          <w:bCs/>
          <w:sz w:val="24"/>
          <w:lang w:val="en-US"/>
        </w:rPr>
        <w:t xml:space="preserve"> </w:t>
      </w:r>
      <w:r>
        <w:rPr>
          <w:rFonts w:hint="default" w:ascii="Times New Roman" w:hAnsi="Times New Roman"/>
          <w:b/>
          <w:bCs/>
          <w:sz w:val="24"/>
          <w:lang w:val="fr-FR"/>
        </w:rPr>
        <w:t>Clinique</w:t>
      </w:r>
    </w:p>
    <w:p>
      <w:pPr>
        <w:spacing w:after="0" w:line="240" w:lineRule="auto"/>
        <w:jc w:val="center"/>
        <w:rPr>
          <w:rFonts w:ascii="Times New Roman" w:hAnsi="Times New Roman" w:eastAsia="Times New Roman"/>
          <w:b/>
          <w:bCs/>
          <w:color w:val="17365D"/>
          <w:spacing w:val="5"/>
          <w:sz w:val="32"/>
          <w:szCs w:val="72"/>
        </w:rPr>
      </w:pPr>
      <w:r>
        <w:rPr>
          <w:rFonts w:hint="default" w:ascii="Times New Roman" w:hAnsi="Times New Roman" w:eastAsia="Times New Roman"/>
          <w:b/>
          <w:bCs/>
          <w:color w:val="17365D"/>
          <w:spacing w:val="5"/>
          <w:sz w:val="32"/>
          <w:szCs w:val="72"/>
          <w:lang w:val="fr-FR"/>
        </w:rPr>
        <w:t>Prise en Charge d’un Abcès Parodontal chez un Patient Diabétique et Hypertendu</w:t>
      </w:r>
    </w:p>
    <w:p>
      <w:pPr>
        <w:spacing w:line="240" w:lineRule="auto"/>
        <w:jc w:val="center"/>
        <w:rPr>
          <w:rFonts w:ascii="Times New Roman" w:hAnsi="Times New Roman" w:eastAsia="Times New Roman"/>
          <w:b/>
          <w:bCs/>
          <w:i/>
          <w:iCs/>
          <w:color w:val="4F81BD"/>
          <w:spacing w:val="15"/>
          <w:lang w:val="en-US" w:bidi="en-US"/>
        </w:rPr>
      </w:pPr>
      <w:r>
        <w:rPr>
          <w:rFonts w:hint="default" w:ascii="Times New Roman" w:hAnsi="Times New Roman" w:eastAsia="Times New Roman"/>
          <w:b/>
          <w:bCs/>
          <w:i/>
          <w:iCs/>
          <w:color w:val="4F81BD"/>
          <w:spacing w:val="15"/>
          <w:lang w:val="fr-FR" w:bidi="en-US"/>
        </w:rPr>
        <w:t>Management of a periodontal abscess in a diabetic and hypertensive patient</w:t>
      </w:r>
    </w:p>
    <w:p>
      <w:pPr>
        <w:spacing w:after="0" w:line="240" w:lineRule="auto"/>
        <w:jc w:val="center"/>
        <w:rPr>
          <w:rFonts w:hint="default" w:ascii="Times New Roman" w:hAnsi="Times New Roman"/>
          <w:sz w:val="24"/>
          <w:szCs w:val="20"/>
          <w:lang w:val="en-US"/>
        </w:rPr>
      </w:pPr>
      <w:r>
        <w:rPr>
          <w:rFonts w:hint="default" w:ascii="Times New Roman" w:hAnsi="Times New Roman"/>
          <w:sz w:val="24"/>
          <w:szCs w:val="20"/>
          <w:lang w:val="en-US"/>
        </w:rPr>
        <w:t xml:space="preserve">Essama </w:t>
      </w:r>
      <w:r>
        <w:rPr>
          <w:rFonts w:hint="default" w:ascii="Times New Roman" w:hAnsi="Times New Roman"/>
          <w:sz w:val="24"/>
          <w:szCs w:val="20"/>
          <w:lang w:val="fr-FR"/>
        </w:rPr>
        <w:t xml:space="preserve">Eno </w:t>
      </w:r>
      <w:r>
        <w:rPr>
          <w:rFonts w:hint="default" w:ascii="Times New Roman" w:hAnsi="Times New Roman"/>
          <w:sz w:val="24"/>
          <w:szCs w:val="20"/>
          <w:lang w:val="en-US"/>
        </w:rPr>
        <w:t>B</w:t>
      </w:r>
      <w:r>
        <w:rPr>
          <w:rFonts w:hint="default" w:ascii="Times New Roman" w:hAnsi="Times New Roman"/>
          <w:sz w:val="24"/>
          <w:szCs w:val="20"/>
          <w:lang w:val="fr-FR"/>
        </w:rPr>
        <w:t>L</w:t>
      </w:r>
      <w:r>
        <w:rPr>
          <w:rFonts w:hint="default" w:ascii="Times New Roman" w:hAnsi="Times New Roman"/>
          <w:sz w:val="24"/>
          <w:szCs w:val="20"/>
          <w:vertAlign w:val="superscript"/>
          <w:lang w:val="en-US"/>
        </w:rPr>
        <w:t>1,2</w:t>
      </w:r>
      <w:r>
        <w:rPr>
          <w:rFonts w:hint="default" w:ascii="Times New Roman" w:hAnsi="Times New Roman"/>
          <w:sz w:val="24"/>
          <w:szCs w:val="20"/>
          <w:vertAlign w:val="baseline"/>
          <w:lang w:val="fr-FR"/>
        </w:rPr>
        <w:t xml:space="preserve">, </w:t>
      </w:r>
      <w:r>
        <w:rPr>
          <w:rFonts w:hint="default" w:ascii="Times New Roman" w:hAnsi="Times New Roman"/>
          <w:sz w:val="24"/>
          <w:szCs w:val="20"/>
          <w:lang w:val="en-US"/>
        </w:rPr>
        <w:t>Ndjoh JJ</w:t>
      </w:r>
      <w:r>
        <w:rPr>
          <w:rFonts w:hint="default" w:ascii="Times New Roman" w:hAnsi="Times New Roman"/>
          <w:sz w:val="24"/>
          <w:szCs w:val="20"/>
          <w:vertAlign w:val="superscript"/>
          <w:lang w:val="en-US"/>
        </w:rPr>
        <w:t>3</w:t>
      </w:r>
      <w:r>
        <w:rPr>
          <w:rFonts w:hint="default" w:ascii="Times New Roman" w:hAnsi="Times New Roman"/>
          <w:sz w:val="24"/>
          <w:szCs w:val="20"/>
          <w:vertAlign w:val="baseline"/>
          <w:lang w:val="fr-FR"/>
        </w:rPr>
        <w:t xml:space="preserve">, </w:t>
      </w:r>
      <w:r>
        <w:rPr>
          <w:rFonts w:hint="default" w:ascii="Times New Roman" w:hAnsi="Times New Roman"/>
          <w:sz w:val="24"/>
          <w:szCs w:val="20"/>
          <w:lang w:val="en-US"/>
        </w:rPr>
        <w:t>Diarra A</w:t>
      </w:r>
      <w:r>
        <w:rPr>
          <w:rFonts w:hint="default" w:ascii="Times New Roman" w:hAnsi="Times New Roman"/>
          <w:sz w:val="24"/>
          <w:szCs w:val="20"/>
          <w:vertAlign w:val="superscript"/>
          <w:lang w:val="en-US"/>
        </w:rPr>
        <w:t>4</w:t>
      </w:r>
      <w:r>
        <w:rPr>
          <w:rFonts w:hint="default" w:ascii="Times New Roman" w:hAnsi="Times New Roman"/>
          <w:sz w:val="24"/>
          <w:szCs w:val="20"/>
          <w:vertAlign w:val="baseline"/>
          <w:lang w:val="fr-FR"/>
        </w:rPr>
        <w:t xml:space="preserve">, </w:t>
      </w:r>
      <w:r>
        <w:rPr>
          <w:rFonts w:hint="default" w:ascii="Times New Roman" w:hAnsi="Times New Roman"/>
          <w:sz w:val="24"/>
          <w:szCs w:val="20"/>
          <w:lang w:val="en-US"/>
        </w:rPr>
        <w:t>Mengong H</w:t>
      </w:r>
      <w:r>
        <w:rPr>
          <w:rFonts w:hint="default" w:ascii="Times New Roman" w:hAnsi="Times New Roman"/>
          <w:sz w:val="24"/>
          <w:szCs w:val="20"/>
          <w:vertAlign w:val="superscript"/>
          <w:lang w:val="en-US"/>
        </w:rPr>
        <w:t>3</w:t>
      </w:r>
      <w:r>
        <w:rPr>
          <w:rFonts w:hint="default" w:ascii="Times New Roman" w:hAnsi="Times New Roman"/>
          <w:sz w:val="24"/>
          <w:szCs w:val="20"/>
          <w:vertAlign w:val="baseline"/>
          <w:lang w:val="fr-FR"/>
        </w:rPr>
        <w:t xml:space="preserve">, </w:t>
      </w:r>
      <w:r>
        <w:rPr>
          <w:rFonts w:hint="default" w:ascii="Times New Roman" w:hAnsi="Times New Roman"/>
          <w:sz w:val="24"/>
          <w:szCs w:val="20"/>
          <w:lang w:val="en-US"/>
        </w:rPr>
        <w:t>Mouliom S</w:t>
      </w:r>
      <w:r>
        <w:rPr>
          <w:rFonts w:hint="default" w:ascii="Times New Roman" w:hAnsi="Times New Roman"/>
          <w:sz w:val="24"/>
          <w:szCs w:val="20"/>
          <w:vertAlign w:val="superscript"/>
          <w:lang w:val="en-US"/>
        </w:rPr>
        <w:t>1,2</w:t>
      </w:r>
      <w:r>
        <w:rPr>
          <w:rFonts w:hint="default" w:ascii="Times New Roman" w:hAnsi="Times New Roman"/>
          <w:sz w:val="24"/>
          <w:szCs w:val="20"/>
          <w:vertAlign w:val="baseline"/>
          <w:lang w:val="fr-FR"/>
        </w:rPr>
        <w:t xml:space="preserve">, </w:t>
      </w:r>
      <w:r>
        <w:rPr>
          <w:rFonts w:hint="default" w:ascii="Times New Roman" w:hAnsi="Times New Roman"/>
          <w:sz w:val="24"/>
          <w:szCs w:val="20"/>
          <w:lang w:val="en-US"/>
        </w:rPr>
        <w:t>Bell Ngan W</w:t>
      </w:r>
      <w:r>
        <w:rPr>
          <w:rFonts w:hint="default" w:ascii="Times New Roman" w:hAnsi="Times New Roman"/>
          <w:sz w:val="24"/>
          <w:szCs w:val="20"/>
          <w:vertAlign w:val="superscript"/>
          <w:lang w:val="en-US"/>
        </w:rPr>
        <w:t>5</w:t>
      </w:r>
      <w:r>
        <w:rPr>
          <w:rFonts w:hint="default" w:ascii="Times New Roman" w:hAnsi="Times New Roman"/>
          <w:sz w:val="24"/>
          <w:szCs w:val="20"/>
          <w:lang w:val="en-US"/>
        </w:rPr>
        <w:t>, Bengondo Messanga C</w:t>
      </w:r>
      <w:r>
        <w:rPr>
          <w:rFonts w:hint="default" w:ascii="Times New Roman" w:hAnsi="Times New Roman"/>
          <w:sz w:val="24"/>
          <w:szCs w:val="20"/>
          <w:vertAlign w:val="superscript"/>
          <w:lang w:val="en-US"/>
        </w:rPr>
        <w:t>3</w:t>
      </w:r>
      <w:r>
        <w:rPr>
          <w:rFonts w:hint="default" w:ascii="Times New Roman" w:hAnsi="Times New Roman"/>
          <w:sz w:val="24"/>
          <w:szCs w:val="20"/>
          <w:lang w:val="fr-FR"/>
        </w:rPr>
        <w:t xml:space="preserve">, </w:t>
      </w:r>
      <w:r>
        <w:rPr>
          <w:rFonts w:hint="default" w:ascii="Times New Roman" w:hAnsi="Times New Roman"/>
          <w:sz w:val="24"/>
          <w:szCs w:val="20"/>
          <w:lang w:val="en-US"/>
        </w:rPr>
        <w:t>Ngouadjeu Dongho E</w:t>
      </w:r>
      <w:r>
        <w:rPr>
          <w:rFonts w:hint="default" w:ascii="Times New Roman" w:hAnsi="Times New Roman"/>
          <w:sz w:val="24"/>
          <w:szCs w:val="20"/>
          <w:vertAlign w:val="superscript"/>
          <w:lang w:val="en-US"/>
        </w:rPr>
        <w:t>1,2</w:t>
      </w:r>
      <w:r>
        <w:rPr>
          <w:rFonts w:hint="default" w:ascii="Times New Roman" w:hAnsi="Times New Roman"/>
          <w:sz w:val="24"/>
          <w:szCs w:val="20"/>
          <w:lang w:val="fr-FR"/>
        </w:rPr>
        <w:t xml:space="preserve">, </w:t>
      </w:r>
      <w:r>
        <w:rPr>
          <w:rFonts w:hint="default" w:ascii="Times New Roman" w:hAnsi="Times New Roman"/>
          <w:sz w:val="24"/>
          <w:szCs w:val="20"/>
          <w:lang w:val="en-US"/>
        </w:rPr>
        <w:t>Lemogoum D</w:t>
      </w:r>
      <w:r>
        <w:rPr>
          <w:rFonts w:hint="default" w:ascii="Times New Roman" w:hAnsi="Times New Roman"/>
          <w:sz w:val="24"/>
          <w:szCs w:val="20"/>
          <w:vertAlign w:val="superscript"/>
          <w:lang w:val="en-US"/>
        </w:rPr>
        <w:t>1</w:t>
      </w:r>
    </w:p>
    <w:tbl>
      <w:tblPr>
        <w:tblStyle w:val="6"/>
        <w:tblW w:w="10173" w:type="dxa"/>
        <w:tblInd w:w="0" w:type="dxa"/>
        <w:tblLayout w:type="fixed"/>
        <w:tblCellMar>
          <w:top w:w="0" w:type="dxa"/>
          <w:left w:w="108" w:type="dxa"/>
          <w:bottom w:w="0" w:type="dxa"/>
          <w:right w:w="108" w:type="dxa"/>
        </w:tblCellMar>
      </w:tblPr>
      <w:tblGrid>
        <w:gridCol w:w="4965"/>
        <w:gridCol w:w="5208"/>
      </w:tblGrid>
      <w:tr>
        <w:tblPrEx>
          <w:tblLayout w:type="fixed"/>
          <w:tblCellMar>
            <w:top w:w="0" w:type="dxa"/>
            <w:left w:w="108" w:type="dxa"/>
            <w:bottom w:w="0" w:type="dxa"/>
            <w:right w:w="108" w:type="dxa"/>
          </w:tblCellMar>
        </w:tblPrEx>
        <w:trPr>
          <w:trHeight w:val="158" w:hRule="atLeast"/>
        </w:trPr>
        <w:tc>
          <w:tcPr>
            <w:tcW w:w="4965" w:type="dxa"/>
          </w:tcPr>
          <w:p>
            <w:pPr>
              <w:spacing w:after="0" w:line="240" w:lineRule="auto"/>
              <w:rPr>
                <w:b/>
                <w:bCs/>
                <w:color w:val="365F91"/>
                <w:sz w:val="20"/>
                <w:szCs w:val="18"/>
              </w:rPr>
            </w:pPr>
          </w:p>
        </w:tc>
        <w:tc>
          <w:tcPr>
            <w:tcW w:w="5208" w:type="dxa"/>
          </w:tcPr>
          <w:p>
            <w:pPr>
              <w:spacing w:after="0" w:line="240" w:lineRule="auto"/>
              <w:jc w:val="both"/>
              <w:rPr>
                <w:rFonts w:ascii="Times New Roman" w:hAnsi="Times New Roman"/>
                <w:bCs/>
                <w:iCs/>
                <w:sz w:val="20"/>
                <w:szCs w:val="18"/>
              </w:rPr>
            </w:pPr>
          </w:p>
        </w:tc>
      </w:tr>
      <w:tr>
        <w:tblPrEx>
          <w:tblLayout w:type="fixed"/>
          <w:tblCellMar>
            <w:top w:w="0" w:type="dxa"/>
            <w:left w:w="108" w:type="dxa"/>
            <w:bottom w:w="0" w:type="dxa"/>
            <w:right w:w="108" w:type="dxa"/>
          </w:tblCellMar>
        </w:tblPrEx>
        <w:trPr>
          <w:trHeight w:val="349" w:hRule="atLeast"/>
        </w:trPr>
        <w:tc>
          <w:tcPr>
            <w:tcW w:w="4965" w:type="dxa"/>
            <w:vMerge w:val="restart"/>
            <w:shd w:val="clear" w:color="auto" w:fill="D3DFEE"/>
          </w:tcPr>
          <w:p>
            <w:pPr>
              <w:rPr>
                <w:b/>
                <w:bCs/>
                <w:color w:val="365F91"/>
                <w:sz w:val="20"/>
                <w:szCs w:val="18"/>
                <w:vertAlign w:val="superscript"/>
              </w:rPr>
            </w:pPr>
            <w:r>
              <w:rPr>
                <w:bCs/>
                <w:color w:val="5A5A5A"/>
                <w:sz w:val="20"/>
                <w:szCs w:val="20"/>
                <w:lang w:val="en-US"/>
              </w:rPr>
              <w:pict>
                <v:shape id="Text Box 4" o:spid="_x0000_s1028" o:spt="202" type="#_x0000_t202" style="position:absolute;left:0pt;margin-left:13.3pt;margin-top:11.35pt;height:313.25pt;width:211.3pt;z-index:251661312;mso-width-relative:margin;mso-height-relative:margin;" fillcolor="#FFFFFF" filled="t"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">
                  <v:path/>
                  <v:fill on="t" color2="#FFFFFF" focussize="0,0"/>
                  <v:stroke on="f"/>
                  <v:imagedata o:title=""/>
                  <o:lock v:ext="edit" aspectratio="f"/>
                  <v:textbox>
                    <w:txbxContent>
                      <w:p>
                        <w:pPr>
                          <w:pStyle w:val="7"/>
                          <w:numPr>
                            <w:ilvl w:val="0"/>
                            <w:numId w:val="1"/>
                          </w:numPr>
                          <w:spacing w:after="0" w:line="240" w:lineRule="auto"/>
                          <w:ind w:left="426"/>
                          <w:contextualSpacing w:val="0"/>
                          <w:jc w:val="left"/>
                          <w:rPr>
                            <w:rFonts w:hint="default" w:ascii="Times New Roman" w:hAnsi="Times New Roman"/>
                            <w:sz w:val="18"/>
                            <w:szCs w:val="20"/>
                          </w:rPr>
                        </w:pPr>
                        <w:r>
                          <w:rPr>
                            <w:rFonts w:hint="default" w:ascii="Times New Roman" w:hAnsi="Times New Roman"/>
                            <w:sz w:val="18"/>
                            <w:szCs w:val="20"/>
                            <w:lang w:val="fr-FR"/>
                          </w:rPr>
                          <w:t>Faculté de Médecine de Sciences Pharmaceutiques, Université de Douala, Cameroun</w:t>
                        </w:r>
                      </w:p>
                      <w:p>
                        <w:pPr>
                          <w:pStyle w:val="7"/>
                          <w:numPr>
                            <w:ilvl w:val="0"/>
                            <w:numId w:val="0"/>
                          </w:numPr>
                          <w:spacing w:after="0" w:line="240" w:lineRule="auto"/>
                          <w:contextualSpacing w:val="0"/>
                          <w:jc w:val="left"/>
                          <w:rPr>
                            <w:rFonts w:hint="default" w:ascii="Times New Roman" w:hAnsi="Times New Roman"/>
                            <w:sz w:val="18"/>
                            <w:szCs w:val="20"/>
                          </w:rPr>
                        </w:pPr>
                      </w:p>
                      <w:p>
                        <w:pPr>
                          <w:pStyle w:val="7"/>
                          <w:numPr>
                            <w:ilvl w:val="0"/>
                            <w:numId w:val="1"/>
                          </w:numPr>
                          <w:spacing w:after="0" w:line="240" w:lineRule="auto"/>
                          <w:ind w:left="426"/>
                          <w:contextualSpacing w:val="0"/>
                          <w:jc w:val="left"/>
                          <w:rPr>
                            <w:rFonts w:hint="default" w:ascii="Times New Roman" w:hAnsi="Times New Roman"/>
                            <w:sz w:val="18"/>
                            <w:szCs w:val="20"/>
                          </w:rPr>
                        </w:pPr>
                        <w:r>
                          <w:rPr>
                            <w:rFonts w:hint="default" w:ascii="Times New Roman" w:hAnsi="Times New Roman"/>
                            <w:sz w:val="18"/>
                            <w:szCs w:val="20"/>
                            <w:lang w:val="fr-FR"/>
                          </w:rPr>
                          <w:t>Hôpital Général de Douala, Cameroun</w:t>
                        </w:r>
                      </w:p>
                      <w:p>
                        <w:pPr>
                          <w:pStyle w:val="7"/>
                          <w:numPr>
                            <w:ilvl w:val="0"/>
                            <w:numId w:val="0"/>
                          </w:numPr>
                          <w:spacing w:after="0" w:line="240" w:lineRule="auto"/>
                          <w:contextualSpacing w:val="0"/>
                          <w:jc w:val="left"/>
                          <w:rPr>
                            <w:rFonts w:hint="default" w:ascii="Times New Roman" w:hAnsi="Times New Roman"/>
                            <w:sz w:val="18"/>
                            <w:szCs w:val="20"/>
                          </w:rPr>
                        </w:pPr>
                      </w:p>
                      <w:p>
                        <w:pPr>
                          <w:pStyle w:val="7"/>
                          <w:numPr>
                            <w:ilvl w:val="0"/>
                            <w:numId w:val="1"/>
                          </w:numPr>
                          <w:spacing w:after="0" w:line="240" w:lineRule="auto"/>
                          <w:ind w:left="426"/>
                          <w:contextualSpacing w:val="0"/>
                          <w:jc w:val="left"/>
                          <w:rPr>
                            <w:rFonts w:ascii="Times New Roman" w:hAnsi="Times New Roman"/>
                            <w:sz w:val="18"/>
                            <w:szCs w:val="20"/>
                          </w:rPr>
                        </w:pPr>
                        <w:r>
                          <w:rPr>
                            <w:rFonts w:hint="default" w:ascii="Times New Roman" w:hAnsi="Times New Roman"/>
                            <w:sz w:val="18"/>
                            <w:szCs w:val="20"/>
                            <w:lang w:val="fr-FR"/>
                          </w:rPr>
                          <w:t>Faculté de Médecine et des Sciences Biomédicales, Université de Yaoundé 1, Cameroun</w:t>
                        </w:r>
                      </w:p>
                      <w:p>
                        <w:pPr>
                          <w:pStyle w:val="7"/>
                          <w:numPr>
                            <w:ilvl w:val="0"/>
                            <w:numId w:val="0"/>
                          </w:numPr>
                          <w:spacing w:after="0" w:line="240" w:lineRule="auto"/>
                          <w:contextualSpacing w:val="0"/>
                          <w:jc w:val="left"/>
                          <w:rPr>
                            <w:rFonts w:ascii="Times New Roman" w:hAnsi="Times New Roman"/>
                            <w:sz w:val="18"/>
                            <w:szCs w:val="20"/>
                          </w:rPr>
                        </w:pPr>
                      </w:p>
                      <w:p>
                        <w:pPr>
                          <w:pStyle w:val="7"/>
                          <w:numPr>
                            <w:ilvl w:val="0"/>
                            <w:numId w:val="1"/>
                          </w:numPr>
                          <w:spacing w:after="0" w:line="240" w:lineRule="auto"/>
                          <w:ind w:left="426"/>
                          <w:contextualSpacing w:val="0"/>
                          <w:jc w:val="left"/>
                          <w:rPr>
                            <w:rFonts w:ascii="Times New Roman" w:hAnsi="Times New Roman"/>
                            <w:sz w:val="18"/>
                            <w:szCs w:val="20"/>
                          </w:rPr>
                        </w:pPr>
                        <w:r>
                          <w:rPr>
                            <w:rFonts w:hint="default" w:ascii="Times New Roman" w:hAnsi="Times New Roman"/>
                            <w:sz w:val="18"/>
                            <w:szCs w:val="20"/>
                            <w:lang w:val="fr-FR"/>
                          </w:rPr>
                          <w:t>Unité de Formation et de Recherche en Sciences de la Santé (UFR/SDS), Université Ouaga I Pr Joseph Ki-Zerbo, Burkina Faso</w:t>
                        </w:r>
                      </w:p>
                      <w:p>
                        <w:pPr>
                          <w:pStyle w:val="7"/>
                          <w:numPr>
                            <w:ilvl w:val="0"/>
                            <w:numId w:val="0"/>
                          </w:numPr>
                          <w:spacing w:after="0" w:line="240" w:lineRule="auto"/>
                          <w:contextualSpacing w:val="0"/>
                          <w:jc w:val="left"/>
                          <w:rPr>
                            <w:rFonts w:ascii="Times New Roman" w:hAnsi="Times New Roman"/>
                            <w:sz w:val="18"/>
                            <w:szCs w:val="20"/>
                          </w:rPr>
                        </w:pPr>
                      </w:p>
                      <w:p>
                        <w:pPr>
                          <w:pStyle w:val="7"/>
                          <w:numPr>
                            <w:ilvl w:val="0"/>
                            <w:numId w:val="1"/>
                          </w:numPr>
                          <w:spacing w:after="0" w:line="240" w:lineRule="auto"/>
                          <w:ind w:left="426"/>
                          <w:contextualSpacing w:val="0"/>
                          <w:jc w:val="left"/>
                          <w:rPr>
                            <w:rFonts w:ascii="Times New Roman" w:hAnsi="Times New Roman"/>
                            <w:sz w:val="18"/>
                            <w:szCs w:val="20"/>
                          </w:rPr>
                        </w:pPr>
                        <w:r>
                          <w:rPr>
                            <w:rFonts w:hint="default" w:ascii="Times New Roman" w:hAnsi="Times New Roman"/>
                            <w:sz w:val="18"/>
                            <w:szCs w:val="20"/>
                            <w:lang w:val="fr-FR"/>
                          </w:rPr>
                          <w:t>INSERM, U1059, Sainbiose, Dysfonction Vasculaire et Hémostase, Université de Lyon, Université Jean Monnet, Saint-Etienne, France</w:t>
                        </w:r>
                      </w:p>
                      <w:p>
                        <w:pPr>
                          <w:spacing w:after="0" w:line="240" w:lineRule="auto"/>
                          <w:jc w:val="left"/>
                          <w:rPr>
                            <w:rFonts w:ascii="Times New Roman" w:hAnsi="Times New Roman"/>
                            <w:sz w:val="18"/>
                            <w:szCs w:val="20"/>
                          </w:rPr>
                        </w:pPr>
                      </w:p>
                      <w:p>
                        <w:pPr>
                          <w:spacing w:after="0" w:line="240" w:lineRule="auto"/>
                          <w:ind w:left="6" w:leftChars="0" w:hanging="6" w:firstLineChars="0"/>
                          <w:jc w:val="left"/>
                          <w:rPr>
                            <w:rFonts w:ascii="Times New Roman" w:hAnsi="Times New Roman"/>
                            <w:sz w:val="18"/>
                            <w:szCs w:val="20"/>
                          </w:rPr>
                        </w:pPr>
                        <w:r>
                          <w:rPr>
                            <w:rFonts w:ascii="Times New Roman" w:hAnsi="Times New Roman"/>
                            <w:b/>
                            <w:sz w:val="18"/>
                            <w:szCs w:val="20"/>
                          </w:rPr>
                          <w:t>Auteur correspondan</w:t>
                        </w:r>
                        <w:r>
                          <w:rPr>
                            <w:rFonts w:ascii="Times New Roman" w:hAnsi="Times New Roman"/>
                            <w:sz w:val="18"/>
                            <w:szCs w:val="20"/>
                          </w:rPr>
                          <w:t>t :</w:t>
                        </w:r>
                      </w:p>
                      <w:p>
                        <w:pPr>
                          <w:spacing w:after="0" w:line="240" w:lineRule="auto"/>
                          <w:ind w:left="6" w:leftChars="0" w:hanging="6" w:firstLineChars="0"/>
                          <w:jc w:val="left"/>
                          <w:rPr>
                            <w:rFonts w:hint="default" w:ascii="Times New Roman" w:hAnsi="Times New Roman" w:cs="Times New Roman"/>
                            <w:sz w:val="20"/>
                            <w:szCs w:val="20"/>
                            <w:lang w:val="fr-FR"/>
                          </w:rPr>
                        </w:pPr>
                        <w:r>
                          <w:rPr>
                            <w:rFonts w:ascii="Times New Roman" w:hAnsi="Times New Roman"/>
                            <w:sz w:val="18"/>
                            <w:szCs w:val="20"/>
                          </w:rPr>
                          <w:t xml:space="preserve">Dr </w:t>
                        </w:r>
                        <w:r>
                          <w:rPr>
                            <w:rFonts w:hint="default" w:ascii="Times New Roman" w:hAnsi="Times New Roman" w:cs="Times New Roman"/>
                            <w:sz w:val="20"/>
                            <w:szCs w:val="20"/>
                            <w:lang w:val="fr-FR"/>
                          </w:rPr>
                          <w:t>ESSAMA ENO BELINGA Lawrence</w:t>
                        </w:r>
                      </w:p>
                      <w:p>
                        <w:pPr>
                          <w:spacing w:after="0" w:line="240" w:lineRule="auto"/>
                          <w:ind w:left="6" w:leftChars="0" w:hanging="6" w:firstLineChars="0"/>
                          <w:jc w:val="left"/>
                          <w:rPr>
                            <w:rFonts w:hint="default" w:ascii="Times New Roman" w:hAnsi="Times New Roman"/>
                            <w:sz w:val="18"/>
                            <w:szCs w:val="20"/>
                            <w:lang w:val="fr-FR"/>
                          </w:rPr>
                        </w:pPr>
                        <w:r>
                          <w:rPr>
                            <w:rFonts w:ascii="Times New Roman" w:hAnsi="Times New Roman"/>
                            <w:sz w:val="18"/>
                            <w:szCs w:val="20"/>
                          </w:rPr>
                          <w:t>Adresse e-mail :</w:t>
                        </w:r>
                        <w:r>
                          <w:rPr>
                            <w:rFonts w:hint="default" w:ascii="Times New Roman" w:hAnsi="Times New Roman"/>
                            <w:sz w:val="18"/>
                            <w:szCs w:val="20"/>
                            <w:lang w:val="fr-FR"/>
                          </w:rPr>
                          <w:t xml:space="preserve"> </w:t>
                        </w:r>
                        <w:r>
                          <w:rPr>
                            <w:rFonts w:hint="default" w:ascii="Times New Roman" w:hAnsi="Times New Roman"/>
                            <w:sz w:val="18"/>
                            <w:szCs w:val="20"/>
                            <w:lang w:val="fr-FR"/>
                          </w:rPr>
                          <w:fldChar w:fldCharType="begin"/>
                        </w:r>
                        <w:r>
                          <w:rPr>
                            <w:rFonts w:hint="default" w:ascii="Times New Roman" w:hAnsi="Times New Roman"/>
                            <w:sz w:val="18"/>
                            <w:szCs w:val="20"/>
                            <w:lang w:val="fr-FR"/>
                          </w:rPr>
                          <w:instrText xml:space="preserve"> HYPERLINK "mailto:laubell@yahoo.fr" </w:instrText>
                        </w:r>
                        <w:r>
                          <w:rPr>
                            <w:rFonts w:hint="default" w:ascii="Times New Roman" w:hAnsi="Times New Roman"/>
                            <w:sz w:val="18"/>
                            <w:szCs w:val="20"/>
                            <w:lang w:val="fr-FR"/>
                          </w:rPr>
                          <w:fldChar w:fldCharType="separate"/>
                        </w:r>
                        <w:r>
                          <w:rPr>
                            <w:rFonts w:hint="default" w:ascii="Times New Roman" w:hAnsi="Times New Roman"/>
                            <w:sz w:val="18"/>
                            <w:szCs w:val="20"/>
                            <w:lang w:val="fr-FR"/>
                          </w:rPr>
                          <w:t>laubell@yahoo.fr</w:t>
                        </w:r>
                        <w:r>
                          <w:rPr>
                            <w:rFonts w:hint="default" w:ascii="Times New Roman" w:hAnsi="Times New Roman"/>
                            <w:sz w:val="18"/>
                            <w:szCs w:val="20"/>
                            <w:lang w:val="fr-FR"/>
                          </w:rPr>
                          <w:fldChar w:fldCharType="end"/>
                        </w:r>
                      </w:p>
                      <w:p>
                        <w:pPr>
                          <w:spacing w:after="0" w:line="240" w:lineRule="auto"/>
                          <w:ind w:left="0" w:leftChars="0" w:firstLine="0" w:firstLineChars="0"/>
                          <w:jc w:val="left"/>
                          <w:rPr>
                            <w:rFonts w:hint="default" w:ascii="Times New Roman" w:hAnsi="Times New Roman"/>
                            <w:sz w:val="18"/>
                            <w:szCs w:val="20"/>
                          </w:rPr>
                        </w:pPr>
                        <w:r>
                          <w:rPr>
                            <w:rFonts w:ascii="Times New Roman" w:hAnsi="Times New Roman"/>
                            <w:sz w:val="18"/>
                            <w:szCs w:val="20"/>
                          </w:rPr>
                          <w:t xml:space="preserve">Boite postale : </w:t>
                        </w:r>
                        <w:r>
                          <w:rPr>
                            <w:rFonts w:hint="default" w:ascii="Times New Roman" w:hAnsi="Times New Roman"/>
                            <w:sz w:val="18"/>
                            <w:szCs w:val="20"/>
                            <w:lang w:val="fr-FR"/>
                          </w:rPr>
                          <w:t>4856</w:t>
                        </w:r>
                        <w:r>
                          <w:rPr>
                            <w:rFonts w:hint="default" w:ascii="Times New Roman" w:hAnsi="Times New Roman"/>
                            <w:sz w:val="18"/>
                            <w:szCs w:val="20"/>
                          </w:rPr>
                          <w:t xml:space="preserve"> Yaoundé, Cameroun</w:t>
                        </w:r>
                      </w:p>
                      <w:p>
                        <w:pPr>
                          <w:spacing w:after="0" w:line="240" w:lineRule="auto"/>
                          <w:ind w:left="0" w:leftChars="0" w:firstLine="0" w:firstLineChars="0"/>
                          <w:jc w:val="left"/>
                          <w:rPr>
                            <w:rFonts w:hint="default" w:ascii="Times New Roman" w:hAnsi="Times New Roman"/>
                            <w:sz w:val="18"/>
                            <w:szCs w:val="20"/>
                            <w:lang w:val="fr-FR"/>
                          </w:rPr>
                        </w:pPr>
                        <w:r>
                          <w:rPr>
                            <w:rFonts w:hint="default" w:ascii="Times New Roman" w:hAnsi="Times New Roman"/>
                            <w:sz w:val="18"/>
                            <w:szCs w:val="20"/>
                            <w:lang w:val="fr-FR"/>
                          </w:rPr>
                          <w:t>Tel: (+237) 651 43 13 13</w:t>
                        </w:r>
                      </w:p>
                      <w:p>
                        <w:pPr>
                          <w:spacing w:after="0" w:line="240" w:lineRule="auto"/>
                          <w:ind w:left="0" w:leftChars="0" w:firstLine="0" w:firstLineChars="0"/>
                          <w:jc w:val="left"/>
                          <w:rPr>
                            <w:rFonts w:ascii="Times New Roman" w:hAnsi="Times New Roman"/>
                            <w:sz w:val="18"/>
                            <w:szCs w:val="20"/>
                          </w:rPr>
                        </w:pPr>
                      </w:p>
                      <w:p>
                        <w:pPr>
                          <w:spacing w:after="0" w:line="240" w:lineRule="auto"/>
                          <w:jc w:val="left"/>
                          <w:rPr>
                            <w:rFonts w:hint="default" w:ascii="Times New Roman" w:hAnsi="Times New Roman"/>
                            <w:sz w:val="18"/>
                            <w:szCs w:val="20"/>
                            <w:lang w:val="fr-FR"/>
                          </w:rPr>
                        </w:pPr>
                        <w:r>
                          <w:rPr>
                            <w:rFonts w:ascii="Times New Roman" w:hAnsi="Times New Roman"/>
                            <w:b/>
                            <w:sz w:val="18"/>
                            <w:szCs w:val="20"/>
                          </w:rPr>
                          <w:t xml:space="preserve">Mots-clés </w:t>
                        </w:r>
                        <w:r>
                          <w:rPr>
                            <w:rFonts w:ascii="Times New Roman" w:hAnsi="Times New Roman"/>
                            <w:sz w:val="18"/>
                            <w:szCs w:val="20"/>
                          </w:rPr>
                          <w:t xml:space="preserve">: </w:t>
                        </w:r>
                        <w:r>
                          <w:rPr>
                            <w:rFonts w:hint="default" w:ascii="Times New Roman" w:hAnsi="Times New Roman"/>
                            <w:sz w:val="18"/>
                            <w:szCs w:val="20"/>
                            <w:lang w:val="fr-FR"/>
                          </w:rPr>
                          <w:t>Prise en charge, Abcès Parodontal, Diabète, Hypertension.</w:t>
                        </w:r>
                      </w:p>
                      <w:p>
                        <w:pPr>
                          <w:spacing w:after="0" w:line="240" w:lineRule="auto"/>
                          <w:jc w:val="left"/>
                          <w:rPr>
                            <w:rFonts w:hint="default" w:ascii="Times New Roman" w:hAnsi="Times New Roman"/>
                            <w:sz w:val="18"/>
                            <w:szCs w:val="20"/>
                          </w:rPr>
                        </w:pPr>
                      </w:p>
                      <w:p>
                        <w:pPr>
                          <w:spacing w:after="0" w:line="240" w:lineRule="auto"/>
                          <w:jc w:val="left"/>
                          <w:rPr>
                            <w:rFonts w:hint="default" w:ascii="Times New Roman" w:hAnsi="Times New Roman"/>
                            <w:sz w:val="20"/>
                            <w:szCs w:val="20"/>
                            <w:lang w:val="fr-FR"/>
                          </w:rPr>
                        </w:pPr>
                        <w:r>
                          <w:rPr>
                            <w:rFonts w:ascii="Times New Roman" w:hAnsi="Times New Roman"/>
                            <w:b/>
                            <w:sz w:val="18"/>
                            <w:szCs w:val="20"/>
                            <w:lang w:val="en-US"/>
                          </w:rPr>
                          <w:t>Keywords</w:t>
                        </w:r>
                        <w:r>
                          <w:rPr>
                            <w:rFonts w:ascii="Times New Roman" w:hAnsi="Times New Roman"/>
                            <w:sz w:val="18"/>
                            <w:szCs w:val="20"/>
                            <w:lang w:val="en-US"/>
                          </w:rPr>
                          <w:t>:</w:t>
                        </w:r>
                        <w:r>
                          <w:rPr>
                            <w:rFonts w:hint="default" w:ascii="Times New Roman" w:hAnsi="Times New Roman"/>
                            <w:sz w:val="18"/>
                            <w:szCs w:val="20"/>
                            <w:lang w:val="fr-FR"/>
                          </w:rPr>
                          <w:t xml:space="preserve"> </w:t>
                        </w:r>
                        <w:r>
                          <w:rPr>
                            <w:rFonts w:hint="default" w:ascii="Times New Roman" w:hAnsi="Times New Roman"/>
                            <w:sz w:val="18"/>
                            <w:szCs w:val="20"/>
                            <w:lang w:val="en-US"/>
                          </w:rPr>
                          <w:t>Management, Periodontal abscess, Diabetes, Hypertension</w:t>
                        </w:r>
                        <w:r>
                          <w:rPr>
                            <w:rFonts w:hint="default" w:ascii="Times New Roman" w:hAnsi="Times New Roman"/>
                            <w:sz w:val="18"/>
                            <w:szCs w:val="20"/>
                            <w:lang w:val="fr-FR"/>
                          </w:rPr>
                          <w:t>.</w:t>
                        </w:r>
                      </w:p>
                    </w:txbxContent>
                  </v:textbox>
                </v:shape>
              </w:pict>
            </w:r>
          </w:p>
        </w:tc>
        <w:tc>
          <w:tcPr>
            <w:tcW w:w="5208" w:type="dxa"/>
            <w:shd w:val="clear" w:color="auto" w:fill="D3DFEE"/>
          </w:tcPr>
          <w:p>
            <w:pPr>
              <w:spacing w:after="0" w:line="240" w:lineRule="auto"/>
              <w:ind w:left="34"/>
              <w:jc w:val="both"/>
              <w:rPr>
                <w:rFonts w:hint="default" w:ascii="Times New Roman" w:hAnsi="Times New Roman"/>
                <w:b/>
                <w:bCs/>
                <w:iCs/>
                <w:sz w:val="20"/>
                <w:szCs w:val="18"/>
                <w:lang w:val="fr-FR"/>
              </w:rPr>
            </w:pPr>
            <w:r>
              <w:rPr>
                <w:rFonts w:ascii="Times New Roman" w:hAnsi="Times New Roman"/>
                <w:b/>
                <w:bCs/>
                <w:iCs/>
                <w:sz w:val="20"/>
                <w:szCs w:val="18"/>
              </w:rPr>
              <w:t>RÉSUMÉ</w:t>
            </w:r>
          </w:p>
        </w:tc>
      </w:tr>
      <w:tr>
        <w:tblPrEx>
          <w:tblLayout w:type="fixed"/>
          <w:tblCellMar>
            <w:top w:w="0" w:type="dxa"/>
            <w:left w:w="108" w:type="dxa"/>
            <w:bottom w:w="0" w:type="dxa"/>
            <w:right w:w="108" w:type="dxa"/>
          </w:tblCellMar>
        </w:tblPrEx>
        <w:trPr>
          <w:trHeight w:val="2149" w:hRule="atLeast"/>
        </w:trPr>
        <w:tc>
          <w:tcPr>
            <w:tcW w:w="4965" w:type="dxa"/>
            <w:vMerge w:val="continue"/>
          </w:tcPr>
          <w:p>
            <w:pPr>
              <w:rPr>
                <w:b/>
                <w:bCs/>
                <w:color w:val="365F91"/>
                <w:sz w:val="20"/>
                <w:szCs w:val="18"/>
                <w:vertAlign w:val="superscript"/>
              </w:rPr>
            </w:pPr>
          </w:p>
        </w:tc>
        <w:tc>
          <w:tcPr>
            <w:tcW w:w="5208" w:type="dxa"/>
          </w:tcPr>
          <w:p>
            <w:pPr>
              <w:spacing w:after="0" w:line="240" w:lineRule="auto"/>
              <w:jc w:val="both"/>
              <w:rPr>
                <w:rFonts w:ascii="Times New Roman" w:hAnsi="Times New Roman"/>
                <w:sz w:val="20"/>
                <w:szCs w:val="18"/>
                <w:lang w:val="en-US" w:bidi="fr-FR"/>
              </w:rPr>
            </w:pPr>
            <w:r>
              <w:rPr>
                <w:rFonts w:hint="default" w:ascii="Times New Roman" w:hAnsi="Times New Roman"/>
                <w:sz w:val="18"/>
                <w:szCs w:val="16"/>
                <w:lang w:val="en-US" w:bidi="fr-FR"/>
              </w:rPr>
              <w:t>L’abcès parodontal représente l’une des urgences dentaires les plus courantes nécessitant une prise en charge immédiate. Il est responsable d’une destruction rapide du parodonte avec un impact sur le pronostic de la dent affectée et dans certaines circonstances de conséquences graves au niveau systémique. Nous rapportons la prise en charge d’un abcès parodontal chez un sujet diabétique et hypertendu reçu au service de stomatologie de l’Hôpital Général de Douala. Une amélioration de la pression artérielle a été notée 15 jours après traitement parodontal non chirurgical.</w:t>
            </w:r>
          </w:p>
        </w:tc>
      </w:tr>
      <w:tr>
        <w:tblPrEx>
          <w:tblLayout w:type="fixed"/>
          <w:tblCellMar>
            <w:top w:w="0" w:type="dxa"/>
            <w:left w:w="108" w:type="dxa"/>
            <w:bottom w:w="0" w:type="dxa"/>
            <w:right w:w="108" w:type="dxa"/>
          </w:tblCellMar>
        </w:tblPrEx>
        <w:trPr>
          <w:trHeight w:val="359" w:hRule="atLeast"/>
        </w:trPr>
        <w:tc>
          <w:tcPr>
            <w:tcW w:w="4965" w:type="dxa"/>
            <w:vMerge w:val="restart"/>
            <w:shd w:val="clear" w:color="auto" w:fill="D3DFEE"/>
          </w:tcPr>
          <w:p>
            <w:pPr>
              <w:rPr>
                <w:b/>
                <w:bCs/>
                <w:color w:val="365F91"/>
                <w:sz w:val="20"/>
                <w:szCs w:val="18"/>
                <w:vertAlign w:val="superscript"/>
                <w:lang w:val="en-US"/>
              </w:rPr>
            </w:pPr>
          </w:p>
        </w:tc>
        <w:tc>
          <w:tcPr>
            <w:tcW w:w="5208" w:type="dxa"/>
            <w:shd w:val="clear" w:color="auto" w:fill="D3DFEE"/>
          </w:tcPr>
          <w:p>
            <w:pPr>
              <w:spacing w:after="0" w:line="240" w:lineRule="auto"/>
              <w:ind w:left="34"/>
              <w:jc w:val="both"/>
              <w:rPr>
                <w:rFonts w:ascii="Times New Roman" w:hAnsi="Times New Roman"/>
                <w:b/>
                <w:bCs/>
                <w:iCs/>
                <w:sz w:val="20"/>
                <w:szCs w:val="18"/>
              </w:rPr>
            </w:pPr>
            <w:r>
              <w:rPr>
                <w:rFonts w:ascii="Times New Roman" w:hAnsi="Times New Roman"/>
                <w:b/>
                <w:bCs/>
                <w:iCs/>
                <w:sz w:val="20"/>
                <w:szCs w:val="18"/>
              </w:rPr>
              <w:t>ABSTRACT</w:t>
            </w:r>
          </w:p>
        </w:tc>
      </w:tr>
      <w:tr>
        <w:tblPrEx>
          <w:tblLayout w:type="fixed"/>
          <w:tblCellMar>
            <w:top w:w="0" w:type="dxa"/>
            <w:left w:w="108" w:type="dxa"/>
            <w:bottom w:w="0" w:type="dxa"/>
            <w:right w:w="108" w:type="dxa"/>
          </w:tblCellMar>
        </w:tblPrEx>
        <w:trPr>
          <w:trHeight w:val="4112" w:hRule="atLeast"/>
        </w:trPr>
        <w:tc>
          <w:tcPr>
            <w:tcW w:w="4965" w:type="dxa"/>
            <w:vMerge w:val="continue"/>
          </w:tcPr>
          <w:p>
            <w:pPr>
              <w:rPr>
                <w:b/>
                <w:bCs/>
                <w:color w:val="365F91"/>
                <w:sz w:val="20"/>
                <w:szCs w:val="18"/>
                <w:vertAlign w:val="superscript"/>
              </w:rPr>
            </w:pPr>
          </w:p>
        </w:tc>
        <w:tc>
          <w:tcPr>
            <w:tcW w:w="5208" w:type="dxa"/>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strike/>
                <w:sz w:val="18"/>
                <w:szCs w:val="16"/>
                <w:lang w:val="fr-FR"/>
              </w:rPr>
            </w:pPr>
            <w:r>
              <w:rPr>
                <w:rFonts w:hint="default" w:ascii="Times New Roman" w:hAnsi="Times New Roman"/>
                <w:strike w:val="0"/>
                <w:sz w:val="18"/>
                <w:szCs w:val="16"/>
                <w:lang w:val="fr-FR"/>
              </w:rPr>
              <w:t>Periodontal abscess is a common dental emergency requiring immediate treatment. It leads to a rapid destruction of the periodontium with an impact on the prognosis of the affected tooth and in certain circumstances with serious consequences at the systemic level. We report the management of a periodontal abscess in a diabetic and hypertensive patient received at the stomatology department of the Douala General Hospital. An improvement in blood pressure was observed 15 days after non-surgical periodontal treatment.</w:t>
            </w:r>
          </w:p>
        </w:tc>
      </w:tr>
    </w:tbl>
    <w:p>
      <w:pPr>
        <w:spacing w:before="120" w:after="40" w:line="240" w:lineRule="auto"/>
        <w:jc w:val="both"/>
        <w:rPr>
          <w:rFonts w:ascii="Times New Roman" w:hAnsi="Times New Roman"/>
          <w:b/>
          <w:sz w:val="20"/>
          <w:szCs w:val="20"/>
        </w:rPr>
      </w:pPr>
    </w:p>
    <w:p>
      <w:pPr>
        <w:spacing w:before="120" w:after="40" w:line="240" w:lineRule="auto"/>
        <w:jc w:val="both"/>
        <w:rPr>
          <w:rFonts w:ascii="Times New Roman" w:hAnsi="Times New Roman"/>
          <w:b/>
          <w:sz w:val="20"/>
          <w:szCs w:val="20"/>
        </w:rPr>
        <w:sectPr>
          <w:headerReference r:id="rId3" w:type="default"/>
          <w:footerReference r:id="rId4" w:type="default"/>
          <w:pgSz w:w="11850" w:h="16783"/>
          <w:pgMar w:top="1134" w:right="850" w:bottom="1417" w:left="1134" w:header="708" w:footer="708" w:gutter="0"/>
          <w:cols w:space="708" w:num="1"/>
          <w:docGrid w:linePitch="360" w:charSpace="0"/>
        </w:sectPr>
      </w:pPr>
    </w:p>
    <w:p>
      <w:pPr>
        <w:keepNext w:val="0"/>
        <w:keepLines w:val="0"/>
        <w:pageBreakBefore w:val="0"/>
        <w:widowControl/>
        <w:kinsoku/>
        <w:wordWrap/>
        <w:overflowPunct/>
        <w:topLinePunct w:val="0"/>
        <w:autoSpaceDE/>
        <w:autoSpaceDN/>
        <w:bidi w:val="0"/>
        <w:adjustRightInd/>
        <w:snapToGrid/>
        <w:spacing w:before="120" w:after="40" w:line="240" w:lineRule="auto"/>
        <w:jc w:val="both"/>
        <w:textAlignment w:val="auto"/>
        <w:rPr>
          <w:rFonts w:hint="default" w:ascii="Times New Roman" w:hAnsi="Times New Roman" w:cs="Times New Roman"/>
          <w:b/>
          <w:bCs/>
          <w:sz w:val="20"/>
          <w:szCs w:val="20"/>
          <w:lang w:val="fr-FR"/>
        </w:rPr>
      </w:pPr>
      <w:r>
        <w:rPr>
          <w:rFonts w:ascii="Times New Roman" w:hAnsi="Times New Roman"/>
          <w:b/>
          <w:sz w:val="20"/>
          <w:szCs w:val="20"/>
        </w:rPr>
        <w:t>INTRODUCTION</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lang w:val="fr-FR"/>
        </w:rPr>
      </w:pPr>
      <w:r>
        <w:rPr>
          <w:rFonts w:hint="default" w:ascii="Times New Roman" w:hAnsi="Times New Roman" w:cs="Times New Roman"/>
          <w:sz w:val="20"/>
          <w:szCs w:val="20"/>
          <w:lang w:val="fr-FR"/>
        </w:rPr>
        <w:t xml:space="preserve">L’abcès parodontal est défini comme une accumulation localisée de pus située dans la paroi gingivale d’une poche parodontale, associée à une destruction tissulaire, survenant pendant une période limitée et présentant des symptômes cliniques facilement détectables </w:t>
      </w:r>
      <w:r>
        <w:rPr>
          <w:rFonts w:hint="default" w:ascii="Times New Roman" w:hAnsi="Times New Roman" w:cs="Times New Roman"/>
          <w:sz w:val="20"/>
          <w:szCs w:val="20"/>
        </w:rPr>
        <w:t>[1]</w:t>
      </w:r>
      <w:r>
        <w:rPr>
          <w:rFonts w:hint="default" w:ascii="Times New Roman" w:hAnsi="Times New Roman" w:cs="Times New Roman"/>
          <w:sz w:val="20"/>
          <w:szCs w:val="20"/>
          <w:lang w:val="fr-FR"/>
        </w:rPr>
        <w:t xml:space="preserve">. Il est considéré comme la troisième urgence la plus fréquente parmi toutes les urgences dentaires après l’abcès péri apical et la péricoronarite </w:t>
      </w:r>
      <w:r>
        <w:rPr>
          <w:rFonts w:hint="default" w:ascii="Times New Roman" w:hAnsi="Times New Roman" w:cs="Times New Roman"/>
          <w:sz w:val="20"/>
          <w:szCs w:val="20"/>
        </w:rPr>
        <w:t>[</w:t>
      </w:r>
      <w:r>
        <w:rPr>
          <w:rFonts w:hint="default" w:ascii="Times New Roman" w:hAnsi="Times New Roman" w:cs="Times New Roman"/>
          <w:sz w:val="20"/>
          <w:szCs w:val="20"/>
          <w:lang w:val="fr-FR"/>
        </w:rPr>
        <w:t>2-6</w:t>
      </w:r>
      <w:r>
        <w:rPr>
          <w:rFonts w:hint="default" w:ascii="Times New Roman" w:hAnsi="Times New Roman" w:cs="Times New Roman"/>
          <w:sz w:val="20"/>
          <w:szCs w:val="20"/>
        </w:rPr>
        <w:t>]</w:t>
      </w:r>
      <w:r>
        <w:rPr>
          <w:rFonts w:hint="default" w:ascii="Times New Roman" w:hAnsi="Times New Roman" w:cs="Times New Roman"/>
          <w:sz w:val="20"/>
          <w:szCs w:val="20"/>
          <w:lang w:val="fr-FR"/>
        </w:rPr>
        <w: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lang w:val="fr-FR"/>
        </w:rPr>
      </w:pPr>
      <w:r>
        <w:rPr>
          <w:rFonts w:hint="default" w:ascii="Times New Roman" w:hAnsi="Times New Roman" w:cs="Times New Roman"/>
          <w:sz w:val="20"/>
          <w:szCs w:val="20"/>
          <w:lang w:val="fr-FR"/>
        </w:rPr>
        <w:t xml:space="preserve">Deux principales étiologies sont rapportées selon que le patient présente une parodontite ou non </w:t>
      </w:r>
      <w:r>
        <w:rPr>
          <w:rFonts w:hint="default" w:ascii="Times New Roman" w:hAnsi="Times New Roman" w:cs="Times New Roman"/>
          <w:sz w:val="20"/>
          <w:szCs w:val="20"/>
        </w:rPr>
        <w:t>[</w:t>
      </w:r>
      <w:r>
        <w:rPr>
          <w:rFonts w:hint="default" w:ascii="Times New Roman" w:hAnsi="Times New Roman" w:cs="Times New Roman"/>
          <w:sz w:val="20"/>
          <w:szCs w:val="20"/>
          <w:lang w:val="fr-FR"/>
        </w:rPr>
        <w:t>7</w:t>
      </w:r>
      <w:r>
        <w:rPr>
          <w:rFonts w:hint="default" w:ascii="Times New Roman" w:hAnsi="Times New Roman" w:cs="Times New Roman"/>
          <w:sz w:val="20"/>
          <w:szCs w:val="20"/>
        </w:rPr>
        <w:t>]</w:t>
      </w:r>
      <w:r>
        <w:rPr>
          <w:rFonts w:hint="default" w:ascii="Times New Roman" w:hAnsi="Times New Roman" w:cs="Times New Roman"/>
          <w:sz w:val="20"/>
          <w:szCs w:val="20"/>
          <w:lang w:val="fr-FR"/>
        </w:rPr>
        <w:t xml:space="preserve">. </w:t>
      </w:r>
      <w:bookmarkStart w:id="0" w:name="_Hlk63072196"/>
      <w:r>
        <w:rPr>
          <w:rFonts w:hint="default" w:ascii="Times New Roman" w:hAnsi="Times New Roman" w:cs="Times New Roman"/>
          <w:sz w:val="20"/>
          <w:szCs w:val="20"/>
          <w:lang w:val="fr-FR"/>
        </w:rPr>
        <w:t>En présence de parodontite, l’abcès parodontal peut se produire à la suite de l’exacerbation d’une parodontite non traitée, lors d’un traitement parodontal mal mené favorisant l’accumulation de tartre dans la poche, après un traitement parodontal chirurgical par réaction à un corps étranger ou après une antibiothérapie non associée à un traitement parodontal</w:t>
      </w:r>
      <w:bookmarkEnd w:id="0"/>
      <w:r>
        <w:rPr>
          <w:rFonts w:hint="default" w:ascii="Times New Roman" w:hAnsi="Times New Roman" w:cs="Times New Roman"/>
          <w:sz w:val="20"/>
          <w:szCs w:val="20"/>
          <w:lang w:val="fr-FR"/>
        </w:rPr>
        <w:t>. Dans le cas d’un abcès parodontal non associé à une parodontite les deux causes principales sont l’inclusion d’un corps étranger au sein du tissu gingival (élastique orthodontique, fil dentaire, cure-dent entre autres), et la présence d’anomalies radiculaires.</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lang w:val="fr-FR"/>
        </w:rPr>
      </w:pPr>
      <w:r>
        <w:rPr>
          <w:rFonts w:hint="default" w:ascii="Times New Roman" w:hAnsi="Times New Roman" w:cs="Times New Roman"/>
          <w:sz w:val="20"/>
          <w:szCs w:val="20"/>
          <w:lang w:val="fr-FR"/>
        </w:rPr>
        <w:t xml:space="preserve">Le diagnostic de l’abcès parodontal repose sur l’anamnèse, l’évaluation des symptômes décrits par le patient, suivi de l’examen physique et radiologique </w:t>
      </w:r>
      <w:r>
        <w:rPr>
          <w:rFonts w:hint="default" w:ascii="Times New Roman" w:hAnsi="Times New Roman" w:cs="Times New Roman"/>
          <w:sz w:val="20"/>
          <w:szCs w:val="20"/>
        </w:rPr>
        <w:t>[</w:t>
      </w:r>
      <w:r>
        <w:rPr>
          <w:rFonts w:hint="default" w:ascii="Times New Roman" w:hAnsi="Times New Roman" w:cs="Times New Roman"/>
          <w:sz w:val="20"/>
          <w:szCs w:val="20"/>
          <w:lang w:val="fr-FR"/>
        </w:rPr>
        <w:t>2-6</w:t>
      </w:r>
      <w:r>
        <w:rPr>
          <w:rFonts w:hint="default" w:ascii="Times New Roman" w:hAnsi="Times New Roman" w:cs="Times New Roman"/>
          <w:sz w:val="20"/>
          <w:szCs w:val="20"/>
        </w:rPr>
        <w:t>]</w:t>
      </w:r>
      <w:r>
        <w:rPr>
          <w:rFonts w:hint="default" w:ascii="Times New Roman" w:hAnsi="Times New Roman" w:cs="Times New Roman"/>
          <w:sz w:val="20"/>
          <w:szCs w:val="20"/>
          <w:lang w:val="fr-FR"/>
        </w:rPr>
        <w:t xml:space="preserve">. </w:t>
      </w:r>
      <w:bookmarkStart w:id="1" w:name="_Hlk63072815"/>
      <w:r>
        <w:rPr>
          <w:rFonts w:hint="default" w:ascii="Times New Roman" w:hAnsi="Times New Roman" w:cs="Times New Roman"/>
          <w:sz w:val="20"/>
          <w:szCs w:val="20"/>
          <w:lang w:val="fr-FR"/>
        </w:rPr>
        <w:t xml:space="preserve">Non traité, l’abcès parodontal peut être responsable de perte dentaire ainsi que de complications systémiques graves pouvant engager le pronostic vital </w:t>
      </w:r>
      <w:r>
        <w:rPr>
          <w:rFonts w:hint="default" w:ascii="Times New Roman" w:hAnsi="Times New Roman" w:cs="Times New Roman"/>
          <w:sz w:val="20"/>
          <w:szCs w:val="20"/>
        </w:rPr>
        <w:t>[</w:t>
      </w:r>
      <w:r>
        <w:rPr>
          <w:rFonts w:hint="default" w:ascii="Times New Roman" w:hAnsi="Times New Roman" w:cs="Times New Roman"/>
          <w:sz w:val="20"/>
          <w:szCs w:val="20"/>
          <w:lang w:val="fr-FR"/>
        </w:rPr>
        <w:t>2</w:t>
      </w:r>
      <w:r>
        <w:rPr>
          <w:rFonts w:hint="default" w:ascii="Times New Roman" w:hAnsi="Times New Roman" w:cs="Times New Roman"/>
          <w:sz w:val="20"/>
          <w:szCs w:val="20"/>
        </w:rPr>
        <w:t>]</w:t>
      </w:r>
      <w:r>
        <w:rPr>
          <w:rFonts w:hint="default" w:ascii="Times New Roman" w:hAnsi="Times New Roman" w:cs="Times New Roman"/>
          <w:sz w:val="20"/>
          <w:szCs w:val="20"/>
          <w:lang w:val="fr-FR"/>
        </w:rPr>
        <w:t>.</w:t>
      </w:r>
      <w:bookmarkEnd w:id="1"/>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lang w:val="fr-FR"/>
        </w:rPr>
      </w:pPr>
      <w:r>
        <w:rPr>
          <w:rFonts w:hint="default" w:ascii="Times New Roman" w:hAnsi="Times New Roman" w:cs="Times New Roman"/>
          <w:sz w:val="20"/>
          <w:szCs w:val="20"/>
          <w:lang w:val="fr-FR"/>
        </w:rPr>
        <w:t>Nous rapportons la prise en charge d’un abcès parodontal chez un sujet diabétique et hypertendu.</w:t>
      </w:r>
    </w:p>
    <w:p>
      <w:pPr>
        <w:keepNext w:val="0"/>
        <w:keepLines w:val="0"/>
        <w:pageBreakBefore w:val="0"/>
        <w:widowControl/>
        <w:kinsoku/>
        <w:wordWrap/>
        <w:overflowPunct/>
        <w:topLinePunct w:val="0"/>
        <w:autoSpaceDE/>
        <w:autoSpaceDN/>
        <w:bidi w:val="0"/>
        <w:adjustRightInd/>
        <w:snapToGrid/>
        <w:spacing w:before="120" w:after="40" w:line="240" w:lineRule="auto"/>
        <w:jc w:val="both"/>
        <w:textAlignment w:val="auto"/>
        <w:rPr>
          <w:rFonts w:hint="default" w:ascii="Times New Roman" w:hAnsi="Times New Roman" w:cs="Times New Roman"/>
          <w:b/>
          <w:bCs/>
          <w:sz w:val="20"/>
          <w:szCs w:val="20"/>
          <w:lang w:val="fr-FR"/>
        </w:rPr>
      </w:pPr>
      <w:r>
        <w:rPr>
          <w:rFonts w:hint="default" w:ascii="Times New Roman" w:hAnsi="Times New Roman" w:cs="Times New Roman"/>
          <w:b/>
          <w:bCs/>
          <w:sz w:val="20"/>
          <w:szCs w:val="20"/>
          <w:lang w:val="fr-FR"/>
        </w:rPr>
        <w:t>OBSERVATION</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lang w:val="fr-FR"/>
        </w:rPr>
      </w:pPr>
      <w:r>
        <w:rPr>
          <w:rFonts w:hint="default" w:ascii="Times New Roman" w:hAnsi="Times New Roman" w:cs="Times New Roman"/>
          <w:sz w:val="20"/>
          <w:szCs w:val="20"/>
          <w:lang w:val="fr-FR"/>
        </w:rPr>
        <w:t>Mr X de race noire, âgé de 71 ans, marié, a été reçu en consultation au service de stomatologie de l’hôpital Gé</w:t>
      </w:r>
      <w:r>
        <w:rPr>
          <w:rFonts w:hint="default" w:ascii="Times New Roman" w:hAnsi="Times New Roman" w:cs="Times New Roman"/>
          <w:sz w:val="20"/>
          <w:szCs w:val="20"/>
          <w:lang w:val="fr-FR"/>
        </w:rPr>
        <w:softHyphen/>
      </w:r>
      <w:r>
        <w:rPr>
          <w:rFonts w:hint="default" w:ascii="Times New Roman" w:hAnsi="Times New Roman" w:cs="Times New Roman"/>
          <w:sz w:val="20"/>
          <w:szCs w:val="20"/>
          <w:lang w:val="fr-FR"/>
        </w:rPr>
        <w:t>néral de Douala pour d’importantes douleurs gingivales, et une tuméfaction latérale en distal de la canine mandibulaire droite évoluant depuis 03 jours.</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lang w:val="fr-FR"/>
        </w:rPr>
      </w:pPr>
      <w:r>
        <w:rPr>
          <w:rFonts w:hint="default" w:ascii="Times New Roman" w:hAnsi="Times New Roman" w:cs="Times New Roman"/>
          <w:sz w:val="20"/>
          <w:szCs w:val="20"/>
          <w:lang w:val="fr-FR"/>
        </w:rPr>
        <w:t>A l’anamnèse le patient a déclaré être diabétique de type 2 depuis plus de 15 ans sous antidiabétiques oraux et insulinothérapie, et être hypertendu depuis plus de 10 ans sous antihypertenseurs. Sa dernière consultation dentaire remontait à 10 ans et il avait bénéficié d’un détartrage à cet effet. Le patient a déclaré se brosser les dents 1 fois par jour, le matin au réveil. Une consommation occasionnelle d’alcool a été rapportée.</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lang w:val="fr-FR"/>
        </w:rPr>
      </w:pPr>
      <w:r>
        <w:rPr>
          <w:rFonts w:hint="default" w:ascii="Times New Roman" w:hAnsi="Times New Roman" w:cs="Times New Roman"/>
          <w:sz w:val="20"/>
          <w:szCs w:val="20"/>
          <w:lang w:val="fr-FR"/>
        </w:rPr>
        <w:t>A l’examen physique, l’état général du patient était conservé, les conjonctives légèrement pâles, la température corporelle était de 38°C, il ne présentait ni ictère, ni œdèmes des mem</w:t>
      </w:r>
      <w:r>
        <w:rPr>
          <w:rFonts w:hint="default" w:ascii="Times New Roman" w:hAnsi="Times New Roman" w:cs="Times New Roman"/>
          <w:sz w:val="20"/>
          <w:szCs w:val="20"/>
          <w:lang w:val="fr-FR"/>
        </w:rPr>
        <w:softHyphen/>
      </w:r>
      <w:r>
        <w:rPr>
          <w:rFonts w:hint="default" w:ascii="Times New Roman" w:hAnsi="Times New Roman" w:cs="Times New Roman"/>
          <w:sz w:val="20"/>
          <w:szCs w:val="20"/>
          <w:lang w:val="fr-FR"/>
        </w:rPr>
        <w:t>bres inférieurs. Sa pression artérielle (PA) brachiale était de 140/88 mmHg. L’examen exobuccal a mis en évidence la présence de ganglions sous mandibulaires droits douloureux à la palpation. L’examen clinique endobuccal a révélé la présence d’une tuméfaction parodontale purulente latérale molle, en distal de la canine mandibulaire droite (43) vestibulo-versée (Figure 1).</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lang w:val="fr-FR"/>
        </w:rPr>
      </w:pPr>
      <w:r>
        <w:rPr>
          <w:sz w:val="20"/>
        </w:rPr>
        <w:pict>
          <v:shape id="_x0000_s1030" o:spid="_x0000_s1030" o:spt="202" type="#_x0000_t202" style="height:212.95pt;width:239.5pt;" fillcolor="#FFFFFF" filled="t" stroked="f" coordsize="21600,21600">
            <v:path/>
            <v:fill on="t" color2="#FFFFFF" focussize="0,0"/>
            <v:stroke on="f"/>
            <v:imagedata o:title=""/>
            <o:lock v:ext="edit" aspectratio="f"/>
            <v:textbox>
              <w:txbxContent>
                <w:p>
                  <w:pPr>
                    <w:jc w:val="center"/>
                    <w:rPr>
                      <w:rFonts w:hint="default" w:ascii="Times New Roman" w:hAnsi="Times New Roman" w:cs="Times New Roman"/>
                      <w:b/>
                      <w:bCs/>
                      <w:sz w:val="20"/>
                      <w:szCs w:val="20"/>
                      <w:lang w:val="fr-FR" w:eastAsia="fr-FR"/>
                    </w:rPr>
                  </w:pPr>
                  <w:r>
                    <w:rPr>
                      <w:rFonts w:hint="default" w:ascii="Times New Roman" w:hAnsi="Times New Roman" w:cs="Times New Roman"/>
                      <w:b/>
                      <w:bCs/>
                      <w:sz w:val="20"/>
                      <w:szCs w:val="20"/>
                      <w:lang w:val="fr-FR" w:eastAsia="fr-FR"/>
                    </w:rPr>
                    <w:drawing>
                      <wp:inline distT="0" distB="0" distL="0" distR="0">
                        <wp:extent cx="2002155" cy="2181860"/>
                        <wp:effectExtent l="0" t="0" r="17145" b="889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a:picLocks noChangeAspect="1"/>
                                </pic:cNvPicPr>
                              </pic:nvPicPr>
                              <pic:blipFill>
                                <a:blip r:embed="rId7" cstate="print">
                                  <a:extLst>
                                    <a:ext uri="{28A0092B-C50C-407E-A947-70E740481C1C}">
                                      <a14:useLocalDpi xmlns:a14="http://schemas.microsoft.com/office/drawing/2010/main" val="0"/>
                                    </a:ext>
                                  </a:extLst>
                                </a:blip>
                                <a:srcRect r="31049" b="-831"/>
                                <a:stretch>
                                  <a:fillRect/>
                                </a:stretch>
                              </pic:blipFill>
                              <pic:spPr>
                                <a:xfrm>
                                  <a:off x="0" y="0"/>
                                  <a:ext cx="2002155" cy="2181860"/>
                                </a:xfrm>
                                <a:prstGeom prst="rect">
                                  <a:avLst/>
                                </a:prstGeom>
                                <a:ln>
                                  <a:noFill/>
                                </a:ln>
                              </pic:spPr>
                            </pic:pic>
                          </a:graphicData>
                        </a:graphic>
                      </wp:inline>
                    </w:drawing>
                  </w:r>
                </w:p>
                <w:p>
                  <w:pPr>
                    <w:jc w:val="center"/>
                    <w:rPr>
                      <w:rFonts w:hint="default" w:ascii="Times New Roman" w:hAnsi="Times New Roman" w:cs="Times New Roman"/>
                      <w:b w:val="0"/>
                      <w:bCs w:val="0"/>
                      <w:sz w:val="18"/>
                      <w:szCs w:val="18"/>
                      <w:u w:val="none"/>
                      <w:lang w:val="en-US" w:eastAsia="fr-FR"/>
                    </w:rPr>
                  </w:pPr>
                  <w:r>
                    <w:rPr>
                      <w:rFonts w:hint="default" w:ascii="Times New Roman" w:hAnsi="Times New Roman" w:cs="Times New Roman"/>
                      <w:b/>
                      <w:bCs/>
                      <w:sz w:val="18"/>
                      <w:szCs w:val="18"/>
                      <w:u w:val="single"/>
                      <w:lang w:val="en-US" w:eastAsia="fr-FR"/>
                    </w:rPr>
                    <w:t>Figure 1:</w:t>
                  </w:r>
                  <w:r>
                    <w:rPr>
                      <w:rFonts w:hint="default" w:ascii="Times New Roman" w:hAnsi="Times New Roman" w:cs="Times New Roman"/>
                      <w:b w:val="0"/>
                      <w:bCs w:val="0"/>
                      <w:sz w:val="18"/>
                      <w:szCs w:val="18"/>
                      <w:u w:val="none"/>
                      <w:lang w:val="en-US" w:eastAsia="fr-FR"/>
                    </w:rPr>
                    <w:t xml:space="preserve"> Abcès parodontal</w:t>
                  </w:r>
                </w:p>
              </w:txbxContent>
            </v:textbox>
            <w10:wrap type="none"/>
            <w10:anchorlock/>
          </v:shape>
        </w:pic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lang w:val="fr-FR"/>
        </w:rPr>
      </w:pPr>
      <w:r>
        <w:rPr>
          <w:rFonts w:hint="default" w:ascii="Times New Roman" w:hAnsi="Times New Roman" w:cs="Times New Roman"/>
          <w:sz w:val="20"/>
          <w:szCs w:val="20"/>
          <w:lang w:val="fr-FR"/>
        </w:rPr>
        <w:t xml:space="preserve">La muqueuse gingivale pâle, présentait des accroissements gingivaux généralisés et des récessions au niveau de certaines dents. L’indice d’hygiène orale simplifié de Green et Vermillon était d’environ 3,1 </w:t>
      </w:r>
      <w:r>
        <w:rPr>
          <w:rFonts w:hint="default" w:ascii="Times New Roman" w:hAnsi="Times New Roman" w:cs="Times New Roman"/>
          <w:sz w:val="20"/>
          <w:szCs w:val="20"/>
        </w:rPr>
        <w:t>[</w:t>
      </w:r>
      <w:r>
        <w:rPr>
          <w:rFonts w:hint="default" w:ascii="Times New Roman" w:hAnsi="Times New Roman" w:cs="Times New Roman"/>
          <w:sz w:val="20"/>
          <w:szCs w:val="20"/>
          <w:lang w:val="fr-FR"/>
        </w:rPr>
        <w:t>8</w:t>
      </w:r>
      <w:r>
        <w:rPr>
          <w:rFonts w:hint="default" w:ascii="Times New Roman" w:hAnsi="Times New Roman" w:cs="Times New Roman"/>
          <w:sz w:val="20"/>
          <w:szCs w:val="20"/>
        </w:rPr>
        <w:t>]</w:t>
      </w:r>
      <w:r>
        <w:rPr>
          <w:rFonts w:hint="default" w:ascii="Times New Roman" w:hAnsi="Times New Roman" w:cs="Times New Roman"/>
          <w:sz w:val="20"/>
          <w:szCs w:val="20"/>
          <w:lang w:val="fr-FR"/>
        </w:rPr>
        <w:t xml:space="preserve">. Un sondage parodontal avec une sonde parodontale Williams graduée de la dent 43 a fait soudre du pus et révélé des poches parodontales profondes autour de la dent (12mm en distal). Le reste du sondage a été réalisé sur les sites proximaux (04 sites) des autres dents et les scores DPSI le plus élevés ont été retenus et enregistrés par sextant permettant d’évaluer l’état parodontal global et les besoins en soins parodontaux du patient </w:t>
      </w:r>
      <w:r>
        <w:rPr>
          <w:rFonts w:hint="default" w:ascii="Times New Roman" w:hAnsi="Times New Roman" w:cs="Times New Roman"/>
          <w:sz w:val="20"/>
          <w:szCs w:val="20"/>
        </w:rPr>
        <w:t>[</w:t>
      </w:r>
      <w:r>
        <w:rPr>
          <w:rFonts w:hint="default" w:ascii="Times New Roman" w:hAnsi="Times New Roman" w:cs="Times New Roman"/>
          <w:sz w:val="20"/>
          <w:szCs w:val="20"/>
          <w:lang w:val="fr-FR"/>
        </w:rPr>
        <w:t>9</w:t>
      </w:r>
      <w:r>
        <w:rPr>
          <w:rFonts w:hint="default" w:ascii="Times New Roman" w:hAnsi="Times New Roman" w:cs="Times New Roman"/>
          <w:sz w:val="20"/>
          <w:szCs w:val="20"/>
        </w:rPr>
        <w:t>]</w:t>
      </w:r>
      <w:r>
        <w:rPr>
          <w:rFonts w:hint="default" w:ascii="Times New Roman" w:hAnsi="Times New Roman" w:cs="Times New Roman"/>
          <w:sz w:val="20"/>
          <w:szCs w:val="20"/>
          <w:lang w:val="fr-FR"/>
        </w:rPr>
        <w:t xml:space="preserve">. Les scores DPSI de 5 ont été enregistrés au niveau des sextants postérieurs maxillaires et mandibulaires et sur le sextant antérieur mandibulaire correspondant à la présence de poche de plus de 6 mm sur un des sites examinés. A l’examen dentaire, on a noté l’absence de la canine supérieure droite, une mobilité degré 2 de Mühlemann de la 43 </w:t>
      </w:r>
      <w:r>
        <w:rPr>
          <w:rFonts w:hint="default" w:ascii="Times New Roman" w:hAnsi="Times New Roman" w:cs="Times New Roman"/>
          <w:sz w:val="20"/>
          <w:szCs w:val="20"/>
        </w:rPr>
        <w:t>[1</w:t>
      </w:r>
      <w:r>
        <w:rPr>
          <w:rFonts w:hint="default" w:ascii="Times New Roman" w:hAnsi="Times New Roman" w:cs="Times New Roman"/>
          <w:sz w:val="20"/>
          <w:szCs w:val="20"/>
          <w:lang w:val="fr-FR"/>
        </w:rPr>
        <w:t>0</w:t>
      </w:r>
      <w:r>
        <w:rPr>
          <w:rFonts w:hint="default" w:ascii="Times New Roman" w:hAnsi="Times New Roman" w:cs="Times New Roman"/>
          <w:sz w:val="20"/>
          <w:szCs w:val="20"/>
        </w:rPr>
        <w:t>]</w:t>
      </w:r>
      <w:r>
        <w:rPr>
          <w:rFonts w:hint="default" w:ascii="Times New Roman" w:hAnsi="Times New Roman" w:cs="Times New Roman"/>
          <w:sz w:val="20"/>
          <w:szCs w:val="20"/>
          <w:lang w:val="fr-FR"/>
        </w:rPr>
        <w:t>. Le test de vitalité au froid de la 43 s’est révélé positif. Des radiographies rétro-alvéolaire et panoramique ont été réalisés. Le cliché rétro-alvéolaire au niveau du site atteint a révélé la présence d’une lyse osseuse verticale de 50 % en distal de la 43 (Figure 2).</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lang w:val="fr-FR"/>
        </w:rPr>
      </w:pPr>
      <w:r>
        <w:rPr>
          <w:sz w:val="20"/>
        </w:rPr>
        <w:pict>
          <v:shape id="_x0000_s1031" o:spid="_x0000_s1031" o:spt="202" type="#_x0000_t202" style="height:214.1pt;width:243.5pt;" fillcolor="#FFFFFF" filled="t" stroked="f" coordsize="21600,21600">
            <v:path/>
            <v:fill on="t" color2="#FFFFFF" focussize="0,0"/>
            <v:stroke on="f"/>
            <v:imagedata o:title=""/>
            <o:lock v:ext="edit" aspectratio="f"/>
            <v:textbox>
              <w:txbxContent>
                <w:p>
                  <w:pPr>
                    <w:jc w:val="center"/>
                    <w:rPr>
                      <w:rFonts w:hint="default" w:ascii="Times New Roman" w:hAnsi="Times New Roman" w:cs="Times New Roman"/>
                      <w:b/>
                      <w:bCs/>
                      <w:sz w:val="20"/>
                      <w:szCs w:val="20"/>
                      <w:lang w:val="fr-FR" w:eastAsia="fr-FR"/>
                    </w:rPr>
                  </w:pPr>
                  <w:r>
                    <w:rPr>
                      <w:rFonts w:hint="default" w:ascii="Times New Roman" w:hAnsi="Times New Roman" w:cs="Times New Roman"/>
                      <w:b/>
                      <w:bCs/>
                      <w:sz w:val="20"/>
                      <w:szCs w:val="20"/>
                      <w:lang w:val="fr-FR" w:eastAsia="fr-FR"/>
                    </w:rPr>
                    <w:drawing>
                      <wp:inline distT="0" distB="0" distL="0" distR="0">
                        <wp:extent cx="1878965" cy="2265680"/>
                        <wp:effectExtent l="0" t="0" r="6985" b="127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flipH="1" flipV="1">
                                  <a:off x="0" y="0"/>
                                  <a:ext cx="1906428" cy="2298580"/>
                                </a:xfrm>
                                <a:prstGeom prst="rect">
                                  <a:avLst/>
                                </a:prstGeom>
                              </pic:spPr>
                            </pic:pic>
                          </a:graphicData>
                        </a:graphic>
                      </wp:inline>
                    </w:drawing>
                  </w:r>
                </w:p>
                <w:p>
                  <w:pPr>
                    <w:jc w:val="center"/>
                    <w:rPr>
                      <w:rFonts w:hint="default" w:ascii="Times New Roman" w:hAnsi="Times New Roman" w:cs="Times New Roman"/>
                      <w:b w:val="0"/>
                      <w:bCs w:val="0"/>
                      <w:sz w:val="20"/>
                      <w:szCs w:val="20"/>
                      <w:u w:val="none"/>
                      <w:lang w:val="en-US" w:eastAsia="fr-FR"/>
                    </w:rPr>
                  </w:pPr>
                  <w:r>
                    <w:rPr>
                      <w:rFonts w:hint="default" w:ascii="Times New Roman" w:hAnsi="Times New Roman" w:cs="Times New Roman"/>
                      <w:b/>
                      <w:bCs/>
                      <w:sz w:val="18"/>
                      <w:szCs w:val="18"/>
                      <w:u w:val="single"/>
                      <w:lang w:val="en-US" w:eastAsia="fr-FR"/>
                    </w:rPr>
                    <w:t>Figure 2:</w:t>
                  </w:r>
                  <w:r>
                    <w:rPr>
                      <w:rFonts w:hint="default" w:ascii="Times New Roman" w:hAnsi="Times New Roman" w:cs="Times New Roman"/>
                      <w:b w:val="0"/>
                      <w:bCs w:val="0"/>
                      <w:sz w:val="18"/>
                      <w:szCs w:val="18"/>
                      <w:u w:val="none"/>
                      <w:lang w:val="en-US" w:eastAsia="fr-FR"/>
                    </w:rPr>
                    <w:t xml:space="preserve"> Lyse osseuse au cliché de radiographie rétro-alvéolaire</w:t>
                  </w:r>
                </w:p>
              </w:txbxContent>
            </v:textbox>
            <w10:wrap type="none"/>
            <w10:anchorlock/>
          </v:shape>
        </w:pic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lang w:val="fr-FR"/>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lang w:val="fr-FR"/>
        </w:rPr>
      </w:pPr>
      <w:r>
        <w:rPr>
          <w:rFonts w:hint="default" w:ascii="Times New Roman" w:hAnsi="Times New Roman" w:cs="Times New Roman"/>
          <w:sz w:val="20"/>
          <w:szCs w:val="20"/>
          <w:lang w:val="fr-FR"/>
        </w:rPr>
        <w:t>La panoramique dentaire a montré la présence de lyses osseuses interproximales (figure 3).</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lang w:val="fr-FR"/>
        </w:rPr>
      </w:pPr>
      <w:bookmarkStart w:id="6" w:name="_GoBack"/>
      <w:bookmarkEnd w:id="6"/>
      <w:r>
        <w:rPr>
          <w:sz w:val="20"/>
        </w:rPr>
        <w:pict>
          <v:shape id="_x0000_s1032" o:spid="_x0000_s1032" o:spt="202" type="#_x0000_t202" style="height:135.55pt;width:242.4pt;" fillcolor="#FFFFFF" filled="t" stroked="f" coordsize="21600,21600">
            <v:path/>
            <v:fill on="t" color2="#FFFFFF" focussize="0,0"/>
            <v:stroke on="f"/>
            <v:imagedata o:title=""/>
            <o:lock v:ext="edit" aspectratio="f"/>
            <v:textbox>
              <w:txbxContent>
                <w:p>
                  <w:pPr>
                    <w:rPr>
                      <w:rFonts w:hint="default" w:ascii="Times New Roman" w:hAnsi="Times New Roman" w:cs="Times New Roman"/>
                      <w:sz w:val="20"/>
                      <w:szCs w:val="20"/>
                      <w:lang w:val="fr-FR" w:eastAsia="fr-FR"/>
                    </w:rPr>
                  </w:pPr>
                  <w:r>
                    <w:rPr>
                      <w:rFonts w:hint="default" w:ascii="Times New Roman" w:hAnsi="Times New Roman" w:cs="Times New Roman"/>
                      <w:sz w:val="20"/>
                      <w:szCs w:val="20"/>
                      <w:lang w:val="fr-FR" w:eastAsia="fr-FR"/>
                    </w:rPr>
                    <w:drawing>
                      <wp:inline distT="0" distB="0" distL="0" distR="0">
                        <wp:extent cx="2969260" cy="1233170"/>
                        <wp:effectExtent l="0" t="0" r="2540" b="508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69260" cy="1233170"/>
                                </a:xfrm>
                                <a:prstGeom prst="rect">
                                  <a:avLst/>
                                </a:prstGeom>
                              </pic:spPr>
                            </pic:pic>
                          </a:graphicData>
                        </a:graphic>
                      </wp:inline>
                    </w:drawing>
                  </w:r>
                </w:p>
                <w:p>
                  <w:pPr>
                    <w:jc w:val="center"/>
                    <w:rPr>
                      <w:rFonts w:hint="default" w:ascii="Times New Roman" w:hAnsi="Times New Roman" w:cs="Times New Roman"/>
                      <w:b w:val="0"/>
                      <w:bCs w:val="0"/>
                      <w:sz w:val="20"/>
                      <w:szCs w:val="20"/>
                      <w:u w:val="none"/>
                      <w:lang w:val="en-US" w:eastAsia="fr-FR"/>
                    </w:rPr>
                  </w:pPr>
                  <w:r>
                    <w:rPr>
                      <w:rFonts w:hint="default" w:ascii="Times New Roman" w:hAnsi="Times New Roman" w:cs="Times New Roman"/>
                      <w:b/>
                      <w:bCs/>
                      <w:sz w:val="18"/>
                      <w:szCs w:val="18"/>
                      <w:u w:val="single"/>
                      <w:lang w:val="en-US" w:eastAsia="fr-FR"/>
                    </w:rPr>
                    <w:t>Figure 3:</w:t>
                  </w:r>
                  <w:r>
                    <w:rPr>
                      <w:rFonts w:hint="default" w:ascii="Times New Roman" w:hAnsi="Times New Roman" w:cs="Times New Roman"/>
                      <w:b w:val="0"/>
                      <w:bCs w:val="0"/>
                      <w:sz w:val="18"/>
                      <w:szCs w:val="18"/>
                      <w:u w:val="none"/>
                      <w:lang w:val="en-US" w:eastAsia="fr-FR"/>
                    </w:rPr>
                    <w:t xml:space="preserve"> Lyses osseuses interproximales à la panoramique dentaire</w:t>
                  </w:r>
                </w:p>
                <w:p>
                  <w:pPr>
                    <w:rPr>
                      <w:rFonts w:hint="default" w:ascii="Times New Roman" w:hAnsi="Times New Roman" w:cs="Times New Roman"/>
                      <w:sz w:val="20"/>
                      <w:szCs w:val="20"/>
                      <w:lang w:val="fr-FR" w:eastAsia="fr-FR"/>
                    </w:rPr>
                  </w:pPr>
                </w:p>
              </w:txbxContent>
            </v:textbox>
            <w10:wrap type="none"/>
            <w10:anchorlock/>
          </v:shape>
        </w:pic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lang w:val="fr-FR"/>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lang w:val="fr-FR"/>
        </w:rPr>
      </w:pPr>
      <w:r>
        <w:rPr>
          <w:rFonts w:hint="default" w:ascii="Times New Roman" w:hAnsi="Times New Roman" w:cs="Times New Roman"/>
          <w:sz w:val="20"/>
          <w:szCs w:val="20"/>
          <w:lang w:val="fr-FR"/>
        </w:rPr>
        <w:t>Sur la base de l'examen clinique et radiologique, nous avons posé un diagnostic de certitude d’abcès parodontal associé à une parodontite. Un bilan biologique comprenant l’hémogramme, le dosage de la protéine C réactive (CRP) et l’hémoglobine glyquée (HbA1c) a été prescrit au patient. Les résultats de l’hémogramme ont révélé une anémie hypochrome microcytaire (Hémoglobine à11,10 g/dl, un Volume Globulaire Moyen à 71,5 fl, Teneur Corpusculaire Moyenne en Hémoglobine de 23,8 pg). La CRP était de 2,83 mg/L,</w:t>
      </w:r>
      <w:bookmarkStart w:id="2" w:name="_Hlk63083213"/>
      <w:r>
        <w:rPr>
          <w:rFonts w:hint="default" w:ascii="Times New Roman" w:hAnsi="Times New Roman" w:cs="Times New Roman"/>
          <w:sz w:val="20"/>
          <w:szCs w:val="20"/>
          <w:lang w:val="fr-FR"/>
        </w:rPr>
        <w:t xml:space="preserve"> et le taux d’HbA1c à 6,6 %.</w:t>
      </w:r>
      <w:bookmarkEnd w:id="2"/>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lang w:val="fr-FR"/>
        </w:rPr>
      </w:pPr>
      <w:r>
        <w:rPr>
          <w:rFonts w:hint="default" w:ascii="Times New Roman" w:hAnsi="Times New Roman" w:cs="Times New Roman"/>
          <w:sz w:val="20"/>
          <w:szCs w:val="20"/>
          <w:lang w:val="fr-FR"/>
        </w:rPr>
        <w:t>Le traitement d’urgence a consisté en une irrigation supra-gingivale avec de l’eau oxygénée et une légère pression digitale de l’abcès; une prescription d’antibiothérapie, Amoxicilline 2 g/jour pendant 10 jours et Métronidazole 1,5 g/jour pendant 10 jours, d’antalgique, paracétamol 2 g/jour pendant 03 jours, et d’un bain de bouche à base de chlorhexidine à 0,2 %. Le lendemain, un détartrage supra-gingival en bouche complète, et un débridement sous gingival de la lésion sous irrigation avec de la povidone iodée ont été réalisés. Le reste du traitement parodontal à savoir un débridement sous gingival et un surfaçage parodontal des sextants présentant des poches parodontales a été planifié et débuté 72 heures après le traitement parodontal initial.</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lang w:val="fr-FR"/>
        </w:rPr>
      </w:pPr>
      <w:r>
        <w:rPr>
          <w:rFonts w:hint="default" w:ascii="Times New Roman" w:hAnsi="Times New Roman" w:cs="Times New Roman"/>
          <w:sz w:val="20"/>
          <w:szCs w:val="20"/>
          <w:lang w:val="fr-FR"/>
        </w:rPr>
        <w:t>Le dosage de la ferritine a été prescrit au patient.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bCs/>
          <w:sz w:val="20"/>
          <w:szCs w:val="20"/>
          <w:lang w:val="fr-FR"/>
        </w:rPr>
      </w:pPr>
      <w:r>
        <w:rPr>
          <w:rFonts w:hint="default" w:ascii="Times New Roman" w:hAnsi="Times New Roman" w:cs="Times New Roman"/>
          <w:sz w:val="20"/>
          <w:szCs w:val="20"/>
          <w:lang w:val="fr-FR"/>
        </w:rPr>
        <w:t>Le contrôle à 15 jours de la pression artérielle a montré une amélioration des chiffres tensionnels soit une PA de 138/87mmHg.</w:t>
      </w:r>
    </w:p>
    <w:p>
      <w:pPr>
        <w:keepNext w:val="0"/>
        <w:keepLines w:val="0"/>
        <w:pageBreakBefore w:val="0"/>
        <w:widowControl/>
        <w:kinsoku/>
        <w:wordWrap/>
        <w:overflowPunct/>
        <w:topLinePunct w:val="0"/>
        <w:autoSpaceDE/>
        <w:autoSpaceDN/>
        <w:bidi w:val="0"/>
        <w:adjustRightInd/>
        <w:snapToGrid/>
        <w:spacing w:before="120" w:after="40" w:line="240" w:lineRule="auto"/>
        <w:jc w:val="both"/>
        <w:textAlignment w:val="auto"/>
        <w:rPr>
          <w:rFonts w:hint="default" w:ascii="Times New Roman" w:hAnsi="Times New Roman" w:cs="Times New Roman"/>
          <w:b/>
          <w:bCs/>
          <w:sz w:val="20"/>
          <w:szCs w:val="20"/>
          <w:lang w:val="fr-FR"/>
        </w:rPr>
      </w:pPr>
      <w:r>
        <w:rPr>
          <w:rFonts w:hint="default" w:ascii="Times New Roman" w:hAnsi="Times New Roman" w:cs="Times New Roman"/>
          <w:b/>
          <w:bCs/>
          <w:sz w:val="20"/>
          <w:szCs w:val="20"/>
          <w:lang w:val="fr-FR"/>
        </w:rPr>
        <w:t>DISCUSSION</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lang w:val="fr-FR"/>
        </w:rPr>
      </w:pPr>
      <w:r>
        <w:rPr>
          <w:rFonts w:hint="default" w:ascii="Times New Roman" w:hAnsi="Times New Roman" w:cs="Times New Roman"/>
          <w:sz w:val="20"/>
          <w:szCs w:val="20"/>
          <w:lang w:val="fr-FR"/>
        </w:rPr>
        <w:t xml:space="preserve">Les travaux antérieurs au Cameroun ont rapporté une mauvaise santé parodontale chez le sujet diabétique </w:t>
      </w:r>
      <w:r>
        <w:rPr>
          <w:rFonts w:hint="default" w:ascii="Times New Roman" w:hAnsi="Times New Roman" w:cs="Times New Roman"/>
          <w:sz w:val="20"/>
          <w:szCs w:val="20"/>
        </w:rPr>
        <w:t>[1</w:t>
      </w:r>
      <w:r>
        <w:rPr>
          <w:rFonts w:hint="default" w:ascii="Times New Roman" w:hAnsi="Times New Roman" w:cs="Times New Roman"/>
          <w:sz w:val="20"/>
          <w:szCs w:val="20"/>
          <w:lang w:val="fr-FR"/>
        </w:rPr>
        <w:t>0, 11</w:t>
      </w:r>
      <w:r>
        <w:rPr>
          <w:rFonts w:hint="default" w:ascii="Times New Roman" w:hAnsi="Times New Roman" w:cs="Times New Roman"/>
          <w:sz w:val="20"/>
          <w:szCs w:val="20"/>
        </w:rPr>
        <w:t>]</w:t>
      </w:r>
      <w:r>
        <w:rPr>
          <w:rFonts w:hint="default" w:ascii="Times New Roman" w:hAnsi="Times New Roman" w:cs="Times New Roman"/>
          <w:sz w:val="20"/>
          <w:szCs w:val="20"/>
          <w:lang w:val="fr-FR"/>
        </w:rPr>
        <w:t xml:space="preserve">. Dans le cas d’un diabète déséquilibré il s’agit le plus souvent d’abcès parodontaux multiples, dans notre cas le patient était contrôlé et a présenté un abcès parodontal unique </w:t>
      </w:r>
      <w:r>
        <w:rPr>
          <w:rFonts w:hint="default" w:ascii="Times New Roman" w:hAnsi="Times New Roman" w:cs="Times New Roman"/>
          <w:sz w:val="20"/>
          <w:szCs w:val="20"/>
        </w:rPr>
        <w:t>[</w:t>
      </w:r>
      <w:r>
        <w:rPr>
          <w:rFonts w:hint="default" w:ascii="Times New Roman" w:hAnsi="Times New Roman" w:cs="Times New Roman"/>
          <w:sz w:val="20"/>
          <w:szCs w:val="20"/>
          <w:lang w:val="fr-FR"/>
        </w:rPr>
        <w:t>2, 3</w:t>
      </w:r>
      <w:r>
        <w:rPr>
          <w:rFonts w:hint="default" w:ascii="Times New Roman" w:hAnsi="Times New Roman" w:cs="Times New Roman"/>
          <w:sz w:val="20"/>
          <w:szCs w:val="20"/>
        </w:rPr>
        <w:t>]</w:t>
      </w:r>
      <w:r>
        <w:rPr>
          <w:rFonts w:hint="default" w:ascii="Times New Roman" w:hAnsi="Times New Roman" w:cs="Times New Roman"/>
          <w:sz w:val="20"/>
          <w:szCs w:val="20"/>
          <w:lang w:val="fr-FR"/>
        </w:rPr>
        <w:t>.</w:t>
      </w:r>
      <w:bookmarkStart w:id="3" w:name="_Hlk63143799"/>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lang w:val="fr-FR"/>
        </w:rPr>
      </w:pPr>
      <w:r>
        <w:rPr>
          <w:rFonts w:hint="default" w:ascii="Times New Roman" w:hAnsi="Times New Roman" w:cs="Times New Roman"/>
          <w:sz w:val="20"/>
          <w:szCs w:val="20"/>
          <w:lang w:val="fr-FR"/>
        </w:rPr>
        <w:t xml:space="preserve">Le diagnostic de l’abcès parodontal repose sur l’anamnèse, l’évaluation des symptômes décrits par le patient, suivi de l’examen physique et radiologique </w:t>
      </w:r>
      <w:r>
        <w:rPr>
          <w:rFonts w:hint="default" w:ascii="Times New Roman" w:hAnsi="Times New Roman" w:cs="Times New Roman"/>
          <w:sz w:val="20"/>
          <w:szCs w:val="20"/>
        </w:rPr>
        <w:t>[1</w:t>
      </w:r>
      <w:r>
        <w:rPr>
          <w:rFonts w:hint="default" w:ascii="Times New Roman" w:hAnsi="Times New Roman" w:cs="Times New Roman"/>
          <w:sz w:val="20"/>
          <w:szCs w:val="20"/>
          <w:lang w:val="fr-FR"/>
        </w:rPr>
        <w:t xml:space="preserve"> - 6</w:t>
      </w:r>
      <w:r>
        <w:rPr>
          <w:rFonts w:hint="default" w:ascii="Times New Roman" w:hAnsi="Times New Roman" w:cs="Times New Roman"/>
          <w:sz w:val="20"/>
          <w:szCs w:val="20"/>
        </w:rPr>
        <w:t>]</w:t>
      </w:r>
      <w:r>
        <w:rPr>
          <w:rFonts w:hint="default" w:ascii="Times New Roman" w:hAnsi="Times New Roman" w:cs="Times New Roman"/>
          <w:sz w:val="20"/>
          <w:szCs w:val="20"/>
          <w:lang w:val="fr-FR"/>
        </w:rPr>
        <w:t>.</w:t>
      </w:r>
      <w:bookmarkEnd w:id="3"/>
      <w:r>
        <w:rPr>
          <w:rFonts w:hint="default" w:ascii="Times New Roman" w:hAnsi="Times New Roman" w:cs="Times New Roman"/>
          <w:sz w:val="20"/>
          <w:szCs w:val="20"/>
          <w:lang w:val="fr-FR"/>
        </w:rPr>
        <w:t xml:space="preserve"> L’abcès parodontal associé à une parodontite représente 96,3 à 100% des abcès parodontaux </w:t>
      </w:r>
      <w:r>
        <w:rPr>
          <w:rFonts w:hint="default" w:ascii="Times New Roman" w:hAnsi="Times New Roman" w:cs="Times New Roman"/>
          <w:sz w:val="20"/>
          <w:szCs w:val="20"/>
        </w:rPr>
        <w:t>[</w:t>
      </w:r>
      <w:r>
        <w:rPr>
          <w:rFonts w:hint="default" w:ascii="Times New Roman" w:hAnsi="Times New Roman" w:cs="Times New Roman"/>
          <w:sz w:val="20"/>
          <w:szCs w:val="20"/>
          <w:lang w:val="fr-FR"/>
        </w:rPr>
        <w:t>3</w:t>
      </w:r>
      <w:r>
        <w:rPr>
          <w:rFonts w:hint="default" w:ascii="Times New Roman" w:hAnsi="Times New Roman" w:cs="Times New Roman"/>
          <w:sz w:val="20"/>
          <w:szCs w:val="20"/>
        </w:rPr>
        <w:t>]</w:t>
      </w:r>
      <w:r>
        <w:rPr>
          <w:rFonts w:hint="default" w:ascii="Times New Roman" w:hAnsi="Times New Roman" w:cs="Times New Roman"/>
          <w:sz w:val="20"/>
          <w:szCs w:val="20"/>
          <w:lang w:val="fr-FR"/>
        </w:rPr>
        <w:t xml:space="preserve">. Il affecte le plus souvent les molaires, mais aussi les dents antérieures </w:t>
      </w:r>
      <w:r>
        <w:rPr>
          <w:rFonts w:hint="default" w:ascii="Times New Roman" w:hAnsi="Times New Roman" w:cs="Times New Roman"/>
          <w:sz w:val="20"/>
          <w:szCs w:val="20"/>
        </w:rPr>
        <w:t>[</w:t>
      </w:r>
      <w:r>
        <w:rPr>
          <w:rFonts w:hint="default" w:ascii="Times New Roman" w:hAnsi="Times New Roman" w:cs="Times New Roman"/>
          <w:sz w:val="20"/>
          <w:szCs w:val="20"/>
          <w:lang w:val="fr-FR"/>
        </w:rPr>
        <w:t>3 - 6</w:t>
      </w:r>
      <w:r>
        <w:rPr>
          <w:rFonts w:hint="default" w:ascii="Times New Roman" w:hAnsi="Times New Roman" w:cs="Times New Roman"/>
          <w:sz w:val="20"/>
          <w:szCs w:val="20"/>
        </w:rPr>
        <w:t>]</w:t>
      </w:r>
      <w:r>
        <w:rPr>
          <w:rFonts w:hint="default" w:ascii="Times New Roman" w:hAnsi="Times New Roman" w:cs="Times New Roman"/>
          <w:sz w:val="20"/>
          <w:szCs w:val="20"/>
          <w:lang w:val="fr-FR"/>
        </w:rPr>
        <w:t xml:space="preserve">. Les symptômes vont de la gêne légère à la douleur sévère, le gonflement, la mobilité dentaire et la sensibilité à la palpation. Le signe clinique le plus fréquemment retrouvé est celui d’une élévation ovoïde de la gencive le long de la partie latérale de la racine. On observe également une suppuration ( 66 à 93 % des cas), le plus souvent, à travers l’ouverture de la poche, qui peut être spontanée ou provoquée lors d’un sondage, un saignement au sondage (100 % des cas), la présence de poches parodontales profondes (7,3 - 9,3 mm), une augmentation de la mobilité dentaire (56,4 à 100 % des cas) </w:t>
      </w:r>
      <w:r>
        <w:rPr>
          <w:rFonts w:hint="default" w:ascii="Times New Roman" w:hAnsi="Times New Roman" w:cs="Times New Roman"/>
          <w:sz w:val="20"/>
          <w:szCs w:val="20"/>
        </w:rPr>
        <w:t>[</w:t>
      </w:r>
      <w:r>
        <w:rPr>
          <w:rFonts w:hint="default" w:ascii="Times New Roman" w:hAnsi="Times New Roman" w:cs="Times New Roman"/>
          <w:sz w:val="20"/>
          <w:szCs w:val="20"/>
          <w:lang w:val="fr-FR"/>
        </w:rPr>
        <w:t>3</w:t>
      </w:r>
      <w:r>
        <w:rPr>
          <w:rFonts w:hint="default" w:ascii="Times New Roman" w:hAnsi="Times New Roman" w:cs="Times New Roman"/>
          <w:sz w:val="20"/>
          <w:szCs w:val="20"/>
        </w:rPr>
        <w:t>]</w:t>
      </w:r>
      <w:r>
        <w:rPr>
          <w:rFonts w:hint="default" w:ascii="Times New Roman" w:hAnsi="Times New Roman" w:cs="Times New Roman"/>
          <w:sz w:val="20"/>
          <w:szCs w:val="20"/>
          <w:lang w:val="fr-FR"/>
        </w:rPr>
        <w:t xml:space="preserve">. En plus des manifestations décrites plus haut, le cas exposé ici présentait une pâleur gingivale ainsi que des accroissements gingivaux qui pouvait être expliqués d’une part par l’anémie microcytaire révélée par l’hémogramme (pâleur gingivale), d’autre part par une réponse inflammatoire gingivale au biofilm sous gingival modifié par la prise d’antihypertenseurs </w:t>
      </w:r>
      <w:r>
        <w:rPr>
          <w:rFonts w:hint="default" w:ascii="Times New Roman" w:hAnsi="Times New Roman" w:cs="Times New Roman"/>
          <w:sz w:val="20"/>
          <w:szCs w:val="20"/>
        </w:rPr>
        <w:t>[</w:t>
      </w:r>
      <w:r>
        <w:rPr>
          <w:rFonts w:hint="default" w:ascii="Times New Roman" w:hAnsi="Times New Roman" w:cs="Times New Roman"/>
          <w:sz w:val="20"/>
          <w:szCs w:val="20"/>
          <w:lang w:val="fr-FR"/>
        </w:rPr>
        <w:t>2</w:t>
      </w:r>
      <w:r>
        <w:rPr>
          <w:rFonts w:hint="default" w:ascii="Times New Roman" w:hAnsi="Times New Roman" w:cs="Times New Roman"/>
          <w:sz w:val="20"/>
          <w:szCs w:val="20"/>
        </w:rPr>
        <w:t>]</w:t>
      </w:r>
      <w:r>
        <w:rPr>
          <w:rFonts w:hint="default" w:ascii="Times New Roman" w:hAnsi="Times New Roman" w:cs="Times New Roman"/>
          <w:sz w:val="20"/>
          <w:szCs w:val="20"/>
          <w:lang w:val="fr-FR"/>
        </w:rPr>
        <w:t xml:space="preserve"> (accroissements gingivaux). Les signes extra-oraux liés à l’abcès parodontal quant à eux sont peu communs et peuvent inclure une tuméfaction faciale (3,6 % des cas), une élévation de la température, un malaise, des lymphadénopathies (7 à 40 % des cas), une leucocytose (31,6 % des cas) </w:t>
      </w:r>
      <w:r>
        <w:rPr>
          <w:rFonts w:hint="default" w:ascii="Times New Roman" w:hAnsi="Times New Roman" w:cs="Times New Roman"/>
          <w:sz w:val="20"/>
          <w:szCs w:val="20"/>
        </w:rPr>
        <w:t>[</w:t>
      </w:r>
      <w:r>
        <w:rPr>
          <w:rFonts w:hint="default" w:ascii="Times New Roman" w:hAnsi="Times New Roman" w:cs="Times New Roman"/>
          <w:sz w:val="20"/>
          <w:szCs w:val="20"/>
          <w:lang w:val="fr-FR"/>
        </w:rPr>
        <w:t>3</w:t>
      </w:r>
      <w:r>
        <w:rPr>
          <w:rFonts w:hint="default" w:ascii="Times New Roman" w:hAnsi="Times New Roman" w:cs="Times New Roman"/>
          <w:sz w:val="20"/>
          <w:szCs w:val="20"/>
        </w:rPr>
        <w:t>]</w:t>
      </w:r>
      <w:r>
        <w:rPr>
          <w:rFonts w:hint="default" w:ascii="Times New Roman" w:hAnsi="Times New Roman" w:cs="Times New Roman"/>
          <w:sz w:val="20"/>
          <w:szCs w:val="20"/>
          <w:lang w:val="fr-FR"/>
        </w:rPr>
        <w: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lang w:val="fr-FR"/>
        </w:rPr>
      </w:pPr>
      <w:r>
        <w:rPr>
          <w:rFonts w:hint="default" w:ascii="Times New Roman" w:hAnsi="Times New Roman" w:cs="Times New Roman"/>
          <w:sz w:val="20"/>
          <w:szCs w:val="20"/>
          <w:lang w:val="fr-FR"/>
        </w:rPr>
        <w:t>Le diagnostic différentiel s’est fait avec la parodontite apicale aiguë abcédée, le</w:t>
      </w:r>
      <w:r>
        <w:rPr>
          <w:rFonts w:hint="default" w:ascii="Times New Roman" w:hAnsi="Times New Roman" w:cs="Times New Roman" w:eastAsiaTheme="minorEastAsia"/>
          <w:color w:val="000000"/>
          <w:kern w:val="24"/>
          <w:sz w:val="20"/>
          <w:szCs w:val="20"/>
          <w:lang w:val="fr-FR" w:eastAsia="zh-CN"/>
        </w:rPr>
        <w:t xml:space="preserve"> </w:t>
      </w:r>
      <w:r>
        <w:rPr>
          <w:rFonts w:hint="default" w:ascii="Times New Roman" w:hAnsi="Times New Roman" w:cs="Times New Roman"/>
          <w:sz w:val="20"/>
          <w:szCs w:val="20"/>
          <w:lang w:val="fr-FR"/>
        </w:rPr>
        <w:t xml:space="preserve">kyste péri apical latéral, à la suite d’un test de vitalité pulpaire au froid positif; les autres diagnostics différentiels se font avec les lésions tumorales (lymphomes, carcinome, granulome pyogène) </w:t>
      </w:r>
      <w:r>
        <w:rPr>
          <w:rFonts w:hint="default" w:ascii="Times New Roman" w:hAnsi="Times New Roman" w:cs="Times New Roman"/>
          <w:sz w:val="20"/>
          <w:szCs w:val="20"/>
        </w:rPr>
        <w:t>[1</w:t>
      </w:r>
      <w:r>
        <w:rPr>
          <w:rFonts w:hint="default" w:ascii="Times New Roman" w:hAnsi="Times New Roman" w:cs="Times New Roman"/>
          <w:sz w:val="20"/>
          <w:szCs w:val="20"/>
          <w:lang w:val="fr-FR"/>
        </w:rPr>
        <w:t xml:space="preserve"> - 6</w:t>
      </w:r>
      <w:r>
        <w:rPr>
          <w:rFonts w:hint="default" w:ascii="Times New Roman" w:hAnsi="Times New Roman" w:cs="Times New Roman"/>
          <w:sz w:val="20"/>
          <w:szCs w:val="20"/>
        </w:rPr>
        <w:t>]</w:t>
      </w:r>
      <w:r>
        <w:rPr>
          <w:rFonts w:hint="default" w:ascii="Times New Roman" w:hAnsi="Times New Roman" w:cs="Times New Roman"/>
          <w:sz w:val="20"/>
          <w:szCs w:val="20"/>
          <w:lang w:val="fr-FR"/>
        </w:rPr>
        <w: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lang w:val="fr-FR"/>
        </w:rPr>
      </w:pPr>
      <w:r>
        <w:rPr>
          <w:rFonts w:hint="default" w:ascii="Times New Roman" w:hAnsi="Times New Roman" w:cs="Times New Roman"/>
          <w:sz w:val="20"/>
          <w:szCs w:val="20"/>
          <w:lang w:val="fr-FR"/>
        </w:rPr>
        <w:t xml:space="preserve">Le traitement de l’abcès parodontal s’est fait en deux phases tel que préconisé dans la littérature </w:t>
      </w:r>
      <w:r>
        <w:rPr>
          <w:rFonts w:hint="default" w:ascii="Times New Roman" w:hAnsi="Times New Roman" w:cs="Times New Roman"/>
          <w:sz w:val="20"/>
          <w:szCs w:val="20"/>
        </w:rPr>
        <w:t>[1</w:t>
      </w:r>
      <w:r>
        <w:rPr>
          <w:rFonts w:hint="default" w:ascii="Times New Roman" w:hAnsi="Times New Roman" w:cs="Times New Roman"/>
          <w:sz w:val="20"/>
          <w:szCs w:val="20"/>
          <w:lang w:val="fr-FR"/>
        </w:rPr>
        <w:t xml:space="preserve"> - 6</w:t>
      </w:r>
      <w:r>
        <w:rPr>
          <w:rFonts w:hint="default" w:ascii="Times New Roman" w:hAnsi="Times New Roman" w:cs="Times New Roman"/>
          <w:sz w:val="20"/>
          <w:szCs w:val="20"/>
        </w:rPr>
        <w:t>]</w:t>
      </w:r>
      <w:r>
        <w:rPr>
          <w:rFonts w:hint="default" w:ascii="Times New Roman" w:hAnsi="Times New Roman" w:cs="Times New Roman"/>
          <w:sz w:val="20"/>
          <w:szCs w:val="20"/>
          <w:lang w:val="fr-FR"/>
        </w:rPr>
        <w:t>, le traitement d’urgence contribue à stopper la destruction des tissus et à contrôler les symptômes. La seconde phase correspond à la prise en charge classique d’une parodontite et se fait après contrôle de la phase aiguë. Lors de l’initiation de la prise en charge de l’abcès de notre patient, une pression digitale et une antibiothérapie ont été réalisées d’emblée avant le début du traitement mécanique afin d’éviter la dissémination de l’infection au niveau systémique chez celui-ci qui était diabétique et hypertendu.</w:t>
      </w:r>
      <w:bookmarkStart w:id="4" w:name="_Hlk62984926"/>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lang w:val="fr-FR"/>
        </w:rPr>
      </w:pPr>
      <w:r>
        <w:rPr>
          <w:rFonts w:hint="default" w:ascii="Times New Roman" w:hAnsi="Times New Roman" w:cs="Times New Roman"/>
          <w:sz w:val="20"/>
          <w:szCs w:val="20"/>
          <w:lang w:val="fr-FR"/>
        </w:rPr>
        <w:t>En effet des bactériémies ont été rapportées après traitement de l’abcès parodontal pouvant être à l’origine de complications systémiques graves à type d’abcès du cerveau</w:t>
      </w:r>
      <w:bookmarkEnd w:id="4"/>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w:t>
      </w:r>
      <w:r>
        <w:rPr>
          <w:rFonts w:hint="default" w:ascii="Times New Roman" w:hAnsi="Times New Roman" w:cs="Times New Roman"/>
          <w:sz w:val="20"/>
          <w:szCs w:val="20"/>
          <w:lang w:val="fr-FR"/>
        </w:rPr>
        <w:t>2</w:t>
      </w:r>
      <w:r>
        <w:rPr>
          <w:rFonts w:hint="default" w:ascii="Times New Roman" w:hAnsi="Times New Roman" w:cs="Times New Roman"/>
          <w:sz w:val="20"/>
          <w:szCs w:val="20"/>
        </w:rPr>
        <w:t>]</w:t>
      </w:r>
      <w:r>
        <w:rPr>
          <w:rFonts w:hint="default" w:ascii="Times New Roman" w:hAnsi="Times New Roman" w:cs="Times New Roman"/>
          <w:sz w:val="20"/>
          <w:szCs w:val="20"/>
          <w:lang w:val="fr-FR"/>
        </w:rPr>
        <w:t xml:space="preserve">. Dans notre cas, l’abcès parodontal était associé au mauvais contrôle de la pression artérielle, qui était de 140/88 mmHg à l’arrivée du patient. Alharbi et al ont rapporté une pression artérielle initiale de 120/80 mmHg chez un sujet de genre masculin indemne de maladie systémique et présentant un abcès parodontal </w:t>
      </w:r>
      <w:r>
        <w:rPr>
          <w:rFonts w:hint="default" w:ascii="Times New Roman" w:hAnsi="Times New Roman" w:cs="Times New Roman"/>
          <w:sz w:val="20"/>
          <w:szCs w:val="20"/>
        </w:rPr>
        <w:t>[</w:t>
      </w:r>
      <w:r>
        <w:rPr>
          <w:rFonts w:hint="default" w:ascii="Times New Roman" w:hAnsi="Times New Roman" w:cs="Times New Roman"/>
          <w:sz w:val="20"/>
          <w:szCs w:val="20"/>
          <w:lang w:val="fr-FR"/>
        </w:rPr>
        <w:t>6</w:t>
      </w:r>
      <w:r>
        <w:rPr>
          <w:rFonts w:hint="default" w:ascii="Times New Roman" w:hAnsi="Times New Roman" w:cs="Times New Roman"/>
          <w:sz w:val="20"/>
          <w:szCs w:val="20"/>
        </w:rPr>
        <w:t>]</w:t>
      </w:r>
      <w:r>
        <w:rPr>
          <w:rFonts w:hint="default" w:ascii="Times New Roman" w:hAnsi="Times New Roman" w:cs="Times New Roman"/>
          <w:sz w:val="20"/>
          <w:szCs w:val="20"/>
          <w:lang w:val="fr-FR"/>
        </w:rPr>
        <w:t xml:space="preserve">. Cependant une amélioration des paramètres hémodynamiques a été notée 15 jours après traitement parodontal non chirurgical soit une différence de 2/1 mmHg. Nos résultats s’accordent avec ceux de la littérature concernant d’une part le mauvais état parodontal du sujet hypertendu et d’autre part l’amélioration des chiffres tensionnels après traitement parodontal </w:t>
      </w:r>
      <w:r>
        <w:rPr>
          <w:rFonts w:hint="default" w:ascii="Times New Roman" w:hAnsi="Times New Roman" w:cs="Times New Roman"/>
          <w:sz w:val="20"/>
          <w:szCs w:val="20"/>
        </w:rPr>
        <w:t>[</w:t>
      </w:r>
      <w:r>
        <w:rPr>
          <w:rFonts w:hint="default" w:ascii="Times New Roman" w:hAnsi="Times New Roman" w:cs="Times New Roman"/>
          <w:sz w:val="20"/>
          <w:szCs w:val="20"/>
          <w:lang w:val="fr-FR"/>
        </w:rPr>
        <w:t>9</w:t>
      </w:r>
      <w:r>
        <w:rPr>
          <w:rFonts w:hint="default" w:ascii="Times New Roman" w:hAnsi="Times New Roman" w:cs="Times New Roman"/>
          <w:sz w:val="20"/>
          <w:szCs w:val="20"/>
        </w:rPr>
        <w:t>]</w:t>
      </w:r>
      <w:r>
        <w:rPr>
          <w:rFonts w:hint="default" w:ascii="Times New Roman" w:hAnsi="Times New Roman" w:cs="Times New Roman"/>
          <w:sz w:val="20"/>
          <w:szCs w:val="20"/>
          <w:lang w:val="fr-FR"/>
        </w:rPr>
        <w:t>.</w:t>
      </w:r>
    </w:p>
    <w:p>
      <w:pPr>
        <w:keepNext w:val="0"/>
        <w:keepLines w:val="0"/>
        <w:pageBreakBefore w:val="0"/>
        <w:widowControl/>
        <w:kinsoku/>
        <w:wordWrap/>
        <w:overflowPunct/>
        <w:topLinePunct w:val="0"/>
        <w:autoSpaceDE/>
        <w:autoSpaceDN/>
        <w:bidi w:val="0"/>
        <w:adjustRightInd/>
        <w:snapToGrid/>
        <w:spacing w:before="120" w:after="40" w:line="240" w:lineRule="auto"/>
        <w:jc w:val="both"/>
        <w:textAlignment w:val="auto"/>
        <w:rPr>
          <w:rFonts w:hint="default" w:ascii="Times New Roman" w:hAnsi="Times New Roman" w:cs="Times New Roman"/>
          <w:b/>
          <w:bCs/>
          <w:sz w:val="20"/>
          <w:szCs w:val="20"/>
          <w:lang w:val="fr-FR"/>
        </w:rPr>
      </w:pPr>
      <w:r>
        <w:rPr>
          <w:rFonts w:hint="default" w:ascii="Times New Roman" w:hAnsi="Times New Roman" w:cs="Times New Roman"/>
          <w:b/>
          <w:bCs/>
          <w:sz w:val="20"/>
          <w:szCs w:val="20"/>
          <w:lang w:val="fr-FR"/>
        </w:rPr>
        <w:t>CONCLUSION</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lang w:val="fr-FR"/>
        </w:rPr>
      </w:pPr>
      <w:r>
        <w:rPr>
          <w:rFonts w:hint="default" w:ascii="Times New Roman" w:hAnsi="Times New Roman" w:cs="Times New Roman"/>
          <w:sz w:val="20"/>
          <w:szCs w:val="20"/>
          <w:lang w:val="fr-FR"/>
        </w:rPr>
        <w:t>L’abcès parodontal est une véritable urgence infectieuse nécessitant une prise en charge immédiate et efficiente. Le traitement de l’abcès parodontal pourrait contribuer à l’amélioration de la santé cardiovasculaire.</w:t>
      </w:r>
    </w:p>
    <w:p>
      <w:pPr>
        <w:keepNext w:val="0"/>
        <w:keepLines w:val="0"/>
        <w:pageBreakBefore w:val="0"/>
        <w:widowControl/>
        <w:kinsoku/>
        <w:wordWrap/>
        <w:overflowPunct/>
        <w:topLinePunct w:val="0"/>
        <w:autoSpaceDE/>
        <w:autoSpaceDN/>
        <w:bidi w:val="0"/>
        <w:adjustRightInd/>
        <w:snapToGrid/>
        <w:spacing w:before="60" w:after="20" w:line="240" w:lineRule="auto"/>
        <w:jc w:val="both"/>
        <w:textAlignment w:val="auto"/>
        <w:rPr>
          <w:rFonts w:hint="default" w:ascii="Times New Roman" w:hAnsi="Times New Roman" w:cs="Times New Roman"/>
          <w:b/>
          <w:bCs/>
          <w:sz w:val="20"/>
          <w:szCs w:val="20"/>
          <w:lang w:val="fr-FR"/>
        </w:rPr>
      </w:pPr>
      <w:r>
        <w:rPr>
          <w:rFonts w:hint="default" w:ascii="Times New Roman" w:hAnsi="Times New Roman" w:cs="Times New Roman"/>
          <w:b/>
          <w:bCs/>
          <w:sz w:val="20"/>
          <w:szCs w:val="20"/>
          <w:lang w:val="fr-FR"/>
        </w:rPr>
        <w:t>Contribution des auteurs</w:t>
      </w:r>
      <w:bookmarkStart w:id="5" w:name="_Hlk63090116"/>
    </w:p>
    <w:p>
      <w:pPr>
        <w:keepNext w:val="0"/>
        <w:keepLines w:val="0"/>
        <w:pageBreakBefore w:val="0"/>
        <w:widowControl/>
        <w:kinsoku/>
        <w:wordWrap/>
        <w:overflowPunct/>
        <w:topLinePunct w:val="0"/>
        <w:autoSpaceDE/>
        <w:autoSpaceDN/>
        <w:bidi w:val="0"/>
        <w:adjustRightInd/>
        <w:snapToGrid/>
        <w:spacing w:before="60" w:after="20" w:line="240" w:lineRule="auto"/>
        <w:jc w:val="both"/>
        <w:textAlignment w:val="auto"/>
        <w:rPr>
          <w:rFonts w:hint="default" w:ascii="Times New Roman" w:hAnsi="Times New Roman" w:cs="Times New Roman"/>
          <w:b/>
          <w:bCs/>
          <w:sz w:val="20"/>
          <w:szCs w:val="20"/>
          <w:lang w:val="fr-FR"/>
        </w:rPr>
      </w:pPr>
      <w:r>
        <w:rPr>
          <w:rFonts w:hint="default" w:ascii="Times New Roman" w:hAnsi="Times New Roman" w:cs="Times New Roman"/>
          <w:sz w:val="20"/>
          <w:szCs w:val="20"/>
          <w:lang w:val="fr-FR"/>
        </w:rPr>
        <w:t xml:space="preserve">Dr Essama Eno Belinga L. </w:t>
      </w:r>
      <w:bookmarkEnd w:id="5"/>
      <w:r>
        <w:rPr>
          <w:rFonts w:hint="default" w:ascii="Times New Roman" w:hAnsi="Times New Roman" w:cs="Times New Roman"/>
          <w:sz w:val="20"/>
          <w:szCs w:val="20"/>
          <w:lang w:val="fr-FR"/>
        </w:rPr>
        <w:t>a conçu et rédigé l’article ; Dr Essama Eno Belinga L. et Dr Mouliom Sidick ont recueilli les données. Dr Ndjoh Jules Julien, Dr Diarra Abdoualziz, Dr Mengong hortense, Dr Bell Ngan Williams ont relu l’article ; Pr Ngouadjeu, Pr Lemogoum et Pr Bengondo Messanga C. ont supervisé l’article.</w:t>
      </w:r>
    </w:p>
    <w:p>
      <w:pPr>
        <w:keepNext w:val="0"/>
        <w:keepLines w:val="0"/>
        <w:pageBreakBefore w:val="0"/>
        <w:widowControl/>
        <w:kinsoku/>
        <w:wordWrap/>
        <w:overflowPunct/>
        <w:topLinePunct w:val="0"/>
        <w:autoSpaceDE/>
        <w:autoSpaceDN/>
        <w:bidi w:val="0"/>
        <w:adjustRightInd/>
        <w:snapToGrid/>
        <w:spacing w:before="60" w:after="20" w:line="240" w:lineRule="auto"/>
        <w:jc w:val="both"/>
        <w:textAlignment w:val="auto"/>
        <w:rPr>
          <w:rFonts w:hint="default" w:ascii="Times New Roman" w:hAnsi="Times New Roman" w:cs="Times New Roman"/>
          <w:b/>
          <w:bCs/>
          <w:sz w:val="20"/>
          <w:szCs w:val="20"/>
          <w:lang w:val="fr-FR"/>
        </w:rPr>
      </w:pPr>
      <w:r>
        <w:rPr>
          <w:rFonts w:hint="default" w:ascii="Times New Roman" w:hAnsi="Times New Roman" w:cs="Times New Roman"/>
          <w:b/>
          <w:bCs/>
          <w:sz w:val="20"/>
          <w:szCs w:val="20"/>
          <w:lang w:val="fr-FR"/>
        </w:rPr>
        <w:t>Remerciements</w:t>
      </w:r>
    </w:p>
    <w:p>
      <w:pPr>
        <w:keepNext w:val="0"/>
        <w:keepLines w:val="0"/>
        <w:pageBreakBefore w:val="0"/>
        <w:widowControl/>
        <w:kinsoku/>
        <w:wordWrap/>
        <w:overflowPunct/>
        <w:topLinePunct w:val="0"/>
        <w:autoSpaceDE/>
        <w:autoSpaceDN/>
        <w:bidi w:val="0"/>
        <w:adjustRightInd/>
        <w:snapToGrid/>
        <w:spacing w:before="60" w:after="20" w:line="240" w:lineRule="auto"/>
        <w:jc w:val="both"/>
        <w:textAlignment w:val="auto"/>
        <w:rPr>
          <w:rFonts w:hint="default" w:ascii="Times New Roman" w:hAnsi="Times New Roman" w:cs="Times New Roman"/>
          <w:b/>
          <w:bCs/>
          <w:sz w:val="20"/>
          <w:szCs w:val="20"/>
          <w:lang w:val="fr-FR"/>
        </w:rPr>
      </w:pPr>
      <w:r>
        <w:rPr>
          <w:rFonts w:hint="default" w:ascii="Times New Roman" w:hAnsi="Times New Roman" w:cs="Times New Roman"/>
          <w:sz w:val="20"/>
          <w:szCs w:val="20"/>
          <w:lang w:val="fr-FR"/>
        </w:rPr>
        <w:t>Au Directeur Général de l’Hôpital Général de Douala</w:t>
      </w:r>
    </w:p>
    <w:p>
      <w:pPr>
        <w:keepNext w:val="0"/>
        <w:keepLines w:val="0"/>
        <w:pageBreakBefore w:val="0"/>
        <w:widowControl/>
        <w:kinsoku/>
        <w:wordWrap/>
        <w:overflowPunct/>
        <w:topLinePunct w:val="0"/>
        <w:autoSpaceDE/>
        <w:autoSpaceDN/>
        <w:bidi w:val="0"/>
        <w:adjustRightInd/>
        <w:snapToGrid/>
        <w:spacing w:before="60" w:after="20" w:line="240" w:lineRule="auto"/>
        <w:jc w:val="both"/>
        <w:textAlignment w:val="auto"/>
        <w:rPr>
          <w:rFonts w:hint="default" w:ascii="Times New Roman" w:hAnsi="Times New Roman" w:cs="Times New Roman"/>
          <w:b/>
          <w:bCs/>
          <w:sz w:val="20"/>
          <w:szCs w:val="20"/>
          <w:lang w:val="fr-FR"/>
        </w:rPr>
      </w:pPr>
      <w:r>
        <w:rPr>
          <w:rFonts w:hint="default" w:ascii="Times New Roman" w:hAnsi="Times New Roman" w:cs="Times New Roman"/>
          <w:b/>
          <w:bCs/>
          <w:sz w:val="20"/>
          <w:szCs w:val="20"/>
          <w:lang w:val="fr-FR"/>
        </w:rPr>
        <w:t>Conflits d’Intérêt</w:t>
      </w:r>
    </w:p>
    <w:p>
      <w:pPr>
        <w:keepNext w:val="0"/>
        <w:keepLines w:val="0"/>
        <w:pageBreakBefore w:val="0"/>
        <w:widowControl/>
        <w:kinsoku/>
        <w:wordWrap/>
        <w:overflowPunct/>
        <w:topLinePunct w:val="0"/>
        <w:autoSpaceDE/>
        <w:autoSpaceDN/>
        <w:bidi w:val="0"/>
        <w:adjustRightInd/>
        <w:snapToGrid/>
        <w:spacing w:before="60" w:after="20" w:line="240" w:lineRule="auto"/>
        <w:jc w:val="both"/>
        <w:textAlignment w:val="auto"/>
        <w:rPr>
          <w:rFonts w:hint="default" w:ascii="Times New Roman" w:hAnsi="Times New Roman" w:cs="Times New Roman"/>
          <w:sz w:val="20"/>
          <w:szCs w:val="20"/>
          <w:lang w:val="fr-FR"/>
        </w:rPr>
      </w:pPr>
      <w:r>
        <w:rPr>
          <w:rFonts w:hint="default" w:ascii="Times New Roman" w:hAnsi="Times New Roman" w:cs="Times New Roman"/>
          <w:sz w:val="20"/>
          <w:szCs w:val="20"/>
          <w:lang w:val="fr-FR"/>
        </w:rPr>
        <w:t>Aucun.</w:t>
      </w:r>
    </w:p>
    <w:p>
      <w:pPr>
        <w:keepNext w:val="0"/>
        <w:keepLines w:val="0"/>
        <w:pageBreakBefore w:val="0"/>
        <w:widowControl/>
        <w:kinsoku/>
        <w:wordWrap/>
        <w:overflowPunct/>
        <w:topLinePunct w:val="0"/>
        <w:autoSpaceDE/>
        <w:autoSpaceDN/>
        <w:bidi w:val="0"/>
        <w:adjustRightInd/>
        <w:snapToGrid/>
        <w:spacing w:before="120" w:after="40" w:line="240" w:lineRule="auto"/>
        <w:jc w:val="both"/>
        <w:textAlignment w:val="auto"/>
        <w:rPr>
          <w:rFonts w:hint="default" w:ascii="Times New Roman" w:hAnsi="Times New Roman" w:cs="Times New Roman"/>
          <w:b/>
          <w:bCs/>
          <w:sz w:val="20"/>
          <w:szCs w:val="20"/>
          <w:lang w:val="fr-FR"/>
        </w:rPr>
      </w:pPr>
      <w:r>
        <w:rPr>
          <w:rFonts w:hint="default" w:ascii="Times New Roman" w:hAnsi="Times New Roman" w:cs="Times New Roman"/>
          <w:b/>
          <w:bCs/>
          <w:sz w:val="20"/>
          <w:szCs w:val="20"/>
          <w:lang w:val="fr-FR"/>
        </w:rPr>
        <w:t>RÉFÉRENCES</w:t>
      </w:r>
    </w:p>
    <w:p>
      <w:pPr>
        <w:pStyle w:val="7"/>
        <w:keepNext w:val="0"/>
        <w:keepLines w:val="0"/>
        <w:pageBreakBefore w:val="0"/>
        <w:widowControl/>
        <w:numPr>
          <w:ilvl w:val="0"/>
          <w:numId w:val="2"/>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18"/>
          <w:szCs w:val="18"/>
          <w:lang w:val="fr-FR"/>
        </w:rPr>
      </w:pPr>
      <w:r>
        <w:rPr>
          <w:rFonts w:hint="default" w:ascii="Times New Roman" w:hAnsi="Times New Roman" w:cs="Times New Roman"/>
          <w:sz w:val="18"/>
          <w:szCs w:val="18"/>
          <w:lang w:val="fr-FR"/>
        </w:rPr>
        <w:t xml:space="preserve">Carranza FA Jr Clinical diagnosis. </w:t>
      </w:r>
      <w:r>
        <w:rPr>
          <w:rFonts w:hint="default" w:ascii="Times New Roman" w:hAnsi="Times New Roman" w:cs="Times New Roman"/>
          <w:sz w:val="18"/>
          <w:szCs w:val="18"/>
        </w:rPr>
        <w:t xml:space="preserve">In : Carranza, FA Jr, Newman MG, editors. </w:t>
      </w:r>
      <w:r>
        <w:rPr>
          <w:rFonts w:hint="default" w:ascii="Times New Roman" w:hAnsi="Times New Roman" w:cs="Times New Roman"/>
          <w:sz w:val="18"/>
          <w:szCs w:val="18"/>
          <w:lang w:val="fr-FR"/>
        </w:rPr>
        <w:t>Glickman’s Clinical Periodontology, 8th. Philadelphia : WB Saunders Co. 1996 :358-360.</w:t>
      </w:r>
    </w:p>
    <w:p>
      <w:pPr>
        <w:pStyle w:val="7"/>
        <w:keepNext w:val="0"/>
        <w:keepLines w:val="0"/>
        <w:pageBreakBefore w:val="0"/>
        <w:widowControl/>
        <w:numPr>
          <w:ilvl w:val="0"/>
          <w:numId w:val="2"/>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18"/>
          <w:szCs w:val="18"/>
          <w:lang w:val="fr-FR"/>
        </w:rPr>
      </w:pPr>
      <w:r>
        <w:rPr>
          <w:rFonts w:hint="default" w:ascii="Times New Roman" w:hAnsi="Times New Roman" w:cs="Times New Roman"/>
          <w:sz w:val="18"/>
          <w:szCs w:val="18"/>
        </w:rPr>
        <w:t xml:space="preserve">Herrera D, Roldán S, Sanz M. The periodontal abscess: a review. </w:t>
      </w:r>
      <w:r>
        <w:rPr>
          <w:rFonts w:hint="default" w:ascii="Times New Roman" w:hAnsi="Times New Roman" w:cs="Times New Roman"/>
          <w:sz w:val="18"/>
          <w:szCs w:val="18"/>
          <w:lang w:val="fr-FR"/>
        </w:rPr>
        <w:t>J Clin Periodontol. 2000 ;27(6):377-86.</w:t>
      </w:r>
    </w:p>
    <w:p>
      <w:pPr>
        <w:pStyle w:val="7"/>
        <w:keepNext w:val="0"/>
        <w:keepLines w:val="0"/>
        <w:pageBreakBefore w:val="0"/>
        <w:widowControl/>
        <w:numPr>
          <w:ilvl w:val="0"/>
          <w:numId w:val="2"/>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18"/>
          <w:szCs w:val="18"/>
          <w:lang w:val="fr-FR"/>
        </w:rPr>
      </w:pPr>
      <w:r>
        <w:rPr>
          <w:rFonts w:hint="default" w:ascii="Times New Roman" w:hAnsi="Times New Roman" w:cs="Times New Roman"/>
          <w:sz w:val="18"/>
          <w:szCs w:val="18"/>
        </w:rPr>
        <w:t xml:space="preserve">Herrera D, Retamal-Valdes B, Alonso B, Feres M. Acute periodontal lesions (periodontal abscesses and necrotizing periodontal diseases) and endo-periodontal lesions. </w:t>
      </w:r>
      <w:r>
        <w:rPr>
          <w:rFonts w:hint="default" w:ascii="Times New Roman" w:hAnsi="Times New Roman" w:cs="Times New Roman"/>
          <w:sz w:val="18"/>
          <w:szCs w:val="18"/>
          <w:lang w:val="fr-FR"/>
        </w:rPr>
        <w:t>J Periodontol.2018;89 Suppl 1:S85-S102.</w:t>
      </w:r>
    </w:p>
    <w:p>
      <w:pPr>
        <w:pStyle w:val="7"/>
        <w:keepNext w:val="0"/>
        <w:keepLines w:val="0"/>
        <w:pageBreakBefore w:val="0"/>
        <w:widowControl/>
        <w:numPr>
          <w:ilvl w:val="0"/>
          <w:numId w:val="2"/>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18"/>
          <w:szCs w:val="18"/>
          <w:lang w:val="fr-FR"/>
        </w:rPr>
      </w:pPr>
      <w:r>
        <w:rPr>
          <w:rFonts w:hint="default" w:ascii="Times New Roman" w:hAnsi="Times New Roman" w:cs="Times New Roman"/>
          <w:sz w:val="18"/>
          <w:szCs w:val="18"/>
          <w:lang w:val="fr-FR"/>
        </w:rPr>
        <w:t>Pereira S. Les urgences en parodontologie. 2017.Disponible sur https www aoenews-le mag.fr [</w:t>
      </w:r>
      <w:r>
        <w:rPr>
          <w:rFonts w:hint="default" w:ascii="Times New Roman" w:hAnsi="Times New Roman" w:cs="Times New Roman"/>
          <w:color w:val="202124"/>
          <w:sz w:val="18"/>
          <w:szCs w:val="18"/>
          <w:shd w:val="clear" w:color="auto" w:fill="FFFFFF"/>
          <w:lang w:val="fr-FR"/>
        </w:rPr>
        <w:t>Consulté le 01er Février 2021].</w:t>
      </w:r>
    </w:p>
    <w:p>
      <w:pPr>
        <w:pStyle w:val="7"/>
        <w:keepNext w:val="0"/>
        <w:keepLines w:val="0"/>
        <w:pageBreakBefore w:val="0"/>
        <w:widowControl/>
        <w:numPr>
          <w:ilvl w:val="0"/>
          <w:numId w:val="2"/>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18"/>
          <w:szCs w:val="18"/>
          <w:lang w:val="fr-FR"/>
        </w:rPr>
      </w:pPr>
      <w:r>
        <w:rPr>
          <w:rFonts w:hint="default" w:ascii="Times New Roman" w:hAnsi="Times New Roman" w:cs="Times New Roman"/>
          <w:sz w:val="18"/>
          <w:szCs w:val="18"/>
        </w:rPr>
        <w:t xml:space="preserve">Wadia R, Ide M. Periodontal Emergencies in General Practice. </w:t>
      </w:r>
      <w:r>
        <w:rPr>
          <w:rFonts w:hint="default" w:ascii="Times New Roman" w:hAnsi="Times New Roman" w:cs="Times New Roman"/>
          <w:sz w:val="18"/>
          <w:szCs w:val="18"/>
          <w:lang w:val="fr-FR"/>
        </w:rPr>
        <w:t>Prim Dent J. 2017 May 1;6(2):46-51.</w:t>
      </w:r>
    </w:p>
    <w:p>
      <w:pPr>
        <w:pStyle w:val="7"/>
        <w:keepNext w:val="0"/>
        <w:keepLines w:val="0"/>
        <w:pageBreakBefore w:val="0"/>
        <w:widowControl/>
        <w:numPr>
          <w:ilvl w:val="0"/>
          <w:numId w:val="2"/>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18"/>
          <w:szCs w:val="18"/>
          <w:lang w:val="fr-FR"/>
        </w:rPr>
      </w:pPr>
      <w:r>
        <w:rPr>
          <w:rFonts w:hint="default" w:ascii="Times New Roman" w:hAnsi="Times New Roman" w:cs="Times New Roman"/>
          <w:sz w:val="18"/>
          <w:szCs w:val="18"/>
        </w:rPr>
        <w:t xml:space="preserve">Alharbi OA, Ahmad MZ, Agwan AS, Sadaf D. Management of Acute Periodontal Abscess Mimicking Acute Apical Abscess in the Anterior Lingual Region: A Case Report. </w:t>
      </w:r>
      <w:r>
        <w:rPr>
          <w:rFonts w:hint="default" w:ascii="Times New Roman" w:hAnsi="Times New Roman" w:cs="Times New Roman"/>
          <w:sz w:val="18"/>
          <w:szCs w:val="18"/>
          <w:lang w:val="fr-FR"/>
        </w:rPr>
        <w:t>Cureus. 2019;11(9):e5592.</w:t>
      </w:r>
    </w:p>
    <w:p>
      <w:pPr>
        <w:pStyle w:val="7"/>
        <w:keepNext w:val="0"/>
        <w:keepLines w:val="0"/>
        <w:pageBreakBefore w:val="0"/>
        <w:widowControl/>
        <w:numPr>
          <w:ilvl w:val="0"/>
          <w:numId w:val="2"/>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18"/>
          <w:szCs w:val="18"/>
          <w:lang w:val="fr-FR"/>
        </w:rPr>
      </w:pPr>
      <w:r>
        <w:rPr>
          <w:rFonts w:hint="default" w:ascii="Times New Roman" w:hAnsi="Times New Roman" w:cs="Times New Roman"/>
          <w:sz w:val="18"/>
          <w:szCs w:val="18"/>
        </w:rPr>
        <w:t xml:space="preserve">G Caton J, Armitage G, Berglundh T, Chapple ILC, Jepsen S, S Kornman K et al. A new classification scheme for periodontal and peri-implant diseases and conditions – Introduction and key changes from the 1999 classification. </w:t>
      </w:r>
      <w:r>
        <w:rPr>
          <w:rFonts w:hint="default" w:ascii="Times New Roman" w:hAnsi="Times New Roman" w:cs="Times New Roman"/>
          <w:sz w:val="18"/>
          <w:szCs w:val="18"/>
          <w:lang w:val="fr-FR"/>
        </w:rPr>
        <w:t>J Clin Periodontol.2018;45 Suppl 20 : S1-S8.</w:t>
      </w:r>
    </w:p>
    <w:p>
      <w:pPr>
        <w:pStyle w:val="7"/>
        <w:keepNext w:val="0"/>
        <w:keepLines w:val="0"/>
        <w:pageBreakBefore w:val="0"/>
        <w:widowControl/>
        <w:numPr>
          <w:ilvl w:val="0"/>
          <w:numId w:val="2"/>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18"/>
          <w:szCs w:val="18"/>
          <w:lang w:val="zh-CN"/>
        </w:rPr>
      </w:pPr>
      <w:r>
        <w:rPr>
          <w:rFonts w:hint="default" w:ascii="Times New Roman" w:hAnsi="Times New Roman" w:cs="Times New Roman"/>
          <w:sz w:val="18"/>
          <w:szCs w:val="18"/>
        </w:rPr>
        <w:t>Greene JC, Vermillion JR. The Simplified Oral Hygiene Index. J Am Dent Assoc. 1964;68:7-13.</w:t>
      </w:r>
    </w:p>
    <w:p>
      <w:pPr>
        <w:pStyle w:val="7"/>
        <w:keepNext w:val="0"/>
        <w:keepLines w:val="0"/>
        <w:pageBreakBefore w:val="0"/>
        <w:widowControl/>
        <w:numPr>
          <w:ilvl w:val="0"/>
          <w:numId w:val="2"/>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18"/>
          <w:szCs w:val="18"/>
        </w:rPr>
      </w:pPr>
      <w:r>
        <w:rPr>
          <w:rFonts w:hint="default" w:ascii="Times New Roman" w:hAnsi="Times New Roman" w:cs="Times New Roman"/>
          <w:sz w:val="18"/>
          <w:szCs w:val="18"/>
        </w:rPr>
        <w:t xml:space="preserve">Van der Velden U. The Dutch periodontal screening index validation and its application in The Netherlands.J Clin Periodontol.2009 </w:t>
      </w:r>
      <w:r>
        <w:rPr>
          <w:rFonts w:hint="default" w:ascii="Times New Roman" w:hAnsi="Times New Roman" w:cs="Times New Roman"/>
          <w:i/>
          <w:iCs/>
          <w:sz w:val="18"/>
          <w:szCs w:val="18"/>
        </w:rPr>
        <w:t>;</w:t>
      </w:r>
      <w:r>
        <w:rPr>
          <w:rFonts w:hint="default" w:ascii="Times New Roman" w:hAnsi="Times New Roman" w:cs="Times New Roman"/>
          <w:sz w:val="18"/>
          <w:szCs w:val="18"/>
        </w:rPr>
        <w:t>36:1018–1024.</w:t>
      </w:r>
    </w:p>
    <w:p>
      <w:pPr>
        <w:pStyle w:val="7"/>
        <w:keepNext w:val="0"/>
        <w:keepLines w:val="0"/>
        <w:pageBreakBefore w:val="0"/>
        <w:widowControl/>
        <w:numPr>
          <w:ilvl w:val="0"/>
          <w:numId w:val="2"/>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18"/>
          <w:szCs w:val="18"/>
          <w:lang w:val="zh-CN"/>
        </w:rPr>
      </w:pPr>
      <w:r>
        <w:rPr>
          <w:rFonts w:hint="default" w:ascii="Times New Roman" w:hAnsi="Times New Roman" w:cs="Times New Roman"/>
          <w:sz w:val="18"/>
          <w:szCs w:val="18"/>
        </w:rPr>
        <w:t>Mühlemann, H.R. Tooth Mobility: The Measuring Method. Initial and Secondary Tooth Mobility. The Journal of Periodontology.1954; 25: 22-29</w:t>
      </w:r>
    </w:p>
    <w:p>
      <w:pPr>
        <w:pStyle w:val="7"/>
        <w:keepNext w:val="0"/>
        <w:keepLines w:val="0"/>
        <w:pageBreakBefore w:val="0"/>
        <w:widowControl/>
        <w:numPr>
          <w:ilvl w:val="0"/>
          <w:numId w:val="2"/>
        </w:numPr>
        <w:shd w:val="clear" w:color="auto" w:fill="FFFFFF"/>
        <w:kinsoku/>
        <w:wordWrap/>
        <w:overflowPunct/>
        <w:topLinePunct w:val="0"/>
        <w:autoSpaceDE/>
        <w:autoSpaceDN/>
        <w:bidi w:val="0"/>
        <w:adjustRightInd/>
        <w:snapToGrid/>
        <w:spacing w:after="0" w:line="240" w:lineRule="auto"/>
        <w:jc w:val="both"/>
        <w:textAlignment w:val="auto"/>
        <w:rPr>
          <w:rFonts w:hint="default" w:ascii="Times New Roman" w:hAnsi="Times New Roman" w:eastAsia="Times New Roman" w:cs="Times New Roman"/>
          <w:iCs/>
          <w:color w:val="000000" w:themeColor="text1"/>
          <w:sz w:val="18"/>
          <w:szCs w:val="18"/>
          <w:lang w:val="fr-FR" w:eastAsia="fr-FR"/>
        </w:rPr>
      </w:pPr>
      <w:r>
        <w:rPr>
          <w:rFonts w:hint="default" w:ascii="Times New Roman" w:hAnsi="Times New Roman" w:eastAsia="Times New Roman" w:cs="Times New Roman"/>
          <w:iCs/>
          <w:color w:val="000000" w:themeColor="text1"/>
          <w:sz w:val="18"/>
          <w:szCs w:val="18"/>
          <w:lang w:val="fr-FR" w:eastAsia="fr-FR"/>
        </w:rPr>
        <w:t xml:space="preserve">Essama Eno Belinga L, Mbango Ekouta ND, Nokam Abena E, Essam Nloo AP, Bell Ngan W, Abanda Dang G et al. </w:t>
      </w:r>
      <w:r>
        <w:rPr>
          <w:rFonts w:hint="default" w:ascii="Times New Roman" w:hAnsi="Times New Roman" w:eastAsia="Times New Roman" w:cs="Times New Roman"/>
          <w:iCs/>
          <w:color w:val="000000" w:themeColor="text1"/>
          <w:sz w:val="18"/>
          <w:szCs w:val="18"/>
          <w:lang w:eastAsia="fr-FR"/>
        </w:rPr>
        <w:t xml:space="preserve">Periodontitis Increases Risk of Peripheral Arterial Occlusive Disease in Diabetics Subjects  Living  in Cameroon. </w:t>
      </w:r>
      <w:r>
        <w:rPr>
          <w:rFonts w:hint="default" w:ascii="Times New Roman" w:hAnsi="Times New Roman" w:eastAsia="Times New Roman" w:cs="Times New Roman"/>
          <w:iCs/>
          <w:color w:val="000000" w:themeColor="text1"/>
          <w:sz w:val="18"/>
          <w:szCs w:val="18"/>
          <w:lang w:val="fr-FR" w:eastAsia="fr-FR"/>
        </w:rPr>
        <w:t>Dental Research and Oral Health.2020 ;3: 153-161.</w:t>
      </w:r>
    </w:p>
    <w:p>
      <w:pPr>
        <w:pStyle w:val="7"/>
        <w:keepNext w:val="0"/>
        <w:keepLines w:val="0"/>
        <w:pageBreakBefore w:val="0"/>
        <w:widowControl/>
        <w:numPr>
          <w:ilvl w:val="0"/>
          <w:numId w:val="2"/>
        </w:numPr>
        <w:shd w:val="clear" w:color="auto" w:fill="FFFFFF"/>
        <w:kinsoku/>
        <w:wordWrap/>
        <w:overflowPunct/>
        <w:topLinePunct w:val="0"/>
        <w:autoSpaceDE/>
        <w:autoSpaceDN/>
        <w:bidi w:val="0"/>
        <w:adjustRightInd/>
        <w:snapToGrid/>
        <w:spacing w:after="0" w:line="240" w:lineRule="auto"/>
        <w:jc w:val="both"/>
        <w:textAlignment w:val="auto"/>
        <w:rPr>
          <w:rFonts w:hint="default" w:ascii="Times New Roman" w:hAnsi="Times New Roman" w:eastAsia="Times New Roman" w:cs="Times New Roman"/>
          <w:iCs/>
          <w:color w:val="000000" w:themeColor="text1"/>
          <w:sz w:val="18"/>
          <w:szCs w:val="18"/>
          <w:lang w:val="fr-FR" w:eastAsia="fr-FR"/>
        </w:rPr>
      </w:pPr>
      <w:r>
        <w:rPr>
          <w:rFonts w:hint="default" w:ascii="Times New Roman" w:hAnsi="Times New Roman" w:cs="Times New Roman"/>
          <w:iCs/>
          <w:sz w:val="18"/>
          <w:szCs w:val="18"/>
        </w:rPr>
        <w:t xml:space="preserve">Essama Eno Belinga L, Bell Ngan W, Kouotou Mouliom JS, Choukem SP. </w:t>
      </w:r>
      <w:r>
        <w:rPr>
          <w:rFonts w:hint="default" w:ascii="Times New Roman" w:hAnsi="Times New Roman" w:cs="Times New Roman"/>
          <w:iCs/>
          <w:sz w:val="18"/>
          <w:szCs w:val="18"/>
          <w:lang w:val="fr-FR"/>
        </w:rPr>
        <w:t>Évaluation de la Santé Bucco-dentaire des Patients Diabétiques Camerounais. Health Sci. Dis. 2013 ; 14 (4).</w:t>
      </w:r>
    </w:p>
    <w:p>
      <w:pPr>
        <w:pStyle w:val="7"/>
        <w:keepNext w:val="0"/>
        <w:keepLines w:val="0"/>
        <w:pageBreakBefore w:val="0"/>
        <w:widowControl/>
        <w:numPr>
          <w:ilvl w:val="0"/>
          <w:numId w:val="2"/>
        </w:numPr>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lang w:val="fr-FR"/>
        </w:rPr>
        <w:sectPr>
          <w:type w:val="continuous"/>
          <w:pgSz w:w="11850" w:h="16783"/>
          <w:pgMar w:top="1134" w:right="850" w:bottom="1417" w:left="1134" w:header="708" w:footer="708" w:gutter="0"/>
          <w:cols w:equalWidth="0" w:num="2">
            <w:col w:w="4720" w:space="425"/>
            <w:col w:w="4720"/>
          </w:cols>
          <w:docGrid w:linePitch="360" w:charSpace="0"/>
        </w:sectPr>
      </w:pPr>
      <w:r>
        <w:rPr>
          <w:rFonts w:hint="default" w:ascii="Times New Roman" w:hAnsi="Times New Roman" w:eastAsia="Calibri" w:cs="Times New Roman"/>
          <w:sz w:val="18"/>
          <w:szCs w:val="18"/>
          <w:lang w:val="fr-FR"/>
        </w:rPr>
        <w:t xml:space="preserve">Pietropaoli D, Del Pinto R, Ferri C, et al. </w:t>
      </w:r>
      <w:r>
        <w:rPr>
          <w:rFonts w:hint="default" w:ascii="Times New Roman" w:hAnsi="Times New Roman" w:eastAsia="Calibri" w:cs="Times New Roman"/>
          <w:sz w:val="18"/>
          <w:szCs w:val="18"/>
        </w:rPr>
        <w:t>Poor Oral Health and Blood Pressure Control Among US Hypertensive Adults. </w:t>
      </w:r>
      <w:r>
        <w:rPr>
          <w:rFonts w:hint="default" w:ascii="Times New Roman" w:hAnsi="Times New Roman" w:eastAsia="Calibri" w:cs="Times New Roman"/>
          <w:sz w:val="18"/>
          <w:szCs w:val="18"/>
          <w:lang w:val="fr-FR"/>
        </w:rPr>
        <w:t>Hypertension. 2018;72(6):1365-1373.</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lang w:val="fr-FR"/>
        </w:rPr>
      </w:pPr>
    </w:p>
    <w:sectPr>
      <w:type w:val="continuous"/>
      <w:pgSz w:w="11850" w:h="16783"/>
      <w:pgMar w:top="1134" w:right="850" w:bottom="1417" w:left="1134"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Calibri"/>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黑体">
    <w:altName w:val="Microsoft YaHei UI"/>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10002FF" w:usb1="4000ACFF" w:usb2="00000009" w:usb3="00000000" w:csb0="2000019F" w:csb1="00000000"/>
  </w:font>
  <w:font w:name="Microsoft YaHei UI">
    <w:panose1 w:val="020B0503020204020204"/>
    <w:charset w:val="86"/>
    <w:family w:val="auto"/>
    <w:pitch w:val="default"/>
    <w:sig w:usb0="80000287" w:usb1="28CF3C52" w:usb2="00000016" w:usb3="00000000" w:csb0="0004001F" w:csb1="00000000"/>
  </w:font>
  <w:font w:name="SimSun">
    <w:altName w:val="Calibri"/>
    <w:panose1 w:val="00000000000000000000"/>
    <w:charset w:val="86"/>
    <w:family w:val="auto"/>
    <w:pitch w:val="default"/>
    <w:sig w:usb0="00000000" w:usb1="00000000" w:usb2="00000000" w:usb3="00000000" w:csb0="00000000" w:csb1="00000000"/>
  </w:font>
  <w:font w:name="SimSun">
    <w:altName w:val="Microsoft YaHei UI"/>
    <w:panose1 w:val="02010600030101010101"/>
    <w:charset w:val="86"/>
    <w:family w:val="auto"/>
    <w:pitch w:val="default"/>
    <w:sig w:usb0="00000000" w:usb1="00000000" w:usb2="00000010" w:usb3="00000000" w:csb0="00040001" w:csb1="00000000"/>
  </w:font>
  <w:font w:name="Calibri">
    <w:panose1 w:val="020F0502020204030204"/>
    <w:charset w:val="00"/>
    <w:family w:val="auto"/>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52832030"/>
      <w:docPartObj>
        <w:docPartGallery w:val="autotext"/>
      </w:docPartObj>
    </w:sdtPr>
    <w:sdtContent>
      <w:p>
        <w:pPr>
          <w:pStyle w:val="2"/>
          <w:jc w:val="right"/>
        </w:pPr>
      </w:p>
    </w:sdtContent>
  </w:sdt>
  <w:p>
    <w:pPr>
      <w:pStyle w:val="2"/>
      <w:tabs>
        <w:tab w:val="left" w:pos="4140"/>
      </w:tabs>
      <w:rPr>
        <w:rFonts w:hint="default" w:ascii="Times New Roman"/>
        <w:sz w:val="18"/>
        <w:lang w:val="fr-FR"/>
      </w:rPr>
    </w:pPr>
    <w:r>
      <w:rPr>
        <w:rFonts w:ascii="Times New Roman"/>
        <w:sz w:val="18"/>
        <w:lang w:val="en-US"/>
      </w:rPr>
      <w:pict>
        <v:group id="Grouper 9" o:spid="_x0000_s2062" o:spt="203" style="position:absolute;left:0pt;margin-left:519.75pt;margin-top:781.95pt;height:25.35pt;width:33pt;mso-position-horizontal-relative:page;mso-position-vertical-relative:page;mso-wrap-distance-left:9pt;mso-wrap-distance-right:9pt;z-index:-251658240;mso-width-relative:page;mso-height-relative:page;" coordorigin="1731,14550" coordsize="660,507" o:allowincell="f" o:gfxdata="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">
          <o:lock v:ext="edit" aspectratio="f"/>
          <v:shape id="Losange 1" o:spid="_x0000_s2056" o:spt="4" type="#_x0000_t4" style="position:absolute;left:1793;top:14550;height:507;width:536;" filled="f" stroked="t" coordsize="21600,21600" o:gfxdata="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QTumW8AAAA&#10;2gAAAA8AAAAAAAAAAQAgAAAAIgAAAGRycy9kb3ducmV2LnhtbFBLAQIUABQAAAAIAIdO4kAzLwWe&#10;OwAAADkAAAAQAAAAAAAAAAEAIAAAAAsBAABkcnMvc2hhcGV4bWwueG1sUEsFBgAAAAAGAAYAWwEA&#10;ALUDAAAAAA==&#10;">
            <v:path/>
            <v:fill on="f" focussize="0,0"/>
            <v:stroke color="#A5A5A5" joinstyle="miter"/>
            <v:imagedata o:title=""/>
            <o:lock v:ext="edit" aspectratio="f"/>
          </v:shape>
          <v:rect id="Rectangle 2" o:spid="_x0000_s2057" o:spt="1" style="position:absolute;left:1848;top:14616;height:375;width:427;" filled="f" stroked="t" coordsize="21600,21600" o:gfxdata="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SGpUpvQAA&#10;ANoAAAAPAAAAAAAAAAEAIAAAACIAAABkcnMvZG93bnJldi54bWxQSwECFAAUAAAACACHTuJAMy8F&#10;njsAAAA5AAAAEAAAAAAAAAABACAAAAAMAQAAZHJzL3NoYXBleG1sLnhtbFBLBQYAAAAABgAGAFsB&#10;AAC2AwAAAAA=&#10;">
            <v:path/>
            <v:fill on="f" focussize="0,0"/>
            <v:stroke color="#A5A5A5" joinstyle="miter"/>
            <v:imagedata o:title=""/>
            <o:lock v:ext="edit" aspectratio="f"/>
          </v:rect>
          <v:shape id="Zone de texte 3" o:spid="_x0000_s2058" o:spt="202" type="#_x0000_t202" style="position:absolute;left:1731;top:14639;height:330;width:660;" filled="f" stroked="f" coordsize="21600,21600" o:gfxdata="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bkjQbsAAADa&#10;AAAADwAAAAAAAAABACAAAAAiAAAAZHJzL2Rvd25yZXYueG1sUEsBAhQAFAAAAAgAh07iQDMvBZ47&#10;AAAAOQAAABAAAAAAAAAAAQAgAAAACgEAAGRycy9zaGFwZXhtbC54bWxQSwUGAAAAAAYABgBbAQAA&#10;tAMAAAAA&#10;">
            <v:path/>
            <v:fill on="f" focussize="0,0"/>
            <v:stroke on="f"/>
            <v:imagedata o:title=""/>
            <o:lock v:ext="edit" aspectratio="f"/>
            <v:textbox inset="0mm,0.762mm,0mm,0mm">
              <w:txbxContent>
                <w:p>
                  <w:pPr>
                    <w:jc w:val="center"/>
                    <w:rPr>
                      <w:color w:val="17365D"/>
                      <w:sz w:val="16"/>
                      <w:szCs w:val="16"/>
                    </w:rPr>
                  </w:pPr>
                  <w:r>
                    <w:fldChar w:fldCharType="begin"/>
                  </w:r>
                  <w:r>
                    <w:instrText xml:space="preserve">PAGE   \* MERGEFORMAT</w:instrText>
                  </w:r>
                  <w:r>
                    <w:fldChar w:fldCharType="separate"/>
                  </w:r>
                  <w:r>
                    <w:rPr>
                      <w:color w:val="17365D"/>
                      <w:sz w:val="16"/>
                      <w:szCs w:val="16"/>
                    </w:rPr>
                    <w:t>39</w:t>
                  </w:r>
                  <w:r>
                    <w:rPr>
                      <w:color w:val="17365D"/>
                      <w:sz w:val="16"/>
                      <w:szCs w:val="16"/>
                    </w:rPr>
                    <w:fldChar w:fldCharType="end"/>
                  </w:r>
                </w:p>
              </w:txbxContent>
            </v:textbox>
          </v:shape>
          <v:group id="Grouper 8" o:spid="_x0000_s2061" o:spt="203" style="position:absolute;left:1783;top:14647;height:314;width:562;" coordorigin="1715,14936" coordsize="672,376" o:gfxdata="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mvPm5boAAADaAAAADwAAAAAAAAABACAAAAAiAAAAZHJzL2Rvd25yZXYueG1sUEsB&#10;AhQAFAAAAAgAh07iQDMvBZ47AAAAOQAAABUAAAAAAAAAAQAgAAAACQEAAGRycy9ncm91cHNoYXBl&#10;eG1sLnhtbFBLBQYAAAAABgAGAGABAADGAwAAAAA=&#10;">
            <o:lock v:ext="edit" aspectratio="f"/>
            <v:shape id="Forme libre 4" o:spid="_x0000_s2059" style="position:absolute;left:1792;top:14859;height:530;width:375;rotation:-5898240f;" filled="f" stroked="t" coordsize="21600,21600" o:gfxdata="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vFUob4A&#10;AADbAAAADwAAAAAAAAABACAAAAAiAAAAZHJzL2Rvd25yZXYueG1sUEsBAhQAFAAAAAgAh07iQDMv&#10;BZ47AAAAOQAAABAAAAAAAAAAAQAgAAAADQEAAGRycy9zaGFwZXhtbC54bWxQSwUGAAAAAAYABgBb&#10;AQAAtwMAAAAA&#10;" path="m0,0l5400,21600,16200,21600,21600,0,0,0xe">
              <v:path o:connectlocs="328,265;188,530;47,265;188,0" o:connectangles="0,0,0,0"/>
              <v:fill on="f" focussize="0,0"/>
              <v:stroke color="#A5A5A5" joinstyle="miter"/>
              <v:imagedata o:title=""/>
              <o:lock v:ext="edit" aspectratio="f"/>
            </v:shape>
            <v:shape id="Forme libre 5" o:spid="_x0000_s2060" style="position:absolute;left:1934;top:14858;flip:x;height:530;width:375;rotation:-5898240f;" filled="f" stroked="t" coordsize="21600,21600" o:gfxdata="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dzlTC5AAAA2wAA&#10;AA8AAAAAAAAAAQAgAAAAIgAAAGRycy9kb3ducmV2LnhtbFBLAQIUABQAAAAIAIdO4kAzLwWeOwAA&#10;ADkAAAAQAAAAAAAAAAEAIAAAAAgBAABkcnMvc2hhcGV4bWwueG1sUEsFBgAAAAAGAAYAWwEAALID&#10;AAAAAA==&#10;" path="m0,0l5400,21600,16200,21600,21600,0,0,0xe">
              <v:path o:connectlocs="328,265;188,530;47,265;188,0" o:connectangles="0,0,0,0"/>
              <v:fill on="f" focussize="0,0"/>
              <v:stroke color="#A5A5A5" joinstyle="miter"/>
              <v:imagedata o:title=""/>
              <o:lock v:ext="edit" aspectratio="f"/>
            </v:shape>
          </v:group>
          <w10:wrap type="tight"/>
        </v:group>
      </w:pict>
    </w:r>
    <w:r>
      <w:rPr>
        <w:rFonts w:ascii="Times New Roman"/>
        <w:sz w:val="18"/>
        <w:lang w:val="en-US"/>
      </w:rPr>
      <w:t>Health Sci. Dis: Vol 2</w:t>
    </w:r>
    <w:r>
      <w:rPr>
        <w:rFonts w:hint="default" w:ascii="Times New Roman"/>
        <w:sz w:val="18"/>
        <w:lang w:val="fr-FR"/>
      </w:rPr>
      <w:t>2</w:t>
    </w:r>
    <w:r>
      <w:rPr>
        <w:rFonts w:ascii="Times New Roman"/>
        <w:sz w:val="18"/>
        <w:lang w:val="en-US"/>
      </w:rPr>
      <w:t xml:space="preserve"> (</w:t>
    </w:r>
    <w:r>
      <w:rPr>
        <w:rFonts w:hint="default" w:ascii="Times New Roman"/>
        <w:sz w:val="18"/>
        <w:lang w:val="fr-FR"/>
      </w:rPr>
      <w:t>3</w:t>
    </w:r>
    <w:r>
      <w:rPr>
        <w:rFonts w:ascii="Times New Roman"/>
        <w:sz w:val="18"/>
        <w:lang w:val="en-US"/>
      </w:rPr>
      <w:t>)</w:t>
    </w:r>
    <w:r>
      <w:rPr>
        <w:rFonts w:hint="default" w:ascii="Times New Roman"/>
        <w:sz w:val="18"/>
        <w:lang w:val="fr-FR"/>
      </w:rPr>
      <w:t xml:space="preserve"> March</w:t>
    </w:r>
    <w:r>
      <w:rPr>
        <w:rFonts w:ascii="Times New Roman"/>
        <w:sz w:val="18"/>
        <w:lang w:val="en-US"/>
      </w:rPr>
      <w:t xml:space="preserve"> 202</w:t>
    </w:r>
    <w:r>
      <w:rPr>
        <w:rFonts w:hint="default" w:ascii="Times New Roman"/>
        <w:sz w:val="18"/>
        <w:lang w:val="fr-FR"/>
      </w:rPr>
      <w:t>1</w:t>
    </w:r>
  </w:p>
  <w:p>
    <w:pPr>
      <w:pStyle w:val="2"/>
      <w:tabs>
        <w:tab w:val="left" w:pos="3008"/>
      </w:tabs>
    </w:pPr>
    <w:r>
      <w:rPr>
        <w:rFonts w:ascii="Times New Roman"/>
        <w:sz w:val="18"/>
        <w:lang w:val="en-US"/>
      </w:rPr>
      <w:t xml:space="preserve">Available free at </w:t>
    </w:r>
    <w:r>
      <w:fldChar w:fldCharType="begin"/>
    </w:r>
    <w:r>
      <w:instrText xml:space="preserve"> HYPERLINK "http://www.hsd-fmsb.org" </w:instrText>
    </w:r>
    <w:r>
      <w:fldChar w:fldCharType="separate"/>
    </w:r>
    <w:r>
      <w:rPr>
        <w:rStyle w:val="5"/>
        <w:rFonts w:ascii="Times New Roman"/>
        <w:sz w:val="18"/>
        <w:lang w:val="en-US"/>
      </w:rPr>
      <w:t>www.hsd-fmsb.org</w:t>
    </w:r>
    <w:r>
      <w:rPr>
        <w:rStyle w:val="5"/>
        <w:rFonts w:ascii="Times New Roman"/>
        <w:sz w:val="18"/>
        <w:lang w:val="en-US"/>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40" w:lineRule="auto"/>
      <w:rPr>
        <w:rFonts w:ascii="Times New Roman" w:hAnsi="Times New Roman"/>
        <w:i/>
        <w:sz w:val="20"/>
      </w:rPr>
    </w:pPr>
    <w:r>
      <w:rPr>
        <w:rFonts w:hint="default" w:ascii="Times New Roman" w:hAnsi="Times New Roman"/>
        <w:sz w:val="20"/>
        <w:lang w:val="fr-FR"/>
      </w:rPr>
      <w:t>Prise en charge d’un abcès parodontal chez un patient diabétique et hypertendu</w:t>
    </w:r>
    <w:r>
      <w:rPr>
        <w:rFonts w:hint="default" w:ascii="Times New Roman" w:hAnsi="Times New Roman"/>
        <w:sz w:val="20"/>
        <w:lang w:val="fr-FR"/>
      </w:rPr>
      <w:tab/>
    </w:r>
    <w:r>
      <w:rPr>
        <w:rFonts w:hint="default" w:ascii="Times New Roman" w:hAnsi="Times New Roman"/>
        <w:sz w:val="20"/>
        <w:lang w:val="fr-FR"/>
      </w:rPr>
      <w:tab/>
    </w:r>
    <w:r>
      <w:rPr>
        <w:rFonts w:hint="default" w:ascii="Times New Roman" w:hAnsi="Times New Roman"/>
        <w:sz w:val="20"/>
        <w:lang w:val="fr-FR"/>
      </w:rPr>
      <w:tab/>
    </w:r>
    <w:r>
      <w:rPr>
        <w:rFonts w:hint="default" w:ascii="Times New Roman" w:hAnsi="Times New Roman"/>
        <w:sz w:val="20"/>
        <w:lang w:val="fr-FR"/>
      </w:rPr>
      <w:t xml:space="preserve">           </w:t>
    </w:r>
    <w:r>
      <w:rPr>
        <w:rFonts w:hint="default" w:ascii="Times New Roman" w:hAnsi="Times New Roman"/>
        <w:i/>
        <w:sz w:val="20"/>
        <w:lang w:val="fr-FR"/>
      </w:rPr>
      <w:t xml:space="preserve">Essama Eno </w:t>
    </w:r>
    <w:r>
      <w:rPr>
        <w:rFonts w:ascii="Times New Roman" w:hAnsi="Times New Roman"/>
        <w:i/>
        <w:sz w:val="20"/>
      </w:rPr>
      <w:t>et al</w:t>
    </w:r>
  </w:p>
  <w:p>
    <w:pPr>
      <w:spacing w:after="120" w:line="240" w:lineRule="auto"/>
    </w:pPr>
    <w:r>
      <w:rPr>
        <w:rFonts w:ascii="Times New Roman" w:hAnsi="Times New Roman"/>
        <w:i/>
        <w:sz w:val="20"/>
      </w:rPr>
      <w:t>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A2D30"/>
    <w:multiLevelType w:val="multilevel"/>
    <w:tmpl w:val="4B8A2D30"/>
    <w:lvl w:ilvl="0" w:tentative="0">
      <w:start w:val="1"/>
      <w:numFmt w:val="decimal"/>
      <w:lvlText w:val="%1-"/>
      <w:lvlJc w:val="left"/>
      <w:pPr>
        <w:ind w:left="643"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749674A8"/>
    <w:multiLevelType w:val="multilevel"/>
    <w:tmpl w:val="749674A8"/>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cumentProtection w:enforcement="0"/>
  <w:defaultTabStop w:val="720"/>
  <w:hyphenationZone w:val="425"/>
  <w:characterSpacingControl w:val="doNotCompress"/>
  <w:hdrShapeDefaults>
    <o:shapelayout v:ext="edit">
      <o:idmap v:ext="edit" data="2"/>
    </o:shapelayout>
  </w:hdrShapeDefaults>
  <w:compat>
    <w:compatSetting w:name="compatibilityMode" w:uri="http://schemas.microsoft.com/office/word" w:val="12"/>
  </w:compat>
  <w:rsids>
    <w:rsidRoot w:val="00967973"/>
    <w:rsid w:val="00002763"/>
    <w:rsid w:val="000132CD"/>
    <w:rsid w:val="0004359B"/>
    <w:rsid w:val="00075354"/>
    <w:rsid w:val="00080546"/>
    <w:rsid w:val="000A7B36"/>
    <w:rsid w:val="000C54E8"/>
    <w:rsid w:val="000E289B"/>
    <w:rsid w:val="000F4A31"/>
    <w:rsid w:val="00117D3B"/>
    <w:rsid w:val="00130AEA"/>
    <w:rsid w:val="001351A9"/>
    <w:rsid w:val="0014256E"/>
    <w:rsid w:val="00146DEC"/>
    <w:rsid w:val="001563E7"/>
    <w:rsid w:val="00157B6C"/>
    <w:rsid w:val="00160877"/>
    <w:rsid w:val="00161521"/>
    <w:rsid w:val="001622BE"/>
    <w:rsid w:val="00182A7E"/>
    <w:rsid w:val="001C1778"/>
    <w:rsid w:val="001E1270"/>
    <w:rsid w:val="001E5BDF"/>
    <w:rsid w:val="00203462"/>
    <w:rsid w:val="00205AA8"/>
    <w:rsid w:val="00240154"/>
    <w:rsid w:val="00247420"/>
    <w:rsid w:val="00251D7C"/>
    <w:rsid w:val="00257D9A"/>
    <w:rsid w:val="00260C2F"/>
    <w:rsid w:val="00283F6F"/>
    <w:rsid w:val="0028622B"/>
    <w:rsid w:val="00286B40"/>
    <w:rsid w:val="002A76E4"/>
    <w:rsid w:val="00307C39"/>
    <w:rsid w:val="0032501F"/>
    <w:rsid w:val="00332CBC"/>
    <w:rsid w:val="00333EFC"/>
    <w:rsid w:val="00366AB1"/>
    <w:rsid w:val="003837BA"/>
    <w:rsid w:val="003951EE"/>
    <w:rsid w:val="003B1691"/>
    <w:rsid w:val="003C7875"/>
    <w:rsid w:val="003E37BB"/>
    <w:rsid w:val="003F1A48"/>
    <w:rsid w:val="003F2775"/>
    <w:rsid w:val="003F7DD7"/>
    <w:rsid w:val="004009EB"/>
    <w:rsid w:val="00422DD5"/>
    <w:rsid w:val="00427D30"/>
    <w:rsid w:val="0043589A"/>
    <w:rsid w:val="00442C2F"/>
    <w:rsid w:val="004432A1"/>
    <w:rsid w:val="0045233E"/>
    <w:rsid w:val="00452598"/>
    <w:rsid w:val="00456D9D"/>
    <w:rsid w:val="00463CA2"/>
    <w:rsid w:val="0049106F"/>
    <w:rsid w:val="00494E47"/>
    <w:rsid w:val="004976F3"/>
    <w:rsid w:val="004C6F78"/>
    <w:rsid w:val="004D70D9"/>
    <w:rsid w:val="004E0DE7"/>
    <w:rsid w:val="004E76BB"/>
    <w:rsid w:val="004F7652"/>
    <w:rsid w:val="00505BB2"/>
    <w:rsid w:val="00514FA8"/>
    <w:rsid w:val="005177AF"/>
    <w:rsid w:val="0053787F"/>
    <w:rsid w:val="00585BB7"/>
    <w:rsid w:val="005869DD"/>
    <w:rsid w:val="005B54DD"/>
    <w:rsid w:val="005D1B23"/>
    <w:rsid w:val="005D4B2E"/>
    <w:rsid w:val="00627352"/>
    <w:rsid w:val="00633DF8"/>
    <w:rsid w:val="00634D99"/>
    <w:rsid w:val="00643B4B"/>
    <w:rsid w:val="0064746C"/>
    <w:rsid w:val="00654BDC"/>
    <w:rsid w:val="00655CD7"/>
    <w:rsid w:val="00672C80"/>
    <w:rsid w:val="006751DD"/>
    <w:rsid w:val="006841E6"/>
    <w:rsid w:val="00692C12"/>
    <w:rsid w:val="006A08F6"/>
    <w:rsid w:val="006B114F"/>
    <w:rsid w:val="006B57D8"/>
    <w:rsid w:val="006D4E19"/>
    <w:rsid w:val="00702DD1"/>
    <w:rsid w:val="00706230"/>
    <w:rsid w:val="00733ADE"/>
    <w:rsid w:val="00735512"/>
    <w:rsid w:val="007400D4"/>
    <w:rsid w:val="00740A0C"/>
    <w:rsid w:val="007567D8"/>
    <w:rsid w:val="00762AA0"/>
    <w:rsid w:val="00780404"/>
    <w:rsid w:val="00782266"/>
    <w:rsid w:val="00783524"/>
    <w:rsid w:val="00785EFA"/>
    <w:rsid w:val="007E0A6C"/>
    <w:rsid w:val="007E3488"/>
    <w:rsid w:val="008021A7"/>
    <w:rsid w:val="00814824"/>
    <w:rsid w:val="00816855"/>
    <w:rsid w:val="0082414F"/>
    <w:rsid w:val="00840586"/>
    <w:rsid w:val="0089122D"/>
    <w:rsid w:val="00895E80"/>
    <w:rsid w:val="008B128B"/>
    <w:rsid w:val="008B7C42"/>
    <w:rsid w:val="008D4399"/>
    <w:rsid w:val="008E03D9"/>
    <w:rsid w:val="008F0845"/>
    <w:rsid w:val="008F3343"/>
    <w:rsid w:val="008F641D"/>
    <w:rsid w:val="00904688"/>
    <w:rsid w:val="00912B58"/>
    <w:rsid w:val="00922EAB"/>
    <w:rsid w:val="00931627"/>
    <w:rsid w:val="00956FF1"/>
    <w:rsid w:val="00961FCE"/>
    <w:rsid w:val="00963595"/>
    <w:rsid w:val="00963792"/>
    <w:rsid w:val="009650ED"/>
    <w:rsid w:val="00967973"/>
    <w:rsid w:val="00967C46"/>
    <w:rsid w:val="009826A0"/>
    <w:rsid w:val="009928C8"/>
    <w:rsid w:val="00993C94"/>
    <w:rsid w:val="00994A86"/>
    <w:rsid w:val="009A25E2"/>
    <w:rsid w:val="009A748B"/>
    <w:rsid w:val="009D057D"/>
    <w:rsid w:val="009D425A"/>
    <w:rsid w:val="009E1317"/>
    <w:rsid w:val="009E417F"/>
    <w:rsid w:val="009F3439"/>
    <w:rsid w:val="009F40BF"/>
    <w:rsid w:val="00A118D8"/>
    <w:rsid w:val="00A2628E"/>
    <w:rsid w:val="00A5227A"/>
    <w:rsid w:val="00A56C84"/>
    <w:rsid w:val="00A634D8"/>
    <w:rsid w:val="00A72C1C"/>
    <w:rsid w:val="00AB5004"/>
    <w:rsid w:val="00B155D5"/>
    <w:rsid w:val="00B61DFD"/>
    <w:rsid w:val="00B62504"/>
    <w:rsid w:val="00B629F6"/>
    <w:rsid w:val="00B65D86"/>
    <w:rsid w:val="00B70945"/>
    <w:rsid w:val="00B71326"/>
    <w:rsid w:val="00B72640"/>
    <w:rsid w:val="00B74A0D"/>
    <w:rsid w:val="00B8388A"/>
    <w:rsid w:val="00BA185A"/>
    <w:rsid w:val="00BC213F"/>
    <w:rsid w:val="00BD2924"/>
    <w:rsid w:val="00C04396"/>
    <w:rsid w:val="00C12274"/>
    <w:rsid w:val="00C202A6"/>
    <w:rsid w:val="00C4200D"/>
    <w:rsid w:val="00C6311E"/>
    <w:rsid w:val="00C64CF9"/>
    <w:rsid w:val="00C651A4"/>
    <w:rsid w:val="00C82ACD"/>
    <w:rsid w:val="00CC2AE3"/>
    <w:rsid w:val="00CD05C7"/>
    <w:rsid w:val="00CE296E"/>
    <w:rsid w:val="00CE4509"/>
    <w:rsid w:val="00CE685B"/>
    <w:rsid w:val="00D05DAD"/>
    <w:rsid w:val="00D07CAE"/>
    <w:rsid w:val="00D20513"/>
    <w:rsid w:val="00D465EF"/>
    <w:rsid w:val="00D921A3"/>
    <w:rsid w:val="00D92968"/>
    <w:rsid w:val="00D96982"/>
    <w:rsid w:val="00DA419B"/>
    <w:rsid w:val="00DA6BDE"/>
    <w:rsid w:val="00DE00FA"/>
    <w:rsid w:val="00DF2B2C"/>
    <w:rsid w:val="00DF56E1"/>
    <w:rsid w:val="00E012D1"/>
    <w:rsid w:val="00E24C78"/>
    <w:rsid w:val="00E45A3E"/>
    <w:rsid w:val="00E62155"/>
    <w:rsid w:val="00E92308"/>
    <w:rsid w:val="00EA1B01"/>
    <w:rsid w:val="00EC3CE6"/>
    <w:rsid w:val="00ED2BE1"/>
    <w:rsid w:val="00EE1DEF"/>
    <w:rsid w:val="00F00EDA"/>
    <w:rsid w:val="00F243EB"/>
    <w:rsid w:val="00F25CFB"/>
    <w:rsid w:val="00F40305"/>
    <w:rsid w:val="00F40741"/>
    <w:rsid w:val="00F60C63"/>
    <w:rsid w:val="00F7635A"/>
    <w:rsid w:val="00F87219"/>
    <w:rsid w:val="00F9424B"/>
    <w:rsid w:val="00FA1D65"/>
    <w:rsid w:val="00FB0D6E"/>
    <w:rsid w:val="00FC179C"/>
    <w:rsid w:val="00FD03E3"/>
    <w:rsid w:val="19CA33A9"/>
    <w:rsid w:val="51693645"/>
    <w:rsid w:val="71534447"/>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Balloon Text"/>
    <w:lsdException w:qFormat="1" w:unhideWhenUsed="0" w:uiPriority="34"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4">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uiPriority w:val="99"/>
    <w:pPr>
      <w:tabs>
        <w:tab w:val="center" w:pos="4536"/>
        <w:tab w:val="right" w:pos="9072"/>
      </w:tabs>
      <w:spacing w:after="0" w:line="240" w:lineRule="auto"/>
    </w:pPr>
  </w:style>
  <w:style w:type="paragraph" w:styleId="3">
    <w:name w:val="header"/>
    <w:basedOn w:val="1"/>
    <w:link w:val="8"/>
    <w:unhideWhenUsed/>
    <w:qFormat/>
    <w:uiPriority w:val="99"/>
    <w:pPr>
      <w:tabs>
        <w:tab w:val="center" w:pos="4536"/>
        <w:tab w:val="right" w:pos="9072"/>
      </w:tabs>
      <w:spacing w:after="0" w:line="240" w:lineRule="auto"/>
    </w:pPr>
  </w:style>
  <w:style w:type="character" w:styleId="5">
    <w:name w:val="Hyperlink"/>
    <w:basedOn w:val="4"/>
    <w:unhideWhenUsed/>
    <w:uiPriority w:val="99"/>
    <w:rPr>
      <w:color w:val="0563C1" w:themeColor="hyperlink"/>
      <w:u w:val="single"/>
    </w:rPr>
  </w:style>
  <w:style w:type="paragraph" w:styleId="7">
    <w:name w:val="List Paragraph"/>
    <w:basedOn w:val="1"/>
    <w:qFormat/>
    <w:uiPriority w:val="34"/>
    <w:pPr>
      <w:ind w:left="720"/>
      <w:contextualSpacing/>
    </w:pPr>
  </w:style>
  <w:style w:type="character" w:customStyle="1" w:styleId="8">
    <w:name w:val="En-tête Car"/>
    <w:basedOn w:val="4"/>
    <w:link w:val="3"/>
    <w:qFormat/>
    <w:uiPriority w:val="99"/>
  </w:style>
  <w:style w:type="character" w:customStyle="1" w:styleId="9">
    <w:name w:val="Pied de page Car"/>
    <w:basedOn w:val="4"/>
    <w:link w:val="2"/>
    <w:uiPriority w:val="99"/>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6"/>
    <customShpInfo spid="_x0000_s2057"/>
    <customShpInfo spid="_x0000_s2058"/>
    <customShpInfo spid="_x0000_s2059"/>
    <customShpInfo spid="_x0000_s2060"/>
    <customShpInfo spid="_x0000_s2061"/>
    <customShpInfo spid="_x0000_s2062"/>
    <customShpInfo spid="_x0000_s1028"/>
    <customShpInfo spid="_x0000_s1030"/>
    <customShpInfo spid="_x0000_s1031"/>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2252</Words>
  <Characters>12389</Characters>
  <Lines>103</Lines>
  <Paragraphs>29</Paragraphs>
  <TotalTime>73</TotalTime>
  <ScaleCrop>false</ScaleCrop>
  <LinksUpToDate>false</LinksUpToDate>
  <CharactersWithSpaces>14612</CharactersWithSpaces>
  <Application>WPS Office_11.2.0.8970_F1E327BC-269C-435d-A152-05C5408002CA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2021-02-03T09:56:00Z</dcterms:created>
  <dc:creator>lawrence</dc:creator>
  <cp:lastModifiedBy>user</cp:lastModifiedBy>
  <cp:lastPrinted>2021-02-03T06:55:00Z</cp:lastPrinted>
  <dcterms:modified xsi:type="dcterms:W3CDTF">2021-02-23T05:30:34Z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1036-11.2.0.8970</vt:lpwstr>
  </property>
</Properties>
</file>