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7E" w:rsidRPr="00C73C7E" w:rsidRDefault="00A75D4C" w:rsidP="00A27146">
      <w:pPr>
        <w:spacing w:after="120"/>
        <w:jc w:val="both"/>
        <w:rPr>
          <w:noProof/>
          <w:szCs w:val="20"/>
        </w:rPr>
      </w:pPr>
      <w:r>
        <w:rPr>
          <w:noProof/>
          <w:szCs w:val="20"/>
        </w:rPr>
        <w:t>Evaluation de l</w:t>
      </w:r>
      <w:r w:rsidR="00C978BA">
        <w:rPr>
          <w:noProof/>
          <w:szCs w:val="20"/>
        </w:rPr>
        <w:t>a prise en charge de la douleur</w:t>
      </w:r>
      <w:r>
        <w:rPr>
          <w:noProof/>
          <w:szCs w:val="20"/>
        </w:rPr>
        <w:tab/>
      </w:r>
      <w:r w:rsidR="004B6AE0">
        <w:rPr>
          <w:noProof/>
          <w:szCs w:val="20"/>
        </w:rPr>
        <w:tab/>
      </w:r>
      <w:r w:rsidR="004B6AE0">
        <w:rPr>
          <w:noProof/>
          <w:szCs w:val="20"/>
        </w:rPr>
        <w:tab/>
      </w:r>
      <w:r w:rsidR="004B6AE0">
        <w:rPr>
          <w:noProof/>
          <w:szCs w:val="20"/>
        </w:rPr>
        <w:tab/>
      </w:r>
      <w:r w:rsidR="00C978BA">
        <w:rPr>
          <w:noProof/>
          <w:szCs w:val="20"/>
        </w:rPr>
        <w:t xml:space="preserve">    </w:t>
      </w:r>
      <w:r>
        <w:rPr>
          <w:noProof/>
          <w:szCs w:val="20"/>
        </w:rPr>
        <w:t>Bengono Bengono R</w:t>
      </w:r>
      <w:r w:rsidR="00C73C7E" w:rsidRPr="00C73C7E">
        <w:rPr>
          <w:noProof/>
          <w:szCs w:val="20"/>
        </w:rPr>
        <w:t xml:space="preserve"> et al</w:t>
      </w:r>
    </w:p>
    <w:p w:rsidR="00C73C7E" w:rsidRDefault="00C73C7E" w:rsidP="004B6AE0">
      <w:pPr>
        <w:spacing w:before="120" w:after="120"/>
        <w:jc w:val="both"/>
        <w:rPr>
          <w:b/>
          <w:noProof/>
          <w:szCs w:val="20"/>
        </w:rPr>
      </w:pPr>
      <w:r>
        <w:rPr>
          <w:b/>
          <w:noProof/>
          <w:szCs w:val="20"/>
        </w:rPr>
        <w:t>_________________________________________________________________________________</w:t>
      </w:r>
    </w:p>
    <w:p w:rsidR="007D591B" w:rsidRPr="007D591B" w:rsidRDefault="007D591B" w:rsidP="00A27146">
      <w:pPr>
        <w:spacing w:after="120"/>
        <w:jc w:val="both"/>
        <w:rPr>
          <w:b/>
          <w:bCs/>
          <w:sz w:val="20"/>
          <w:szCs w:val="20"/>
        </w:rPr>
      </w:pPr>
      <w:r>
        <w:rPr>
          <w:noProof/>
          <w:lang w:eastAsia="fr-FR"/>
        </w:rPr>
        <w:drawing>
          <wp:anchor distT="0" distB="0" distL="114300" distR="114300" simplePos="0" relativeHeight="251660288" behindDoc="1" locked="0" layoutInCell="1" allowOverlap="1">
            <wp:simplePos x="0" y="0"/>
            <wp:positionH relativeFrom="column">
              <wp:posOffset>-46990</wp:posOffset>
            </wp:positionH>
            <wp:positionV relativeFrom="paragraph">
              <wp:posOffset>-46990</wp:posOffset>
            </wp:positionV>
            <wp:extent cx="6296025" cy="631190"/>
            <wp:effectExtent l="0" t="0" r="9525" b="0"/>
            <wp:wrapTight wrapText="bothSides">
              <wp:wrapPolygon edited="0">
                <wp:start x="0" y="0"/>
                <wp:lineTo x="0" y="20861"/>
                <wp:lineTo x="21567" y="20861"/>
                <wp:lineTo x="21567" y="0"/>
                <wp:lineTo x="0" y="0"/>
              </wp:wrapPolygon>
            </wp:wrapTight>
            <wp:docPr id="2" name="Image 1" descr="Home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omepage Header"/>
                    <pic:cNvPicPr>
                      <a:picLocks noChangeAspect="1" noChangeArrowheads="1"/>
                    </pic:cNvPicPr>
                  </pic:nvPicPr>
                  <pic:blipFill>
                    <a:blip r:embed="rId6" cstate="print">
                      <a:extLst>
                        <a:ext uri="{28A0092B-C50C-407E-A947-70E740481C1C}">
                          <a14:useLocalDpi xmlns:a14="http://schemas.microsoft.com/office/drawing/2010/main" val="0"/>
                        </a:ext>
                      </a:extLst>
                    </a:blip>
                    <a:srcRect t="4517" b="12903"/>
                    <a:stretch>
                      <a:fillRect/>
                    </a:stretch>
                  </pic:blipFill>
                  <pic:spPr bwMode="auto">
                    <a:xfrm>
                      <a:off x="0" y="0"/>
                      <a:ext cx="6296025" cy="631190"/>
                    </a:xfrm>
                    <a:prstGeom prst="rect">
                      <a:avLst/>
                    </a:prstGeom>
                    <a:noFill/>
                  </pic:spPr>
                </pic:pic>
              </a:graphicData>
            </a:graphic>
          </wp:anchor>
        </w:drawing>
      </w:r>
      <w:r>
        <w:rPr>
          <w:b/>
          <w:noProof/>
          <w:szCs w:val="20"/>
        </w:rPr>
        <w:t>Article original</w:t>
      </w:r>
    </w:p>
    <w:p w:rsidR="00D42C85" w:rsidRPr="00D42C85" w:rsidRDefault="00A75D4C" w:rsidP="00A75D4C">
      <w:pPr>
        <w:spacing w:after="160" w:line="259" w:lineRule="auto"/>
        <w:jc w:val="center"/>
        <w:rPr>
          <w:b/>
          <w:sz w:val="28"/>
          <w:szCs w:val="28"/>
        </w:rPr>
      </w:pPr>
      <w:r w:rsidRPr="00A75D4C">
        <w:rPr>
          <w:b/>
          <w:sz w:val="28"/>
          <w:szCs w:val="28"/>
        </w:rPr>
        <w:t xml:space="preserve">Évaluation de la Prise en Charge Médicamenteuse de la Douleur Chronique </w:t>
      </w:r>
    </w:p>
    <w:p w:rsidR="005743F4" w:rsidRPr="00A75D4C" w:rsidRDefault="00A75D4C" w:rsidP="00A75D4C">
      <w:pPr>
        <w:jc w:val="center"/>
        <w:rPr>
          <w:b/>
          <w:color w:val="0070C0"/>
          <w:lang w:val="en-GB"/>
        </w:rPr>
      </w:pPr>
      <w:r w:rsidRPr="00A75D4C">
        <w:rPr>
          <w:b/>
          <w:color w:val="0070C0"/>
          <w:lang w:val="en-GB"/>
        </w:rPr>
        <w:t>Assessment of the Pharmacological Management of Chronic Pain</w:t>
      </w:r>
    </w:p>
    <w:p w:rsidR="005743F4" w:rsidRDefault="005743F4" w:rsidP="005743F4">
      <w:pPr>
        <w:jc w:val="center"/>
        <w:rPr>
          <w:b/>
          <w:lang w:val="en-CA"/>
        </w:rPr>
      </w:pPr>
    </w:p>
    <w:p w:rsidR="007D591B" w:rsidRPr="00A75D4C" w:rsidRDefault="00A75D4C" w:rsidP="00A75D4C">
      <w:pPr>
        <w:jc w:val="center"/>
        <w:rPr>
          <w:b/>
          <w:lang w:val="en-GB"/>
        </w:rPr>
      </w:pPr>
      <w:proofErr w:type="spellStart"/>
      <w:r w:rsidRPr="00A75D4C">
        <w:rPr>
          <w:b/>
          <w:lang w:val="en-GB"/>
        </w:rPr>
        <w:t>Bengono</w:t>
      </w:r>
      <w:proofErr w:type="spellEnd"/>
      <w:r w:rsidRPr="00A75D4C">
        <w:rPr>
          <w:b/>
          <w:lang w:val="en-GB"/>
        </w:rPr>
        <w:t xml:space="preserve"> </w:t>
      </w:r>
      <w:proofErr w:type="spellStart"/>
      <w:r w:rsidRPr="00A75D4C">
        <w:rPr>
          <w:b/>
          <w:lang w:val="en-GB"/>
        </w:rPr>
        <w:t>Bengono</w:t>
      </w:r>
      <w:proofErr w:type="spellEnd"/>
      <w:r w:rsidRPr="00A75D4C">
        <w:rPr>
          <w:b/>
          <w:lang w:val="en-GB"/>
        </w:rPr>
        <w:t>. R</w:t>
      </w:r>
      <w:r w:rsidRPr="00A75D4C">
        <w:rPr>
          <w:b/>
          <w:vertAlign w:val="superscript"/>
          <w:lang w:val="en-GB"/>
        </w:rPr>
        <w:t>1</w:t>
      </w:r>
      <w:r w:rsidRPr="00A75D4C">
        <w:rPr>
          <w:b/>
          <w:lang w:val="en-GB"/>
        </w:rPr>
        <w:t xml:space="preserve">, </w:t>
      </w:r>
      <w:proofErr w:type="spellStart"/>
      <w:r w:rsidRPr="00A75D4C">
        <w:rPr>
          <w:b/>
          <w:lang w:val="en-GB"/>
        </w:rPr>
        <w:t>Amengle</w:t>
      </w:r>
      <w:proofErr w:type="spellEnd"/>
      <w:r w:rsidRPr="00A75D4C">
        <w:rPr>
          <w:b/>
          <w:lang w:val="en-GB"/>
        </w:rPr>
        <w:t xml:space="preserve"> A.L</w:t>
      </w:r>
      <w:r w:rsidRPr="00A75D4C">
        <w:rPr>
          <w:b/>
          <w:vertAlign w:val="superscript"/>
          <w:lang w:val="en-GB"/>
        </w:rPr>
        <w:t>1</w:t>
      </w:r>
      <w:r w:rsidRPr="00A75D4C">
        <w:rPr>
          <w:b/>
          <w:lang w:val="en-GB"/>
        </w:rPr>
        <w:t xml:space="preserve">, </w:t>
      </w:r>
      <w:proofErr w:type="spellStart"/>
      <w:r w:rsidRPr="00A75D4C">
        <w:rPr>
          <w:b/>
          <w:lang w:val="en-GB"/>
        </w:rPr>
        <w:t>Metogo</w:t>
      </w:r>
      <w:proofErr w:type="spellEnd"/>
      <w:r w:rsidRPr="00A75D4C">
        <w:rPr>
          <w:b/>
          <w:lang w:val="en-GB"/>
        </w:rPr>
        <w:t xml:space="preserve"> </w:t>
      </w:r>
      <w:proofErr w:type="spellStart"/>
      <w:r w:rsidRPr="00A75D4C">
        <w:rPr>
          <w:b/>
          <w:lang w:val="en-GB"/>
        </w:rPr>
        <w:t>Mbengono</w:t>
      </w:r>
      <w:proofErr w:type="spellEnd"/>
      <w:r w:rsidRPr="00A75D4C">
        <w:rPr>
          <w:b/>
          <w:lang w:val="en-GB"/>
        </w:rPr>
        <w:t xml:space="preserve"> J.A</w:t>
      </w:r>
      <w:r w:rsidRPr="00A75D4C">
        <w:rPr>
          <w:b/>
          <w:vertAlign w:val="superscript"/>
          <w:lang w:val="en-GB"/>
        </w:rPr>
        <w:t>1</w:t>
      </w:r>
      <w:r w:rsidRPr="00A75D4C">
        <w:rPr>
          <w:b/>
          <w:lang w:val="en-GB"/>
        </w:rPr>
        <w:t xml:space="preserve">, </w:t>
      </w:r>
      <w:proofErr w:type="spellStart"/>
      <w:r w:rsidRPr="00A75D4C">
        <w:rPr>
          <w:b/>
          <w:lang w:val="en-GB"/>
        </w:rPr>
        <w:t>Mbida</w:t>
      </w:r>
      <w:proofErr w:type="spellEnd"/>
      <w:r w:rsidRPr="00A75D4C">
        <w:rPr>
          <w:b/>
          <w:lang w:val="en-GB"/>
        </w:rPr>
        <w:t xml:space="preserve"> G</w:t>
      </w:r>
      <w:r w:rsidRPr="00A75D4C">
        <w:rPr>
          <w:b/>
          <w:vertAlign w:val="superscript"/>
          <w:lang w:val="en-GB"/>
        </w:rPr>
        <w:t>1</w:t>
      </w:r>
      <w:r w:rsidRPr="00A75D4C">
        <w:rPr>
          <w:b/>
          <w:lang w:val="en-GB"/>
        </w:rPr>
        <w:t xml:space="preserve">, </w:t>
      </w:r>
      <w:proofErr w:type="spellStart"/>
      <w:r w:rsidRPr="00A75D4C">
        <w:rPr>
          <w:b/>
          <w:lang w:val="en-GB"/>
        </w:rPr>
        <w:t>Ndikontar</w:t>
      </w:r>
      <w:proofErr w:type="spellEnd"/>
      <w:r w:rsidRPr="00A75D4C">
        <w:rPr>
          <w:b/>
          <w:lang w:val="en-GB"/>
        </w:rPr>
        <w:t xml:space="preserve"> R</w:t>
      </w:r>
      <w:r w:rsidRPr="00A75D4C">
        <w:rPr>
          <w:b/>
          <w:vertAlign w:val="superscript"/>
          <w:lang w:val="en-GB"/>
        </w:rPr>
        <w:t>1</w:t>
      </w:r>
      <w:r w:rsidRPr="00A75D4C">
        <w:rPr>
          <w:b/>
          <w:lang w:val="en-GB"/>
        </w:rPr>
        <w:t xml:space="preserve">, </w:t>
      </w:r>
      <w:proofErr w:type="spellStart"/>
      <w:r w:rsidRPr="00A75D4C">
        <w:rPr>
          <w:b/>
          <w:lang w:val="en-GB"/>
        </w:rPr>
        <w:t>Nnanga</w:t>
      </w:r>
      <w:proofErr w:type="spellEnd"/>
      <w:r w:rsidRPr="00A75D4C">
        <w:rPr>
          <w:b/>
          <w:lang w:val="en-GB"/>
        </w:rPr>
        <w:t xml:space="preserve"> Nga</w:t>
      </w:r>
      <w:r w:rsidRPr="00A75D4C">
        <w:rPr>
          <w:b/>
          <w:vertAlign w:val="superscript"/>
          <w:lang w:val="en-GB"/>
        </w:rPr>
        <w:t>2</w:t>
      </w:r>
      <w:r w:rsidRPr="00A75D4C">
        <w:rPr>
          <w:b/>
          <w:lang w:val="en-GB"/>
        </w:rPr>
        <w:t xml:space="preserve">, </w:t>
      </w:r>
      <w:proofErr w:type="spellStart"/>
      <w:r w:rsidRPr="00A75D4C">
        <w:rPr>
          <w:b/>
          <w:lang w:val="en-GB"/>
        </w:rPr>
        <w:t>Ze</w:t>
      </w:r>
      <w:proofErr w:type="spellEnd"/>
      <w:r w:rsidRPr="00A75D4C">
        <w:rPr>
          <w:b/>
          <w:lang w:val="en-GB"/>
        </w:rPr>
        <w:t xml:space="preserve"> </w:t>
      </w:r>
      <w:proofErr w:type="spellStart"/>
      <w:r w:rsidRPr="00A75D4C">
        <w:rPr>
          <w:b/>
          <w:lang w:val="en-GB"/>
        </w:rPr>
        <w:t>Minkande</w:t>
      </w:r>
      <w:proofErr w:type="spellEnd"/>
      <w:r w:rsidRPr="00A75D4C">
        <w:rPr>
          <w:b/>
          <w:lang w:val="en-GB"/>
        </w:rPr>
        <w:t xml:space="preserve"> J</w:t>
      </w:r>
      <w:r w:rsidRPr="00A75D4C">
        <w:rPr>
          <w:b/>
          <w:vertAlign w:val="superscript"/>
          <w:lang w:val="en-GB"/>
        </w:rPr>
        <w:t>1</w:t>
      </w:r>
      <w:r w:rsidRPr="00A75D4C">
        <w:rPr>
          <w:b/>
          <w:lang w:val="en-GB"/>
        </w:rPr>
        <w:t>.</w:t>
      </w:r>
    </w:p>
    <w:tbl>
      <w:tblPr>
        <w:tblW w:w="10173" w:type="dxa"/>
        <w:tblLook w:val="04A0" w:firstRow="1" w:lastRow="0" w:firstColumn="1" w:lastColumn="0" w:noHBand="0" w:noVBand="1"/>
      </w:tblPr>
      <w:tblGrid>
        <w:gridCol w:w="3227"/>
        <w:gridCol w:w="6946"/>
      </w:tblGrid>
      <w:tr w:rsidR="007D591B" w:rsidTr="000B24E4">
        <w:trPr>
          <w:trHeight w:val="98"/>
        </w:trPr>
        <w:tc>
          <w:tcPr>
            <w:tcW w:w="3227" w:type="dxa"/>
            <w:vMerge w:val="restart"/>
            <w:shd w:val="clear" w:color="auto" w:fill="D3DFEE"/>
            <w:hideMark/>
          </w:tcPr>
          <w:p w:rsidR="007D591B" w:rsidRPr="006E5A42" w:rsidRDefault="00B14523" w:rsidP="00B029BC">
            <w:pPr>
              <w:rPr>
                <w:b/>
                <w:bCs/>
                <w:color w:val="365F91"/>
                <w:sz w:val="18"/>
                <w:szCs w:val="18"/>
                <w:vertAlign w:val="superscript"/>
                <w:lang w:val="en-US"/>
              </w:rPr>
            </w:pPr>
            <w:r>
              <w:rPr>
                <w:noProof/>
                <w:sz w:val="22"/>
                <w:szCs w:val="22"/>
              </w:rPr>
              <w:pict>
                <v:shapetype id="_x0000_t202" coordsize="21600,21600" o:spt="202" path="m,l,21600r21600,l21600,xe">
                  <v:stroke joinstyle="miter"/>
                  <v:path gradientshapeok="t" o:connecttype="rect"/>
                </v:shapetype>
                <v:shape id="Zone de texte 9" o:spid="_x0000_s1026" type="#_x0000_t202" style="position:absolute;margin-left:-4.65pt;margin-top:9.65pt;width:151.15pt;height:38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" stroked="f">
                  <v:textbox style="mso-next-textbox:#Zone de texte 9">
                    <w:txbxContent>
                      <w:p w:rsidR="00EC1330" w:rsidRDefault="00EC1330" w:rsidP="000236DA">
                        <w:pPr>
                          <w:rPr>
                            <w:sz w:val="20"/>
                            <w:szCs w:val="20"/>
                          </w:rPr>
                        </w:pPr>
                        <w:r>
                          <w:rPr>
                            <w:sz w:val="20"/>
                            <w:szCs w:val="20"/>
                          </w:rPr>
                          <w:t>1-D</w:t>
                        </w:r>
                        <w:r w:rsidRPr="00480AFD">
                          <w:rPr>
                            <w:sz w:val="20"/>
                            <w:szCs w:val="20"/>
                          </w:rPr>
                          <w:t>épartement de Chirurgie et Spécialités, Faculté de Médecine et des Sciences Biomé</w:t>
                        </w:r>
                        <w:r>
                          <w:rPr>
                            <w:sz w:val="20"/>
                            <w:szCs w:val="20"/>
                          </w:rPr>
                          <w:t>dicales, Université de Yaoundé I, Cameroun</w:t>
                        </w:r>
                      </w:p>
                      <w:p w:rsidR="00EC1330" w:rsidRPr="00480AFD" w:rsidRDefault="00EC1330" w:rsidP="000236DA">
                        <w:pPr>
                          <w:rPr>
                            <w:sz w:val="20"/>
                            <w:szCs w:val="20"/>
                          </w:rPr>
                        </w:pPr>
                        <w:r>
                          <w:rPr>
                            <w:sz w:val="20"/>
                            <w:szCs w:val="20"/>
                          </w:rPr>
                          <w:t>2-</w:t>
                        </w:r>
                        <w:r w:rsidRPr="00480AFD">
                          <w:rPr>
                            <w:sz w:val="20"/>
                            <w:szCs w:val="20"/>
                          </w:rPr>
                          <w:t xml:space="preserve">Département de </w:t>
                        </w:r>
                        <w:proofErr w:type="spellStart"/>
                        <w:r>
                          <w:rPr>
                            <w:sz w:val="20"/>
                            <w:szCs w:val="20"/>
                          </w:rPr>
                          <w:t>Pharmacogalénique</w:t>
                        </w:r>
                        <w:proofErr w:type="spellEnd"/>
                        <w:r>
                          <w:rPr>
                            <w:sz w:val="20"/>
                            <w:szCs w:val="20"/>
                          </w:rPr>
                          <w:t xml:space="preserve"> et législation pharmaceutique</w:t>
                        </w:r>
                        <w:r w:rsidRPr="00480AFD">
                          <w:rPr>
                            <w:sz w:val="20"/>
                            <w:szCs w:val="20"/>
                          </w:rPr>
                          <w:t xml:space="preserve">, Faculté de Médecine et des Sciences Biomédicales, Université de Yaoundé </w:t>
                        </w:r>
                        <w:r>
                          <w:rPr>
                            <w:sz w:val="20"/>
                            <w:szCs w:val="20"/>
                          </w:rPr>
                          <w:t>I, Cameroun</w:t>
                        </w:r>
                      </w:p>
                      <w:p w:rsidR="00EC1330" w:rsidRPr="00870CAE" w:rsidRDefault="00EC1330" w:rsidP="000A16F6">
                        <w:pPr>
                          <w:rPr>
                            <w:sz w:val="20"/>
                            <w:szCs w:val="20"/>
                          </w:rPr>
                        </w:pPr>
                      </w:p>
                      <w:p w:rsidR="00EC1330" w:rsidRDefault="00EC1330" w:rsidP="007D591B">
                        <w:pPr>
                          <w:rPr>
                            <w:b/>
                            <w:color w:val="000000"/>
                            <w:sz w:val="18"/>
                            <w:szCs w:val="20"/>
                          </w:rPr>
                        </w:pPr>
                        <w:r>
                          <w:rPr>
                            <w:b/>
                            <w:color w:val="000000"/>
                            <w:sz w:val="18"/>
                            <w:szCs w:val="20"/>
                          </w:rPr>
                          <w:t>Auteur correspondant :</w:t>
                        </w:r>
                      </w:p>
                      <w:p w:rsidR="00EC1330" w:rsidRDefault="00EC1330" w:rsidP="000236DA">
                        <w:pPr>
                          <w:rPr>
                            <w:sz w:val="20"/>
                            <w:szCs w:val="20"/>
                          </w:rPr>
                        </w:pPr>
                        <w:proofErr w:type="spellStart"/>
                        <w:r w:rsidRPr="000236DA">
                          <w:rPr>
                            <w:sz w:val="20"/>
                            <w:szCs w:val="20"/>
                          </w:rPr>
                          <w:t>Bengono</w:t>
                        </w:r>
                        <w:proofErr w:type="spellEnd"/>
                        <w:r w:rsidRPr="000236DA">
                          <w:rPr>
                            <w:sz w:val="20"/>
                            <w:szCs w:val="20"/>
                          </w:rPr>
                          <w:t xml:space="preserve"> </w:t>
                        </w:r>
                        <w:proofErr w:type="spellStart"/>
                        <w:r w:rsidRPr="000236DA">
                          <w:rPr>
                            <w:sz w:val="20"/>
                            <w:szCs w:val="20"/>
                          </w:rPr>
                          <w:t>Bengono</w:t>
                        </w:r>
                        <w:proofErr w:type="spellEnd"/>
                        <w:r w:rsidRPr="000236DA">
                          <w:rPr>
                            <w:sz w:val="20"/>
                            <w:szCs w:val="20"/>
                          </w:rPr>
                          <w:t>. R, Département de Chirurgie et Spécialités, Faculté de Médecine et des Sciences Biomé</w:t>
                        </w:r>
                        <w:r>
                          <w:rPr>
                            <w:sz w:val="20"/>
                            <w:szCs w:val="20"/>
                          </w:rPr>
                          <w:t>dicales, Université de Yaoundé I</w:t>
                        </w:r>
                        <w:r w:rsidRPr="000236DA">
                          <w:rPr>
                            <w:sz w:val="20"/>
                            <w:szCs w:val="20"/>
                          </w:rPr>
                          <w:t xml:space="preserve">. </w:t>
                        </w:r>
                      </w:p>
                      <w:p w:rsidR="00EC1330" w:rsidRDefault="00EC1330" w:rsidP="000236DA">
                        <w:pPr>
                          <w:rPr>
                            <w:sz w:val="20"/>
                            <w:szCs w:val="20"/>
                          </w:rPr>
                        </w:pPr>
                        <w:r w:rsidRPr="000236DA">
                          <w:rPr>
                            <w:sz w:val="20"/>
                            <w:szCs w:val="20"/>
                          </w:rPr>
                          <w:t xml:space="preserve">B.P. 1364. </w:t>
                        </w:r>
                      </w:p>
                      <w:p w:rsidR="00EC1330" w:rsidRDefault="00EC1330" w:rsidP="000236DA">
                        <w:pPr>
                          <w:rPr>
                            <w:sz w:val="20"/>
                            <w:szCs w:val="20"/>
                          </w:rPr>
                        </w:pPr>
                        <w:r w:rsidRPr="000236DA">
                          <w:rPr>
                            <w:sz w:val="20"/>
                            <w:szCs w:val="20"/>
                          </w:rPr>
                          <w:t xml:space="preserve">Tel : (+237) 699.658.216. </w:t>
                        </w:r>
                      </w:p>
                      <w:p w:rsidR="00EC1330" w:rsidRPr="000236DA" w:rsidRDefault="00EC1330" w:rsidP="000236DA">
                        <w:pPr>
                          <w:rPr>
                            <w:sz w:val="20"/>
                            <w:szCs w:val="20"/>
                          </w:rPr>
                        </w:pPr>
                        <w:r w:rsidRPr="000236DA">
                          <w:rPr>
                            <w:sz w:val="20"/>
                            <w:szCs w:val="20"/>
                          </w:rPr>
                          <w:t xml:space="preserve">Email : </w:t>
                        </w:r>
                        <w:hyperlink r:id="rId7" w:history="1">
                          <w:r w:rsidRPr="000236DA">
                            <w:rPr>
                              <w:rStyle w:val="Lienhypertexte"/>
                              <w:sz w:val="20"/>
                              <w:szCs w:val="20"/>
                            </w:rPr>
                            <w:t>rodbeng@yahoo.fr</w:t>
                          </w:r>
                        </w:hyperlink>
                        <w:r w:rsidRPr="000236DA">
                          <w:rPr>
                            <w:sz w:val="20"/>
                            <w:szCs w:val="20"/>
                          </w:rPr>
                          <w:t xml:space="preserve">  </w:t>
                        </w:r>
                      </w:p>
                      <w:p w:rsidR="00EC1330" w:rsidRPr="00F814AD" w:rsidRDefault="00EC1330" w:rsidP="006E5A42">
                        <w:pPr>
                          <w:rPr>
                            <w:b/>
                            <w:sz w:val="20"/>
                            <w:szCs w:val="20"/>
                            <w:lang w:eastAsia="fr-FR"/>
                          </w:rPr>
                        </w:pPr>
                      </w:p>
                      <w:p w:rsidR="00EC1330" w:rsidRPr="000236DA" w:rsidRDefault="00EC1330" w:rsidP="00435408">
                        <w:pPr>
                          <w:rPr>
                            <w:sz w:val="20"/>
                            <w:szCs w:val="20"/>
                          </w:rPr>
                        </w:pPr>
                        <w:r>
                          <w:rPr>
                            <w:b/>
                            <w:bCs/>
                            <w:iCs/>
                            <w:sz w:val="18"/>
                            <w:szCs w:val="18"/>
                          </w:rPr>
                          <w:t>Mots clés : </w:t>
                        </w:r>
                        <w:r w:rsidRPr="000236DA">
                          <w:rPr>
                            <w:sz w:val="20"/>
                            <w:szCs w:val="20"/>
                          </w:rPr>
                          <w:t>Douleur chronique ; évaluation ; prise en charge médicamenteuse</w:t>
                        </w:r>
                        <w:r>
                          <w:rPr>
                            <w:sz w:val="20"/>
                            <w:szCs w:val="20"/>
                          </w:rPr>
                          <w:t>, Yaoundé, Cameroun</w:t>
                        </w:r>
                      </w:p>
                      <w:p w:rsidR="00EC1330" w:rsidRPr="00435408" w:rsidRDefault="00EC1330" w:rsidP="000236DA">
                        <w:pPr>
                          <w:rPr>
                            <w:sz w:val="18"/>
                            <w:szCs w:val="20"/>
                            <w:lang w:val="en-CA"/>
                          </w:rPr>
                        </w:pPr>
                        <w:r w:rsidRPr="006E5A42">
                          <w:rPr>
                            <w:b/>
                            <w:bCs/>
                            <w:iCs/>
                            <w:sz w:val="18"/>
                            <w:szCs w:val="20"/>
                            <w:lang w:val="en-US"/>
                          </w:rPr>
                          <w:t>Keywords</w:t>
                        </w:r>
                        <w:r>
                          <w:rPr>
                            <w:lang w:val="en-CA"/>
                          </w:rPr>
                          <w:t xml:space="preserve">: </w:t>
                        </w:r>
                        <w:r w:rsidRPr="000236DA">
                          <w:rPr>
                            <w:sz w:val="20"/>
                            <w:szCs w:val="20"/>
                            <w:lang w:val="en-GB"/>
                          </w:rPr>
                          <w:t>Assessment; pharmacological management; chronic pain</w:t>
                        </w:r>
                        <w:r>
                          <w:rPr>
                            <w:sz w:val="20"/>
                            <w:szCs w:val="20"/>
                            <w:lang w:val="en-GB"/>
                          </w:rPr>
                          <w:t>, Yaoundé, Cameroon</w:t>
                        </w:r>
                      </w:p>
                    </w:txbxContent>
                  </v:textbox>
                </v:shape>
              </w:pict>
            </w:r>
          </w:p>
        </w:tc>
        <w:tc>
          <w:tcPr>
            <w:tcW w:w="6946" w:type="dxa"/>
            <w:shd w:val="clear" w:color="auto" w:fill="D3DFEE"/>
            <w:hideMark/>
          </w:tcPr>
          <w:p w:rsidR="007D591B" w:rsidRDefault="007D591B" w:rsidP="00B029BC">
            <w:pPr>
              <w:spacing w:after="120"/>
              <w:jc w:val="center"/>
              <w:rPr>
                <w:b/>
                <w:bCs/>
                <w:iCs/>
                <w:sz w:val="18"/>
                <w:szCs w:val="20"/>
              </w:rPr>
            </w:pPr>
            <w:r>
              <w:rPr>
                <w:b/>
                <w:bCs/>
                <w:iCs/>
                <w:sz w:val="18"/>
                <w:szCs w:val="20"/>
              </w:rPr>
              <w:t>RÉSUMÉ</w:t>
            </w:r>
          </w:p>
        </w:tc>
      </w:tr>
      <w:tr w:rsidR="007D591B" w:rsidTr="000B24E4">
        <w:trPr>
          <w:trHeight w:val="742"/>
        </w:trPr>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A36DFB" w:rsidRPr="00A36DFB" w:rsidRDefault="00A36DFB" w:rsidP="00A36DFB">
            <w:pPr>
              <w:jc w:val="both"/>
              <w:rPr>
                <w:b/>
                <w:sz w:val="18"/>
                <w:szCs w:val="18"/>
              </w:rPr>
            </w:pPr>
            <w:r w:rsidRPr="00A36DFB">
              <w:rPr>
                <w:b/>
                <w:sz w:val="18"/>
                <w:szCs w:val="18"/>
              </w:rPr>
              <w:t>INTRODUCTION</w:t>
            </w:r>
            <w:r w:rsidRPr="00A36DFB">
              <w:rPr>
                <w:sz w:val="18"/>
                <w:szCs w:val="18"/>
              </w:rPr>
              <w:t> :</w:t>
            </w:r>
            <w:r w:rsidR="00EC1330">
              <w:rPr>
                <w:sz w:val="18"/>
                <w:szCs w:val="18"/>
              </w:rPr>
              <w:t xml:space="preserve"> Les douleurs chroniques sont fréquentes en oncologie et en rhumatologie. Elles constituent un problème de santé publique. Le traitement de la douleur comporte des thérapeutiques médicamenteuses et non médicamenteuses. </w:t>
            </w:r>
            <w:r w:rsidRPr="00A36DFB">
              <w:rPr>
                <w:sz w:val="18"/>
                <w:szCs w:val="18"/>
              </w:rPr>
              <w:t>L’objectif  était d’évaluer la  prise en charge médicamenteuse des patients présentant une douleur chronique.</w:t>
            </w:r>
            <w:r>
              <w:rPr>
                <w:sz w:val="18"/>
                <w:szCs w:val="18"/>
              </w:rPr>
              <w:t xml:space="preserve"> </w:t>
            </w:r>
            <w:r w:rsidRPr="00A36DFB">
              <w:rPr>
                <w:b/>
                <w:sz w:val="18"/>
                <w:szCs w:val="18"/>
              </w:rPr>
              <w:t>METHODOLOGIE</w:t>
            </w:r>
            <w:r w:rsidRPr="00A36DFB">
              <w:rPr>
                <w:sz w:val="18"/>
                <w:szCs w:val="18"/>
              </w:rPr>
              <w:t> : Il s’agissait d’une étude longitudinale et prospective de cinq mois. Elle était réalisée dans le service d’oncologie de l’Hôpital Général de Yaoundé et le service de rhumatologie de l’Hôpital Central de Yaoundé. Etaient inclus tous les patients présentant un syndrome douloureux chronique et ayant donné leur consentement éclairé. Les variables étudiées étaient l’intensité de la douleur, les pathologies en cause, les protocoles antalgiques, les effets secondaires, l’observance et la satisfaction des patients</w:t>
            </w:r>
            <w:r>
              <w:rPr>
                <w:sz w:val="18"/>
                <w:szCs w:val="18"/>
              </w:rPr>
              <w:t xml:space="preserve">. </w:t>
            </w:r>
            <w:r w:rsidRPr="00A36DFB">
              <w:rPr>
                <w:b/>
                <w:bCs/>
                <w:sz w:val="18"/>
                <w:szCs w:val="18"/>
              </w:rPr>
              <w:t>RESULTATS</w:t>
            </w:r>
            <w:r w:rsidRPr="00A36DFB">
              <w:rPr>
                <w:bCs/>
                <w:sz w:val="18"/>
                <w:szCs w:val="18"/>
              </w:rPr>
              <w:t xml:space="preserve"> : </w:t>
            </w:r>
            <w:r w:rsidRPr="00A36DFB">
              <w:rPr>
                <w:sz w:val="18"/>
                <w:szCs w:val="18"/>
              </w:rPr>
              <w:t xml:space="preserve">Six cent six patients étaient recrutés avec une majorité féminine. Les pathologies les plus rencontrées en rhumatologie étaient : l’arthrose (71,2%), la hernie discale (20,1 %) et en oncologie étaient : le cancer du sein (24,1%) et le cancer du col de l’utérus (13,8%). A la consultation initiale, l’intensité de la douleur était légère (1,5%), modérée (94,7%) et sévère (3,8%). Les antalgiques utilisés étaient dominés par le paracétamol (56,1%) et le </w:t>
            </w:r>
            <w:proofErr w:type="spellStart"/>
            <w:r w:rsidRPr="00A36DFB">
              <w:rPr>
                <w:sz w:val="18"/>
                <w:szCs w:val="18"/>
              </w:rPr>
              <w:t>tramadol</w:t>
            </w:r>
            <w:proofErr w:type="spellEnd"/>
            <w:r w:rsidRPr="00A36DFB">
              <w:rPr>
                <w:sz w:val="18"/>
                <w:szCs w:val="18"/>
              </w:rPr>
              <w:t xml:space="preserve"> (39,8%). Les </w:t>
            </w:r>
            <w:proofErr w:type="spellStart"/>
            <w:r w:rsidRPr="00A36DFB">
              <w:rPr>
                <w:sz w:val="18"/>
                <w:szCs w:val="18"/>
              </w:rPr>
              <w:t>co</w:t>
            </w:r>
            <w:proofErr w:type="spellEnd"/>
            <w:r w:rsidRPr="00A36DFB">
              <w:rPr>
                <w:sz w:val="18"/>
                <w:szCs w:val="18"/>
              </w:rPr>
              <w:t>-antalgiques utilisés étaient les antiépileptiques (43,1%) et les myorelaxants (34,5%). Au troisième rendez-vous, la douleur était légère (90,6%), l’observance au traitement était moyenne chez 426 patients (70,3%) et 97,2%  des patients étaient satisfaits.</w:t>
            </w:r>
            <w:r>
              <w:rPr>
                <w:sz w:val="18"/>
                <w:szCs w:val="18"/>
              </w:rPr>
              <w:t xml:space="preserve"> </w:t>
            </w:r>
            <w:r w:rsidRPr="00A36DFB">
              <w:rPr>
                <w:b/>
                <w:sz w:val="18"/>
                <w:szCs w:val="18"/>
              </w:rPr>
              <w:t>CONCLUSION</w:t>
            </w:r>
            <w:r w:rsidRPr="00A36DFB">
              <w:rPr>
                <w:sz w:val="18"/>
                <w:szCs w:val="18"/>
              </w:rPr>
              <w:t xml:space="preserve"> : La prise en charge de la douleur chronique est effective et adaptée. Elle fait appel aux antalgiques usuels. Les </w:t>
            </w:r>
            <w:proofErr w:type="spellStart"/>
            <w:r w:rsidRPr="00A36DFB">
              <w:rPr>
                <w:sz w:val="18"/>
                <w:szCs w:val="18"/>
              </w:rPr>
              <w:t>co</w:t>
            </w:r>
            <w:proofErr w:type="spellEnd"/>
            <w:r w:rsidRPr="00A36DFB">
              <w:rPr>
                <w:sz w:val="18"/>
                <w:szCs w:val="18"/>
              </w:rPr>
              <w:t>-antalgiques occupent une place non négligeable.</w:t>
            </w:r>
          </w:p>
          <w:p w:rsidR="007D591B" w:rsidRPr="00480999" w:rsidRDefault="007D591B" w:rsidP="00361EE4">
            <w:pPr>
              <w:jc w:val="both"/>
              <w:rPr>
                <w:sz w:val="18"/>
                <w:szCs w:val="18"/>
              </w:rPr>
            </w:pPr>
          </w:p>
        </w:tc>
      </w:tr>
      <w:tr w:rsidR="007D591B" w:rsidTr="000B24E4">
        <w:trPr>
          <w:trHeight w:val="237"/>
        </w:trPr>
        <w:tc>
          <w:tcPr>
            <w:tcW w:w="3227" w:type="dxa"/>
            <w:vMerge w:val="restart"/>
            <w:shd w:val="clear" w:color="auto" w:fill="D3DFEE"/>
          </w:tcPr>
          <w:p w:rsidR="007D591B" w:rsidRDefault="007D591B" w:rsidP="00B029BC">
            <w:pPr>
              <w:rPr>
                <w:b/>
                <w:bCs/>
                <w:color w:val="365F91"/>
                <w:sz w:val="18"/>
                <w:szCs w:val="18"/>
                <w:vertAlign w:val="superscript"/>
              </w:rPr>
            </w:pPr>
          </w:p>
        </w:tc>
        <w:tc>
          <w:tcPr>
            <w:tcW w:w="6946" w:type="dxa"/>
            <w:shd w:val="clear" w:color="auto" w:fill="D3DFEE"/>
            <w:hideMark/>
          </w:tcPr>
          <w:p w:rsidR="007D591B" w:rsidRDefault="007D591B" w:rsidP="000A16F6">
            <w:pPr>
              <w:jc w:val="center"/>
              <w:rPr>
                <w:bCs/>
                <w:iCs/>
                <w:sz w:val="18"/>
                <w:szCs w:val="20"/>
              </w:rPr>
            </w:pPr>
            <w:r>
              <w:rPr>
                <w:b/>
                <w:bCs/>
                <w:iCs/>
                <w:sz w:val="18"/>
                <w:szCs w:val="20"/>
              </w:rPr>
              <w:t>ABSTRACT</w:t>
            </w:r>
          </w:p>
        </w:tc>
      </w:tr>
      <w:tr w:rsidR="007D591B" w:rsidRPr="00B14523" w:rsidTr="000B24E4">
        <w:tc>
          <w:tcPr>
            <w:tcW w:w="3227" w:type="dxa"/>
            <w:vMerge/>
            <w:vAlign w:val="center"/>
            <w:hideMark/>
          </w:tcPr>
          <w:p w:rsidR="007D591B" w:rsidRDefault="007D591B" w:rsidP="00B029BC">
            <w:pPr>
              <w:rPr>
                <w:b/>
                <w:bCs/>
                <w:color w:val="365F91"/>
                <w:sz w:val="18"/>
                <w:szCs w:val="18"/>
                <w:vertAlign w:val="superscript"/>
              </w:rPr>
            </w:pPr>
          </w:p>
        </w:tc>
        <w:tc>
          <w:tcPr>
            <w:tcW w:w="6946" w:type="dxa"/>
            <w:hideMark/>
          </w:tcPr>
          <w:p w:rsidR="00A36DFB" w:rsidRPr="00A36DFB" w:rsidRDefault="00A36DFB" w:rsidP="00A36DFB">
            <w:pPr>
              <w:jc w:val="both"/>
              <w:rPr>
                <w:bCs/>
                <w:sz w:val="18"/>
                <w:szCs w:val="18"/>
                <w:lang w:val="en-GB"/>
              </w:rPr>
            </w:pPr>
            <w:r w:rsidRPr="00A36DFB">
              <w:rPr>
                <w:b/>
                <w:sz w:val="18"/>
                <w:szCs w:val="18"/>
                <w:lang w:val="en-US"/>
              </w:rPr>
              <w:t>INTRODUCTION</w:t>
            </w:r>
            <w:r>
              <w:rPr>
                <w:b/>
                <w:bCs/>
                <w:sz w:val="18"/>
                <w:szCs w:val="18"/>
                <w:lang w:val="en-GB"/>
              </w:rPr>
              <w:t>:</w:t>
            </w:r>
            <w:r w:rsidR="00EC1330">
              <w:rPr>
                <w:b/>
                <w:bCs/>
                <w:sz w:val="18"/>
                <w:szCs w:val="18"/>
                <w:lang w:val="en-GB"/>
              </w:rPr>
              <w:t xml:space="preserve"> </w:t>
            </w:r>
            <w:r w:rsidR="00EC1330" w:rsidRPr="00EC1330">
              <w:rPr>
                <w:bCs/>
                <w:sz w:val="18"/>
                <w:szCs w:val="18"/>
                <w:lang w:val="en-GB"/>
              </w:rPr>
              <w:t>Chronic pain is common in oncology and rheumatology. It constitute a public health problem. The treatment includes pharmacological and non pharmacological aspects.</w:t>
            </w:r>
            <w:r>
              <w:rPr>
                <w:b/>
                <w:bCs/>
                <w:sz w:val="18"/>
                <w:szCs w:val="18"/>
                <w:lang w:val="en-GB"/>
              </w:rPr>
              <w:t xml:space="preserve"> </w:t>
            </w:r>
            <w:r w:rsidRPr="00A36DFB">
              <w:rPr>
                <w:bCs/>
                <w:sz w:val="18"/>
                <w:szCs w:val="18"/>
                <w:lang w:val="en-GB"/>
              </w:rPr>
              <w:t xml:space="preserve">The aim of our study was to evaluate the management of patients presenting with chronic pain. </w:t>
            </w:r>
            <w:r w:rsidRPr="00A36DFB">
              <w:rPr>
                <w:b/>
                <w:sz w:val="18"/>
                <w:szCs w:val="18"/>
                <w:lang w:val="en-GB"/>
              </w:rPr>
              <w:t>M</w:t>
            </w:r>
            <w:r>
              <w:rPr>
                <w:b/>
                <w:sz w:val="18"/>
                <w:szCs w:val="18"/>
                <w:lang w:val="en-GB"/>
              </w:rPr>
              <w:t>ETHODS</w:t>
            </w:r>
            <w:r w:rsidRPr="00A36DFB">
              <w:rPr>
                <w:b/>
                <w:sz w:val="18"/>
                <w:szCs w:val="18"/>
                <w:lang w:val="en-GB"/>
              </w:rPr>
              <w:t>:</w:t>
            </w:r>
            <w:r w:rsidRPr="00A36DFB">
              <w:rPr>
                <w:sz w:val="18"/>
                <w:szCs w:val="18"/>
                <w:lang w:val="en-GB"/>
              </w:rPr>
              <w:t xml:space="preserve"> We carried out a longitudinal and prospective study during five months in the oncological unit of the Yaoundé General Hospital and the </w:t>
            </w:r>
            <w:proofErr w:type="spellStart"/>
            <w:r w:rsidRPr="00A36DFB">
              <w:rPr>
                <w:sz w:val="18"/>
                <w:szCs w:val="18"/>
                <w:lang w:val="en-GB"/>
              </w:rPr>
              <w:t>rheumatological</w:t>
            </w:r>
            <w:proofErr w:type="spellEnd"/>
            <w:r w:rsidRPr="00A36DFB">
              <w:rPr>
                <w:sz w:val="18"/>
                <w:szCs w:val="18"/>
                <w:lang w:val="en-GB"/>
              </w:rPr>
              <w:t xml:space="preserve"> unit of the Yaoundé Central Hospital. The variables were: diagnosis, intensity of pain, treatment, side effects, follow-up of treatments, and satisfaction of patients</w:t>
            </w:r>
            <w:r>
              <w:rPr>
                <w:sz w:val="18"/>
                <w:szCs w:val="18"/>
                <w:lang w:val="en-GB"/>
              </w:rPr>
              <w:t xml:space="preserve">. </w:t>
            </w:r>
            <w:r w:rsidRPr="00A36DFB">
              <w:rPr>
                <w:b/>
                <w:sz w:val="18"/>
                <w:szCs w:val="18"/>
                <w:lang w:val="en-GB"/>
              </w:rPr>
              <w:t>R</w:t>
            </w:r>
            <w:r>
              <w:rPr>
                <w:b/>
                <w:sz w:val="18"/>
                <w:szCs w:val="18"/>
                <w:lang w:val="en-GB"/>
              </w:rPr>
              <w:t>ESULTS</w:t>
            </w:r>
            <w:r w:rsidRPr="00A36DFB">
              <w:rPr>
                <w:b/>
                <w:sz w:val="18"/>
                <w:szCs w:val="18"/>
                <w:lang w:val="en-GB"/>
              </w:rPr>
              <w:t>:</w:t>
            </w:r>
            <w:r w:rsidRPr="00A36DFB">
              <w:rPr>
                <w:sz w:val="18"/>
                <w:szCs w:val="18"/>
                <w:lang w:val="en-GB"/>
              </w:rPr>
              <w:t xml:space="preserve"> Six hundred and six patients were enrolled in our study. The age range of 51-60 years old was most represented with 33.5% of cases and sex ratio was 1.8 in favour of female. The most frequent diseases in rheumatology were: </w:t>
            </w:r>
            <w:proofErr w:type="spellStart"/>
            <w:r w:rsidRPr="00EC1330">
              <w:rPr>
                <w:sz w:val="18"/>
                <w:szCs w:val="18"/>
                <w:lang w:val="en-US"/>
              </w:rPr>
              <w:t>arthrosis</w:t>
            </w:r>
            <w:proofErr w:type="spellEnd"/>
            <w:r w:rsidRPr="00A36DFB">
              <w:rPr>
                <w:sz w:val="18"/>
                <w:szCs w:val="18"/>
                <w:lang w:val="en-GB"/>
              </w:rPr>
              <w:t xml:space="preserve"> (71.2%) and herniated disc (20.1%). While in oncology, the most frequent diseases were breast cancers (24.1%) and cancer of the cervix (13.8%). At the initial consultation, the intensity of pain was moderate in 94.7% of cases, severe in 3.8% of cases and mild in 1.5%. The main analgesics used were </w:t>
            </w:r>
            <w:proofErr w:type="spellStart"/>
            <w:r w:rsidRPr="00A36DFB">
              <w:rPr>
                <w:sz w:val="18"/>
                <w:szCs w:val="18"/>
                <w:lang w:val="en-GB"/>
              </w:rPr>
              <w:t>paracetamol</w:t>
            </w:r>
            <w:proofErr w:type="spellEnd"/>
            <w:r w:rsidRPr="00A36DFB">
              <w:rPr>
                <w:sz w:val="18"/>
                <w:szCs w:val="18"/>
                <w:lang w:val="en-GB"/>
              </w:rPr>
              <w:t xml:space="preserve"> (56.1%) and tramadol (39.8%). Co-analgesics used were: antiepileptic drugs (43.1%) and muscle relaxants (34.5%). </w:t>
            </w:r>
            <w:r w:rsidRPr="00EC1330">
              <w:rPr>
                <w:sz w:val="18"/>
                <w:szCs w:val="18"/>
                <w:lang w:val="en-US"/>
              </w:rPr>
              <w:t>During the follow-up of patients, mild pain represented 90.6% of cases, the follow-up of adherence was moderate (70.3%), 97.2% of patients were satisfied at the third appointment.</w:t>
            </w:r>
            <w:r>
              <w:rPr>
                <w:bCs/>
                <w:sz w:val="18"/>
                <w:szCs w:val="18"/>
                <w:lang w:val="en-GB"/>
              </w:rPr>
              <w:t xml:space="preserve"> </w:t>
            </w:r>
            <w:r w:rsidRPr="00A36DFB">
              <w:rPr>
                <w:b/>
                <w:sz w:val="18"/>
                <w:szCs w:val="18"/>
                <w:lang w:val="en-GB"/>
              </w:rPr>
              <w:t>C</w:t>
            </w:r>
            <w:r>
              <w:rPr>
                <w:b/>
                <w:sz w:val="18"/>
                <w:szCs w:val="18"/>
                <w:lang w:val="en-GB"/>
              </w:rPr>
              <w:t>ONCLUSION</w:t>
            </w:r>
            <w:r w:rsidRPr="00A36DFB">
              <w:rPr>
                <w:b/>
                <w:sz w:val="18"/>
                <w:szCs w:val="18"/>
                <w:lang w:val="en-GB"/>
              </w:rPr>
              <w:t>:</w:t>
            </w:r>
            <w:r w:rsidRPr="00A36DFB">
              <w:rPr>
                <w:sz w:val="18"/>
                <w:szCs w:val="18"/>
                <w:lang w:val="en-GB"/>
              </w:rPr>
              <w:t xml:space="preserve"> Management of chronic pain is effective. Analgesics are used according to the intensity of pain.</w:t>
            </w:r>
          </w:p>
          <w:p w:rsidR="007D591B" w:rsidRPr="00A36DFB" w:rsidRDefault="007D591B" w:rsidP="00361EE4">
            <w:pPr>
              <w:jc w:val="both"/>
              <w:rPr>
                <w:sz w:val="18"/>
                <w:szCs w:val="18"/>
                <w:lang w:val="en-GB"/>
              </w:rPr>
            </w:pPr>
          </w:p>
        </w:tc>
      </w:tr>
    </w:tbl>
    <w:p w:rsidR="00C11AD0" w:rsidRDefault="00C11AD0" w:rsidP="007D591B">
      <w:pPr>
        <w:jc w:val="both"/>
        <w:rPr>
          <w:rFonts w:eastAsia="Times New Roman"/>
          <w:b/>
          <w:bCs/>
          <w:sz w:val="20"/>
          <w:szCs w:val="20"/>
          <w:lang w:val="en-US"/>
        </w:rPr>
        <w:sectPr w:rsidR="00C11AD0" w:rsidSect="00F814AD">
          <w:pgSz w:w="11906" w:h="16838" w:code="9"/>
          <w:pgMar w:top="1134" w:right="851" w:bottom="1418" w:left="1134" w:header="708" w:footer="708" w:gutter="0"/>
          <w:cols w:space="708"/>
          <w:docGrid w:linePitch="360"/>
        </w:sectPr>
      </w:pPr>
    </w:p>
    <w:p w:rsidR="000B24E4" w:rsidRDefault="000B24E4" w:rsidP="007D591B">
      <w:pPr>
        <w:jc w:val="both"/>
        <w:rPr>
          <w:rFonts w:eastAsia="Times New Roman"/>
          <w:b/>
          <w:bCs/>
          <w:sz w:val="20"/>
          <w:szCs w:val="20"/>
          <w:lang w:val="en-US"/>
        </w:rPr>
        <w:sectPr w:rsidR="000B24E4" w:rsidSect="00C11AD0">
          <w:type w:val="continuous"/>
          <w:pgSz w:w="11906" w:h="16838" w:code="9"/>
          <w:pgMar w:top="1134" w:right="851" w:bottom="1418" w:left="1134" w:header="708" w:footer="708" w:gutter="0"/>
          <w:cols w:space="708"/>
          <w:docGrid w:linePitch="360"/>
        </w:sectPr>
      </w:pPr>
    </w:p>
    <w:p w:rsidR="00577B56" w:rsidRPr="00F814AD" w:rsidRDefault="001723C9" w:rsidP="000B24E4">
      <w:pPr>
        <w:jc w:val="both"/>
        <w:rPr>
          <w:sz w:val="20"/>
          <w:szCs w:val="20"/>
        </w:rPr>
      </w:pPr>
      <w:r w:rsidRPr="00F814AD">
        <w:rPr>
          <w:b/>
          <w:bCs/>
          <w:color w:val="000000"/>
          <w:sz w:val="20"/>
          <w:szCs w:val="20"/>
          <w:lang w:eastAsia="fr-FR"/>
        </w:rPr>
        <w:lastRenderedPageBreak/>
        <w:t>INTRODUCTION</w:t>
      </w:r>
      <w:r w:rsidR="00577B56" w:rsidRPr="00F814AD">
        <w:rPr>
          <w:b/>
          <w:bCs/>
          <w:color w:val="000000"/>
          <w:sz w:val="20"/>
          <w:szCs w:val="20"/>
          <w:lang w:eastAsia="fr-FR"/>
        </w:rPr>
        <w:t> :</w:t>
      </w:r>
    </w:p>
    <w:p w:rsidR="00A5167B" w:rsidRDefault="00A36DFB" w:rsidP="00524B82">
      <w:pPr>
        <w:jc w:val="both"/>
        <w:rPr>
          <w:sz w:val="20"/>
          <w:szCs w:val="20"/>
        </w:rPr>
      </w:pPr>
      <w:r w:rsidRPr="00A36DFB">
        <w:rPr>
          <w:sz w:val="20"/>
          <w:szCs w:val="20"/>
        </w:rPr>
        <w:t xml:space="preserve">Selon l’OMS, « la douleur qui dure longtemps ou qui est permanente ou récurrente est appelée chronique quand elle dure plus de 6 mois » </w:t>
      </w:r>
      <w:r w:rsidR="008C4B30" w:rsidRPr="00A36DFB">
        <w:rPr>
          <w:sz w:val="20"/>
          <w:szCs w:val="20"/>
        </w:rPr>
        <w:fldChar w:fldCharType="begin"/>
      </w:r>
      <w:r w:rsidRPr="00A36DFB">
        <w:rPr>
          <w:sz w:val="20"/>
          <w:szCs w:val="20"/>
        </w:rPr>
        <w:instrText xml:space="preserve"> ADDIN ZOTERO_ITEM CSL_CITATION {"citationID":"HS8AmYWB","properties":{"formattedCitation":"[5]","plainCitation":"[5]"},"citationItems":[{"id":295,"uris":["http://zotero.org/users/2746557/items/TAZXARVZ"],"uri":["http://zotero.org/users/2746557/items/TAZXARVZ"],"itemData":{"id":295,"type":"webpage","title":"World Health Organization. A new understanding of chronic pain. In: Kaplun A, editor. Health promotion and chronic illness. Discovering a new quality of health. Copenhagen: WHO Regional Publications 1992: 141-226.","accessed":{"date-parts":[["2015",11,5]]}}}],"schema":"https://github.com/citation-style-language/schema/raw/master/csl-citation.json"} </w:instrText>
      </w:r>
      <w:r w:rsidR="008C4B30" w:rsidRPr="00A36DFB">
        <w:rPr>
          <w:sz w:val="20"/>
          <w:szCs w:val="20"/>
        </w:rPr>
        <w:fldChar w:fldCharType="separate"/>
      </w:r>
      <w:r w:rsidRPr="00A36DFB">
        <w:rPr>
          <w:sz w:val="20"/>
          <w:szCs w:val="20"/>
        </w:rPr>
        <w:t>[1]</w:t>
      </w:r>
      <w:r w:rsidR="008C4B30" w:rsidRPr="00A36DFB">
        <w:rPr>
          <w:sz w:val="20"/>
          <w:szCs w:val="20"/>
        </w:rPr>
        <w:fldChar w:fldCharType="end"/>
      </w:r>
      <w:r w:rsidRPr="00A36DFB">
        <w:rPr>
          <w:sz w:val="20"/>
          <w:szCs w:val="20"/>
        </w:rPr>
        <w:t xml:space="preserve">. Les douleurs chroniques sont présentes dans toutes les pathologies médicales mais </w:t>
      </w:r>
      <w:r w:rsidRPr="00A36DFB">
        <w:rPr>
          <w:sz w:val="20"/>
          <w:szCs w:val="20"/>
        </w:rPr>
        <w:lastRenderedPageBreak/>
        <w:t xml:space="preserve">elles sont plus fréquentes en oncologie et en rhumatologie </w:t>
      </w:r>
      <w:r w:rsidR="008C4B30" w:rsidRPr="00A36DFB">
        <w:rPr>
          <w:sz w:val="20"/>
          <w:szCs w:val="20"/>
        </w:rPr>
        <w:fldChar w:fldCharType="begin"/>
      </w:r>
      <w:r w:rsidRPr="00A36DFB">
        <w:rPr>
          <w:sz w:val="20"/>
          <w:szCs w:val="20"/>
        </w:rPr>
        <w:instrText xml:space="preserve"> ADDIN ZOTERO_ITEM CSL_CITATION {"citationID":"OjefNPdP","properties":{"formattedCitation":"[6]","plainCitation":"[6]"},"citationItems":[{"id":817,"uris":["http://zotero.org/users/2746557/items/8MZUS6W2"],"uri":["http://zotero.org/users/2746557/items/8MZUS6W2"],"itemData":{"id":817,"type":"article-journal","title":"Assessment of cancer pain: a prospective evaluation in 2266 cancer patients referred to a pain service","container-title":"Pain","page":"107–114","volume":"64","issue":"1","source":"Google Scholar","shortTitle":"Assessment of cancer pain","author":[{"family":"Grond","given":"Stefan"},{"family":"Zech","given":"Detlev"},{"family":"Diefenbach","given":"Christoph"},{"family":"Radbruch","given":"Lukas"},{"family":"Lehmann","given":"Klaus A."}],"issued":{"date-parts":[["1996"]]}}}],"schema":"https://github.com/citation-style-language/schema/raw/master/csl-citation.json"} </w:instrText>
      </w:r>
      <w:r w:rsidR="008C4B30" w:rsidRPr="00A36DFB">
        <w:rPr>
          <w:sz w:val="20"/>
          <w:szCs w:val="20"/>
        </w:rPr>
        <w:fldChar w:fldCharType="separate"/>
      </w:r>
      <w:r w:rsidRPr="00A36DFB">
        <w:rPr>
          <w:sz w:val="20"/>
          <w:szCs w:val="20"/>
        </w:rPr>
        <w:t>[2]</w:t>
      </w:r>
      <w:r w:rsidR="008C4B30" w:rsidRPr="00A36DFB">
        <w:rPr>
          <w:sz w:val="20"/>
          <w:szCs w:val="20"/>
        </w:rPr>
        <w:fldChar w:fldCharType="end"/>
      </w:r>
      <w:r w:rsidRPr="00A36DFB">
        <w:rPr>
          <w:sz w:val="20"/>
          <w:szCs w:val="20"/>
        </w:rPr>
        <w:t xml:space="preserve">. La douleur cancéreuse dépend de la localisation de la tumeur. Elle est mécanique, inflammatoire ou neuropathique. La douleur est le motif majeur de consultation en rhumatologie. 50 % des </w:t>
      </w:r>
      <w:r w:rsidRPr="00A36DFB">
        <w:rPr>
          <w:sz w:val="20"/>
          <w:szCs w:val="20"/>
        </w:rPr>
        <w:lastRenderedPageBreak/>
        <w:t xml:space="preserve">patients souffrant de douleurs chroniques adressés en consultation sont en rapport avec une maladie rhumatologique. Il s’agit le plus souvent de douleur mécanique ou </w:t>
      </w:r>
      <w:proofErr w:type="spellStart"/>
      <w:r w:rsidRPr="00A36DFB">
        <w:rPr>
          <w:sz w:val="20"/>
          <w:szCs w:val="20"/>
        </w:rPr>
        <w:t>séquellaire</w:t>
      </w:r>
      <w:proofErr w:type="spellEnd"/>
      <w:r w:rsidRPr="00A36DFB">
        <w:rPr>
          <w:sz w:val="20"/>
          <w:szCs w:val="20"/>
        </w:rPr>
        <w:t xml:space="preserve"> de la chirurgie </w:t>
      </w:r>
      <w:r w:rsidR="008C4B30" w:rsidRPr="00A36DFB">
        <w:rPr>
          <w:sz w:val="20"/>
          <w:szCs w:val="20"/>
        </w:rPr>
        <w:fldChar w:fldCharType="begin"/>
      </w:r>
      <w:r w:rsidRPr="00A36DFB">
        <w:rPr>
          <w:sz w:val="20"/>
          <w:szCs w:val="20"/>
        </w:rPr>
        <w:instrText xml:space="preserve"> ADDIN ZOTERO_ITEM CSL_CITATION {"citationID":"s7hGL9HI","properties":{"formattedCitation":"[8]","plainCitation":"[8]"},"citationItems":[{"id":860,"uris":["http://zotero.org/users/2746557/items/VC4E25XM"],"uri":["http://zotero.org/users/2746557/items/VC4E25XM"],"itemData":{"id":860,"type":"article-journal","title":"Les douleurs en rhumatologie","container-title":"Douleur et Analgésie","page":"4–4","volume":"28","issue":"1","source":"Google Scholar","author":[{"family":"Coutaux","given":"A."}],"issued":{"date-parts":[["2015"]]}}}],"schema":"https://github.com/citation-style-language/schema/raw/master/csl-citation.json"} </w:instrText>
      </w:r>
      <w:r w:rsidR="008C4B30" w:rsidRPr="00A36DFB">
        <w:rPr>
          <w:sz w:val="20"/>
          <w:szCs w:val="20"/>
        </w:rPr>
        <w:fldChar w:fldCharType="separate"/>
      </w:r>
      <w:r w:rsidRPr="00A36DFB">
        <w:rPr>
          <w:sz w:val="20"/>
          <w:szCs w:val="20"/>
        </w:rPr>
        <w:t>[3]</w:t>
      </w:r>
      <w:r w:rsidR="008C4B30" w:rsidRPr="00A36DFB">
        <w:rPr>
          <w:sz w:val="20"/>
          <w:szCs w:val="20"/>
        </w:rPr>
        <w:fldChar w:fldCharType="end"/>
      </w:r>
      <w:r w:rsidRPr="00A36DFB">
        <w:rPr>
          <w:sz w:val="20"/>
          <w:szCs w:val="20"/>
        </w:rPr>
        <w:t xml:space="preserve">. La prévalence de la douleur chronique a révélé une augmentation  marquée liée à l’âge et ce jusqu’à la septième décennie de la vie, suivie d’un plateau ou d’une légère baisse à un âge très avancé </w:t>
      </w:r>
      <w:r w:rsidR="008C4B30" w:rsidRPr="00A36DFB">
        <w:rPr>
          <w:sz w:val="20"/>
          <w:szCs w:val="20"/>
        </w:rPr>
        <w:fldChar w:fldCharType="begin"/>
      </w:r>
      <w:r w:rsidRPr="00A36DFB">
        <w:rPr>
          <w:sz w:val="20"/>
          <w:szCs w:val="20"/>
        </w:rPr>
        <w:instrText xml:space="preserve"> ADDIN ZOTERO_ITEM CSL_CITATION {"citationID":"hXHmQu6s","properties":{"formattedCitation":"[9]","plainCitation":"[9]"},"citationItems":[{"id":299,"uris":["http://zotero.org/users/2746557/items/2GBBRVVC"],"uri":["http://zotero.org/users/2746557/items/2GBBRVVC"],"itemData":{"id":299,"type":"article-journal","title":"The epidemiology of pain in elderly people","container-title":"Clinics in Geriartric Medicine","page":"417-431","volume":"17","issue":"3","author":[{"family":"Helme. R.D.","given":""},{"family":"Gibson. S.J.","given":""}],"issued":{"date-parts":[["2001"]]}}}],"schema":"https://github.com/citation-style-language/schema/raw/master/csl-citation.json"} </w:instrText>
      </w:r>
      <w:r w:rsidR="008C4B30" w:rsidRPr="00A36DFB">
        <w:rPr>
          <w:sz w:val="20"/>
          <w:szCs w:val="20"/>
        </w:rPr>
        <w:fldChar w:fldCharType="separate"/>
      </w:r>
      <w:r w:rsidRPr="00A36DFB">
        <w:rPr>
          <w:sz w:val="20"/>
          <w:szCs w:val="20"/>
        </w:rPr>
        <w:t>[4,5]</w:t>
      </w:r>
      <w:r w:rsidR="008C4B30" w:rsidRPr="00A36DFB">
        <w:rPr>
          <w:sz w:val="20"/>
          <w:szCs w:val="20"/>
        </w:rPr>
        <w:fldChar w:fldCharType="end"/>
      </w:r>
      <w:r w:rsidRPr="00A36DFB">
        <w:rPr>
          <w:sz w:val="20"/>
          <w:szCs w:val="20"/>
        </w:rPr>
        <w:t xml:space="preserve">. Une revue de grandes études épidémiologiques a démontré que, outre la durée, d’autres critères doivent également être pris en considération pour définir la population de patients qui souffrent de douleur, tels que la fréquence, le type, l’intensité et l’impact fonctionnel </w:t>
      </w:r>
      <w:r w:rsidR="008C4B30" w:rsidRPr="00A36DFB">
        <w:rPr>
          <w:sz w:val="20"/>
          <w:szCs w:val="20"/>
        </w:rPr>
        <w:fldChar w:fldCharType="begin"/>
      </w:r>
      <w:r w:rsidRPr="00A36DFB">
        <w:rPr>
          <w:sz w:val="20"/>
          <w:szCs w:val="20"/>
        </w:rPr>
        <w:instrText xml:space="preserve"> ADDIN ZOTERO_ITEM CSL_CITATION {"citationID":"ovFpwLKT","properties":{"formattedCitation":"[11]","plainCitation":"[11]"},"citationItems":[{"id":310,"uris":["http://zotero.org/users/2746557/items/KTESC7Z3"],"uri":["http://zotero.org/users/2746557/items/KTESC7Z3"],"itemData":{"id":310,"type":"article-journal","title":"How prevalent is chronic pain?","container-title":"Pain Clinical Updates","page":"1-4","volume":"11","issue":"2","author":[{"family":"Harstall","given":"C"},{"family":"Ospina","given":"M"}],"issued":{"date-parts":[["2003"]]}}}],"schema":"https://github.com/citation-style-language/schema/raw/master/csl-citation.json"} </w:instrText>
      </w:r>
      <w:r w:rsidR="008C4B30" w:rsidRPr="00A36DFB">
        <w:rPr>
          <w:sz w:val="20"/>
          <w:szCs w:val="20"/>
        </w:rPr>
        <w:fldChar w:fldCharType="separate"/>
      </w:r>
      <w:r w:rsidRPr="00A36DFB">
        <w:rPr>
          <w:sz w:val="20"/>
          <w:szCs w:val="20"/>
        </w:rPr>
        <w:t>[6]</w:t>
      </w:r>
      <w:r w:rsidR="008C4B30" w:rsidRPr="00A36DFB">
        <w:rPr>
          <w:sz w:val="20"/>
          <w:szCs w:val="20"/>
        </w:rPr>
        <w:fldChar w:fldCharType="end"/>
      </w:r>
      <w:r w:rsidRPr="00A36DFB">
        <w:rPr>
          <w:sz w:val="20"/>
          <w:szCs w:val="20"/>
        </w:rPr>
        <w:t xml:space="preserve">. On dispose aujourd’hui d’un arsenal thérapeutique étendu de traitements antalgiques et </w:t>
      </w:r>
      <w:proofErr w:type="spellStart"/>
      <w:r w:rsidRPr="00A36DFB">
        <w:rPr>
          <w:sz w:val="20"/>
          <w:szCs w:val="20"/>
        </w:rPr>
        <w:t>co</w:t>
      </w:r>
      <w:proofErr w:type="spellEnd"/>
      <w:r w:rsidRPr="00A36DFB">
        <w:rPr>
          <w:sz w:val="20"/>
          <w:szCs w:val="20"/>
        </w:rPr>
        <w:t xml:space="preserve">-antalgiques pour la prise en charge de la douleur chronique. Le traitement de la douleur comporte des thérapeutiques médicamenteuses et non médicamenteuses. Les traitements médicamenteux ont pour but de réduire la transmission des messages nociceptifs ou de renforcer/diminuer les contrôles physiologiques inhibiteurs/excitateurs des messages nociceptifs s'exerçant au niveau médullaire </w:t>
      </w:r>
      <w:r w:rsidR="008C4B30" w:rsidRPr="00A36DFB">
        <w:rPr>
          <w:sz w:val="20"/>
          <w:szCs w:val="20"/>
        </w:rPr>
        <w:fldChar w:fldCharType="begin"/>
      </w:r>
      <w:r w:rsidRPr="00A36DFB">
        <w:rPr>
          <w:sz w:val="20"/>
          <w:szCs w:val="20"/>
        </w:rPr>
        <w:instrText xml:space="preserve"> ADDIN ZOTERO_ITEM CSL_CITATION {"citationID":"hmgJnR3I","properties":{"formattedCitation":"[12]","plainCitation":"[12]"},"citationItems":[{"id":1099,"uris":["http://zotero.org/users/2746557/items/8N8VWW6F"],"uri":["http://zotero.org/users/2746557/items/8N8VWW6F"],"itemData":{"id":1099,"type":"webpage","title":"La douleur chronique","URL":"http://www.caducee.net/DossierSpecialises/algologie/douleur-chronique.asp#","author":[{"family":"Baene","given":"Ludovic"},{"family":"Labrèze","given":"Laurent"}],"issued":{"date-parts":[["2002"]]},"accessed":{"date-parts":[["2015",12,10]]}}}],"schema":"https://github.com/citation-style-language/schema/raw/master/csl-citation.json"} </w:instrText>
      </w:r>
      <w:r w:rsidR="008C4B30" w:rsidRPr="00A36DFB">
        <w:rPr>
          <w:sz w:val="20"/>
          <w:szCs w:val="20"/>
        </w:rPr>
        <w:fldChar w:fldCharType="separate"/>
      </w:r>
      <w:r w:rsidRPr="00A36DFB">
        <w:rPr>
          <w:sz w:val="20"/>
          <w:szCs w:val="20"/>
        </w:rPr>
        <w:t>[7]</w:t>
      </w:r>
      <w:r w:rsidR="008C4B30" w:rsidRPr="00A36DFB">
        <w:rPr>
          <w:sz w:val="20"/>
          <w:szCs w:val="20"/>
        </w:rPr>
        <w:fldChar w:fldCharType="end"/>
      </w:r>
      <w:r w:rsidRPr="00A36DFB">
        <w:rPr>
          <w:sz w:val="20"/>
          <w:szCs w:val="20"/>
        </w:rPr>
        <w:t xml:space="preserve">. La connaissance des propriétés pharmacologiques et pharmacocinétiques des médicaments est indispensable pour une prise en charge optimale du patient douloureux à tous les stades de la maladie </w:t>
      </w:r>
      <w:r w:rsidR="008C4B30" w:rsidRPr="00A36DFB">
        <w:rPr>
          <w:sz w:val="20"/>
          <w:szCs w:val="20"/>
        </w:rPr>
        <w:fldChar w:fldCharType="begin"/>
      </w:r>
      <w:r w:rsidRPr="00A36DFB">
        <w:rPr>
          <w:sz w:val="20"/>
          <w:szCs w:val="20"/>
        </w:rPr>
        <w:instrText xml:space="preserve"> ADDIN ZOTERO_ITEM CSL_CITATION {"citationID":"jeRFYbOO","properties":{"formattedCitation":"[7]","plainCitation":"[7]"},"citationItems":[{"id":1369,"uris":["http://zotero.org/users/2746557/items/95WXVEWR"],"uri":["http://zotero.org/users/2746557/items/95WXVEWR"],"itemData":{"id":1369,"type":"article-journal","title":"Douleurs cancéreuses : bonnes pratiques cliniques de prise en charge, gestions des opioïdes forts","container-title":"La Presse Médicale","collection-title":"Chirurgie ambulatoire","page":"252-262","volume":"43","issue":"3","source":"ScienceDirect","abstract":"Points essentiels\nLa prévalence de la douleur augmente au cours de l’évolution de la maladie cancéreuse.\n\nL’incidence des cancers a considérablement progressé ces dernières années en France, mais grâce aux progrès thérapeutiques, le cancer est devenu une maladie chronique souvent associée à des douleurs séquellaires.\n\nL’évaluation de la douleur du cancer doit être pluridimensionnelle.\n\nLe mécanisme de la douleur cancéreuse est important à établir pour pouvoir prescrire la classe thérapeutique d’antalgiques adaptée.\n\nLes caractéristiques doivent être définies (douleur de fond et accès douloureux).\n\nOn dispose aujourd’hui d’un arsenal thérapeutique étendu de traitements antalgiques et notamment d’opioïdes forts.\n\nL’association d’antalgiques est fortement recommandée.\n\nLa connaissance des propriétés pharmacologiques et pharmacocinétiques des médicaments est indispensable et doit être associée à une relation médecin–malade de qualité pour garantir une prise en charge optimale du patient douloureux à tous les stades de la maladie.\nKey points\nPain prevalence increases during cancer course disease.\n\nCancer incidence is increasing in France, but thanks to therapeutic advances in the specific treatment, cancer has become a chronic disease, often associated with persistent pain.\n\nCancer pain evaluation should be multidimensional.\n\nPain mechanism (nociceptive, neuropathic or mixed pain) should be recognised in order to prescribe appropriate analgesic treatment.\n\nCancer pain characteristics should be defined (baseline and breakthrough pain).\n\nToday, a wide range of pain medications, including strong opioids, are available.\n\nThe use of analgesic combinations is strongly recommended for cancer pain management.\n\nMedication characteristics knowledge (pharmacodynamics and pharmacokinetics) is essential and must be associated with a good doctor–patient relationship, to ensure optimal treatment of the painful patient at all stages of the disease.","DOI":"10.1016/j.lpm.2013.05.005","ISSN":"0755-4982","shortTitle":"Douleurs cancéreuses","journalAbbreviation":"La Presse Médicale","author":[{"family":"Rostaing-Rigattieri","given":"Sylvie"},{"family":"Guerin","given":"Julien"}],"issued":{"date-parts":[["2014",3]]}}}],"schema":"https://github.com/citation-style-language/schema/raw/master/csl-citation.json"} </w:instrText>
      </w:r>
      <w:r w:rsidR="008C4B30" w:rsidRPr="00A36DFB">
        <w:rPr>
          <w:sz w:val="20"/>
          <w:szCs w:val="20"/>
        </w:rPr>
        <w:fldChar w:fldCharType="separate"/>
      </w:r>
      <w:r w:rsidRPr="00A36DFB">
        <w:rPr>
          <w:sz w:val="20"/>
          <w:szCs w:val="20"/>
        </w:rPr>
        <w:t>[8]</w:t>
      </w:r>
      <w:r w:rsidR="008C4B30" w:rsidRPr="00A36DFB">
        <w:rPr>
          <w:sz w:val="20"/>
          <w:szCs w:val="20"/>
        </w:rPr>
        <w:fldChar w:fldCharType="end"/>
      </w:r>
      <w:r w:rsidRPr="00A36DFB">
        <w:rPr>
          <w:sz w:val="20"/>
          <w:szCs w:val="20"/>
        </w:rPr>
        <w:t>. Le but de notre étude était d’évaluer la prise en charge médicamenteuse de la douleur chronique dans la ville de Yaoundé.</w:t>
      </w:r>
    </w:p>
    <w:p w:rsidR="00524B82" w:rsidRDefault="001723C9" w:rsidP="00524B82">
      <w:pPr>
        <w:jc w:val="both"/>
        <w:rPr>
          <w:b/>
          <w:sz w:val="20"/>
          <w:szCs w:val="20"/>
        </w:rPr>
      </w:pPr>
      <w:r w:rsidRPr="00F814AD">
        <w:rPr>
          <w:b/>
          <w:sz w:val="20"/>
          <w:szCs w:val="20"/>
        </w:rPr>
        <w:t>MATERIELS ET METHODES</w:t>
      </w:r>
    </w:p>
    <w:p w:rsidR="00A5167B" w:rsidRPr="009D497C" w:rsidRDefault="00D72D39" w:rsidP="00D72D39">
      <w:pPr>
        <w:jc w:val="both"/>
        <w:rPr>
          <w:sz w:val="20"/>
          <w:szCs w:val="20"/>
        </w:rPr>
      </w:pPr>
      <w:r w:rsidRPr="00D72D39">
        <w:rPr>
          <w:sz w:val="20"/>
          <w:szCs w:val="20"/>
        </w:rPr>
        <w:t>Il s’agissait d’une étude longitudinale et prospective de cinq mois, du 1</w:t>
      </w:r>
      <w:r w:rsidRPr="00D72D39">
        <w:rPr>
          <w:sz w:val="20"/>
          <w:szCs w:val="20"/>
          <w:vertAlign w:val="superscript"/>
        </w:rPr>
        <w:t>er</w:t>
      </w:r>
      <w:r w:rsidRPr="00D72D39">
        <w:rPr>
          <w:sz w:val="20"/>
          <w:szCs w:val="20"/>
        </w:rPr>
        <w:t xml:space="preserve"> janvier au 31 mai 2016. Elle était réalisée dans le service d’oncologie de l’Hôpital Général de Yaoundé et le service de rhumatologie de l’Hôpital Central de Yaoundé. Etaient inclus tous les patients présentant un syndrome douloureux chronique, et suivis dans l’un des services et ayant donné leur consentement éclairé. Etaient exclus, tout patient n’ayant pas donné son consentement et t</w:t>
      </w:r>
      <w:r w:rsidRPr="00D72D39">
        <w:rPr>
          <w:sz w:val="20"/>
          <w:szCs w:val="20"/>
          <w:lang w:val="fr-CM"/>
        </w:rPr>
        <w:t>out patient perdu de vue pendant l’étude.</w:t>
      </w:r>
      <w:r w:rsidRPr="00D72D39">
        <w:rPr>
          <w:sz w:val="20"/>
          <w:szCs w:val="20"/>
        </w:rPr>
        <w:t xml:space="preserve"> Après approbation du Comité National d'Éthique et l'obtention du consentement éclairé des malades, ces derniers étaient enregistrés sur une fiche individuelle de collecte des données préalablement établie. </w:t>
      </w:r>
      <w:r w:rsidRPr="00D72D39">
        <w:rPr>
          <w:sz w:val="20"/>
          <w:szCs w:val="20"/>
          <w:lang w:val="fr-CM"/>
        </w:rPr>
        <w:t>Il y avait 2 types de patients durant notre étude : les patients hospitalisés et les patients suivis en ambulatoire. Notre travail était basé sur plusieurs étapes. Le recrutement se faisait en ambulatoire pour les patients externes et au lit du malade pour les patients hospitalisés. Au cours de la consultation initiale, l’évaluation de l’intensité de la douleur se faisait à l’aide des échelles EVA (Echelle Visuelle Analogique), EN (Echelle Numérique) et on notait les antalgiques prescrits. Le suivi des patients se faisait aussi bien en ambulatoire  qu’en hospitalisation. En ambulatoire, chaque patient était vu sur 3 rendez-vous  successifs espacés d’une semaine. En hospitalisation, chaque patient était vu sur 3 rendez-vous successifs espacés de 2 jours : J2,  J4, J6. Durant le suivi, on relevait la réévaluation de l’intensité de la  douleur à l’aide des échelles EVA et EN, les effets secondaires du traitement, les changements de traitement, l’observance au traitement et la satisfaction des patients. L’évaluation de l’observance était réalisée sur la base d’un questionnaire</w:t>
      </w:r>
      <w:r w:rsidRPr="00D72D39">
        <w:rPr>
          <w:sz w:val="20"/>
          <w:szCs w:val="20"/>
        </w:rPr>
        <w:t xml:space="preserve">. Les résultats étaient qualifiés de bon, </w:t>
      </w:r>
      <w:r w:rsidRPr="00D72D39">
        <w:rPr>
          <w:sz w:val="20"/>
          <w:szCs w:val="20"/>
        </w:rPr>
        <w:lastRenderedPageBreak/>
        <w:t>moyen ou mauvais selon les critères suivants :</w:t>
      </w:r>
      <w:r w:rsidRPr="00D72D39">
        <w:rPr>
          <w:sz w:val="20"/>
          <w:szCs w:val="20"/>
          <w:lang w:val="fr-CM"/>
        </w:rPr>
        <w:t xml:space="preserve"> </w:t>
      </w:r>
      <w:r w:rsidRPr="00D72D39">
        <w:rPr>
          <w:sz w:val="20"/>
          <w:szCs w:val="20"/>
        </w:rPr>
        <w:t>Bon (lorsque le patient avait totalisé un score de « oui » égale à 0)</w:t>
      </w:r>
      <w:r w:rsidRPr="00D72D39">
        <w:rPr>
          <w:sz w:val="20"/>
          <w:szCs w:val="20"/>
          <w:lang w:val="fr-CM"/>
        </w:rPr>
        <w:t xml:space="preserve">, </w:t>
      </w:r>
      <w:r w:rsidRPr="00D72D39">
        <w:rPr>
          <w:sz w:val="20"/>
          <w:szCs w:val="20"/>
        </w:rPr>
        <w:t>Moyen (lorsque le patient avait un score de « oui » compris entre 1 et 2)</w:t>
      </w:r>
      <w:r w:rsidRPr="00D72D39">
        <w:rPr>
          <w:sz w:val="20"/>
          <w:szCs w:val="20"/>
          <w:lang w:val="fr-CM"/>
        </w:rPr>
        <w:t xml:space="preserve"> et </w:t>
      </w:r>
      <w:r w:rsidRPr="00D72D39">
        <w:rPr>
          <w:sz w:val="20"/>
          <w:szCs w:val="20"/>
        </w:rPr>
        <w:t>Mauvais</w:t>
      </w:r>
      <w:r w:rsidRPr="00D72D39">
        <w:rPr>
          <w:b/>
          <w:sz w:val="20"/>
          <w:szCs w:val="20"/>
        </w:rPr>
        <w:t xml:space="preserve"> </w:t>
      </w:r>
      <w:r w:rsidRPr="00D72D39">
        <w:rPr>
          <w:sz w:val="20"/>
          <w:szCs w:val="20"/>
        </w:rPr>
        <w:t>(lorsque le patient avait un score de « oui » supérieur à 2</w:t>
      </w:r>
      <w:bookmarkStart w:id="0" w:name="_Toc387613635"/>
      <w:bookmarkStart w:id="1" w:name="_Toc387875005"/>
      <w:bookmarkStart w:id="2" w:name="_Toc387906759"/>
      <w:bookmarkStart w:id="3" w:name="_Toc387914503"/>
      <w:r w:rsidRPr="00D72D39">
        <w:rPr>
          <w:sz w:val="20"/>
          <w:szCs w:val="20"/>
        </w:rPr>
        <w:t>)</w:t>
      </w:r>
      <w:r w:rsidRPr="00D72D39">
        <w:rPr>
          <w:sz w:val="20"/>
          <w:szCs w:val="20"/>
          <w:lang w:val="fr-CM"/>
        </w:rPr>
        <w:t xml:space="preserve">. </w:t>
      </w:r>
      <w:r w:rsidRPr="00D72D39">
        <w:rPr>
          <w:sz w:val="20"/>
          <w:szCs w:val="20"/>
        </w:rPr>
        <w:t>L’évaluation de la satisfaction des patients étant subjective. Elle s’est faite sur une échelle qui allait de 0 à 10. Le patient était qualifié de : très satisfait (entre 8 et 10), satisfait (entre 5 et 7), insatisfait (entre 3 et 4) et très insatisfait (entre 1 et 2)</w:t>
      </w:r>
      <w:bookmarkEnd w:id="0"/>
      <w:bookmarkEnd w:id="1"/>
      <w:bookmarkEnd w:id="2"/>
      <w:bookmarkEnd w:id="3"/>
      <w:r w:rsidRPr="00D72D39">
        <w:rPr>
          <w:sz w:val="20"/>
          <w:szCs w:val="20"/>
        </w:rPr>
        <w:t>. Les variables étudiées lors de la consultation initiale étaient l’intensité de la douleur, les pathologies en cause, les protocoles antalgiques. Les variables étudiées pendant le suivi étaient : l’évaluation de l’intensité de la douleur, les effets secondaires, l’observance et la satisfaction des patients. L’analyse statistique était réalisée par le logiciel  Epi info version 3.5.4 et Microsoft Excel 2013. Les variables quantitatives étaient décrites par leurs moyennes et les variables qualitatives par leurs effectifs et fréquences. L’étude  était réalisée dans le respect strict des principes fondamentaux de la recherche médicale :</w:t>
      </w:r>
      <w:r w:rsidRPr="00D72D39">
        <w:rPr>
          <w:b/>
          <w:sz w:val="20"/>
          <w:szCs w:val="20"/>
        </w:rPr>
        <w:t xml:space="preserve"> </w:t>
      </w:r>
      <w:r w:rsidRPr="00D72D39">
        <w:rPr>
          <w:sz w:val="20"/>
          <w:szCs w:val="20"/>
        </w:rPr>
        <w:t>le principe de l’intérêt et du bénéfice de la recherche ;</w:t>
      </w:r>
      <w:r w:rsidRPr="00D72D39">
        <w:rPr>
          <w:b/>
          <w:sz w:val="20"/>
          <w:szCs w:val="20"/>
        </w:rPr>
        <w:t xml:space="preserve"> </w:t>
      </w:r>
      <w:r w:rsidRPr="00D72D39">
        <w:rPr>
          <w:sz w:val="20"/>
          <w:szCs w:val="20"/>
        </w:rPr>
        <w:t>le principe de l’innocuité de la recherche ;</w:t>
      </w:r>
      <w:r w:rsidRPr="00D72D39">
        <w:rPr>
          <w:b/>
          <w:sz w:val="20"/>
          <w:szCs w:val="20"/>
        </w:rPr>
        <w:t xml:space="preserve"> </w:t>
      </w:r>
      <w:r w:rsidRPr="00D72D39">
        <w:rPr>
          <w:sz w:val="20"/>
          <w:szCs w:val="20"/>
        </w:rPr>
        <w:t>la confidentialité.</w:t>
      </w:r>
      <w:r w:rsidRPr="00D72D39">
        <w:rPr>
          <w:b/>
          <w:sz w:val="20"/>
          <w:szCs w:val="20"/>
        </w:rPr>
        <w:t xml:space="preserve"> </w:t>
      </w:r>
      <w:r w:rsidRPr="00D72D39">
        <w:rPr>
          <w:sz w:val="20"/>
          <w:szCs w:val="20"/>
        </w:rPr>
        <w:t>Une fiche d’information résumant les fondements de notre étude était  remise et expliquée aux parents ou tuteurs des patients et aux patients eux-mêmes. Avant le début de l’enquête, ils remplissaient la fiche de consentement éclairé. Après la collecte des données, toutes les informations étaient recueillies de façon confidentielle et sous anonymat.</w:t>
      </w:r>
    </w:p>
    <w:p w:rsidR="00104E43" w:rsidRDefault="001723C9" w:rsidP="00104E43">
      <w:pPr>
        <w:jc w:val="both"/>
        <w:rPr>
          <w:b/>
          <w:sz w:val="20"/>
          <w:szCs w:val="20"/>
        </w:rPr>
      </w:pPr>
      <w:r w:rsidRPr="00F814AD">
        <w:rPr>
          <w:b/>
          <w:sz w:val="20"/>
          <w:szCs w:val="20"/>
        </w:rPr>
        <w:t>RESULTATS</w:t>
      </w:r>
      <w:r w:rsidR="00577B56" w:rsidRPr="00F814AD">
        <w:rPr>
          <w:b/>
          <w:sz w:val="20"/>
          <w:szCs w:val="20"/>
        </w:rPr>
        <w:t> :</w:t>
      </w:r>
    </w:p>
    <w:p w:rsidR="00911CC0" w:rsidRPr="00911CC0" w:rsidRDefault="00911CC0" w:rsidP="00911CC0">
      <w:pPr>
        <w:jc w:val="both"/>
        <w:rPr>
          <w:sz w:val="20"/>
          <w:szCs w:val="20"/>
        </w:rPr>
      </w:pPr>
      <w:r w:rsidRPr="00911CC0">
        <w:rPr>
          <w:sz w:val="20"/>
          <w:szCs w:val="20"/>
        </w:rPr>
        <w:t xml:space="preserve">L’échantillon était constitué de 606 patients dont 403 patients (66,5%) au service de rhumatologie de l’Hôpital Central de Yaoundé et 203 patients (33,5%) au service d’oncologie de l’Hôpital Général de Yaoundé. Nos patients étaient divisés en deux groupes : les patients hospitalisés (20,1%) et les patients suivis en ambulatoire (79,9%). Il s’agissait de  213 hommes (35,1%) et 393 femmes (65,9%), soit un </w:t>
      </w:r>
      <w:proofErr w:type="spellStart"/>
      <w:r w:rsidRPr="00911CC0">
        <w:rPr>
          <w:sz w:val="20"/>
          <w:szCs w:val="20"/>
        </w:rPr>
        <w:t>sexe-ratio</w:t>
      </w:r>
      <w:proofErr w:type="spellEnd"/>
      <w:r w:rsidRPr="00911CC0">
        <w:rPr>
          <w:sz w:val="20"/>
          <w:szCs w:val="20"/>
        </w:rPr>
        <w:t xml:space="preserve"> de 1,8 en faveur du sexe féminin. L’âge moyen était de 52 ± 14,4 ans, avec des extrêmes de 17 et 85 ans. La tranche d’âge de 51-60 ans représentait  33,5% de l’effectif. La douleur occupait plusieurs localisations et les plus </w:t>
      </w:r>
      <w:proofErr w:type="spellStart"/>
      <w:r w:rsidRPr="00911CC0">
        <w:rPr>
          <w:sz w:val="20"/>
          <w:szCs w:val="20"/>
        </w:rPr>
        <w:t>representées</w:t>
      </w:r>
      <w:proofErr w:type="spellEnd"/>
      <w:r w:rsidRPr="00911CC0">
        <w:rPr>
          <w:sz w:val="20"/>
          <w:szCs w:val="20"/>
        </w:rPr>
        <w:t xml:space="preserve"> étaient : les membres inférieurs (31%) et la région lombaire (25,7%). Lors de la consultation initiale, la douleur était modérée chez 574 patients, soit 94,7% des cas </w:t>
      </w:r>
    </w:p>
    <w:p w:rsidR="00911CC0" w:rsidRDefault="00911CC0" w:rsidP="00911CC0">
      <w:pPr>
        <w:jc w:val="center"/>
        <w:rPr>
          <w:sz w:val="20"/>
          <w:szCs w:val="20"/>
        </w:rPr>
      </w:pPr>
      <w:bookmarkStart w:id="4" w:name="_Toc453592161"/>
      <w:r w:rsidRPr="00D67E06">
        <w:rPr>
          <w:b/>
          <w:sz w:val="20"/>
          <w:szCs w:val="20"/>
        </w:rPr>
        <w:t>Figure 1:</w:t>
      </w:r>
      <w:r w:rsidRPr="00CC69C2">
        <w:rPr>
          <w:sz w:val="20"/>
          <w:szCs w:val="20"/>
        </w:rPr>
        <w:t xml:space="preserve"> Distribution selon l'intensité de la do</w:t>
      </w:r>
      <w:r>
        <w:rPr>
          <w:sz w:val="20"/>
          <w:szCs w:val="20"/>
        </w:rPr>
        <w:t>uleur avec les échelles (EVA</w:t>
      </w:r>
      <w:r w:rsidRPr="00CC69C2">
        <w:rPr>
          <w:sz w:val="20"/>
          <w:szCs w:val="20"/>
        </w:rPr>
        <w:t>)</w:t>
      </w:r>
      <w:bookmarkEnd w:id="4"/>
    </w:p>
    <w:p w:rsidR="00911CC0" w:rsidRDefault="00911CC0" w:rsidP="00911CC0">
      <w:pPr>
        <w:jc w:val="center"/>
        <w:rPr>
          <w:sz w:val="20"/>
          <w:szCs w:val="20"/>
        </w:rPr>
      </w:pPr>
    </w:p>
    <w:p w:rsidR="00911CC0" w:rsidRDefault="00911CC0" w:rsidP="00104E43">
      <w:pPr>
        <w:jc w:val="both"/>
        <w:rPr>
          <w:sz w:val="20"/>
          <w:szCs w:val="20"/>
        </w:rPr>
      </w:pPr>
      <w:r w:rsidRPr="00911CC0">
        <w:rPr>
          <w:noProof/>
          <w:sz w:val="20"/>
          <w:szCs w:val="20"/>
          <w:lang w:eastAsia="fr-FR"/>
        </w:rPr>
        <w:drawing>
          <wp:inline distT="0" distB="0" distL="0" distR="0">
            <wp:extent cx="2926798" cy="1725433"/>
            <wp:effectExtent l="19050" t="0" r="25952" b="8117"/>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1CC0" w:rsidRDefault="00911CC0" w:rsidP="00104E43">
      <w:pPr>
        <w:jc w:val="both"/>
        <w:rPr>
          <w:sz w:val="20"/>
          <w:szCs w:val="20"/>
        </w:rPr>
      </w:pPr>
    </w:p>
    <w:p w:rsidR="00911CC0" w:rsidRDefault="00911CC0" w:rsidP="00104E43">
      <w:pPr>
        <w:jc w:val="both"/>
        <w:rPr>
          <w:sz w:val="20"/>
          <w:szCs w:val="20"/>
        </w:rPr>
      </w:pPr>
      <w:r w:rsidRPr="00911CC0">
        <w:rPr>
          <w:sz w:val="20"/>
          <w:szCs w:val="20"/>
        </w:rPr>
        <w:lastRenderedPageBreak/>
        <w:t xml:space="preserve">Les pathologies pourvoyeuses de douleurs en rhumatologie étaient : l’arthrose (71,2%, n=287) et la hernie discale (20,1%, n=81). Les pathologies </w:t>
      </w:r>
      <w:proofErr w:type="spellStart"/>
      <w:r w:rsidRPr="00911CC0">
        <w:rPr>
          <w:sz w:val="20"/>
          <w:szCs w:val="20"/>
        </w:rPr>
        <w:t>pouvoyeuses</w:t>
      </w:r>
      <w:proofErr w:type="spellEnd"/>
      <w:r w:rsidRPr="00911CC0">
        <w:rPr>
          <w:sz w:val="20"/>
          <w:szCs w:val="20"/>
        </w:rPr>
        <w:t xml:space="preserve"> de douleur en oncologie étaient : le cancer du sein (24,1%, n=49) ; le cancer du col utérus (13,8%, n=28) ; le cancer de la prostate (11,8%, n=24) et le cancer de l’ovaire (11,8%, n=24). Dans notre population d’étude, selon la classification des antalgiques de l’OMS, les antalgiques les plus prescrits étaient ceux du palier 1 (58,6%). Le </w:t>
      </w:r>
      <w:proofErr w:type="spellStart"/>
      <w:r w:rsidRPr="00911CC0">
        <w:rPr>
          <w:sz w:val="20"/>
          <w:szCs w:val="20"/>
        </w:rPr>
        <w:t>pracétamol</w:t>
      </w:r>
      <w:proofErr w:type="spellEnd"/>
      <w:r w:rsidRPr="00911CC0">
        <w:rPr>
          <w:sz w:val="20"/>
          <w:szCs w:val="20"/>
        </w:rPr>
        <w:t xml:space="preserve"> (n= 325) et le </w:t>
      </w:r>
      <w:proofErr w:type="spellStart"/>
      <w:r w:rsidRPr="00911CC0">
        <w:rPr>
          <w:sz w:val="20"/>
          <w:szCs w:val="20"/>
        </w:rPr>
        <w:t>tramadol</w:t>
      </w:r>
      <w:proofErr w:type="spellEnd"/>
      <w:r w:rsidRPr="00911CC0">
        <w:rPr>
          <w:sz w:val="20"/>
          <w:szCs w:val="20"/>
        </w:rPr>
        <w:t xml:space="preserve"> (n = 282) étaient les molécules les plus prescrites.</w:t>
      </w:r>
    </w:p>
    <w:p w:rsidR="0027135A" w:rsidRDefault="0027135A" w:rsidP="00104E43">
      <w:pPr>
        <w:jc w:val="both"/>
        <w:rPr>
          <w:sz w:val="20"/>
          <w:szCs w:val="20"/>
        </w:rPr>
      </w:pPr>
    </w:p>
    <w:p w:rsidR="00882E07" w:rsidRPr="00882E07" w:rsidRDefault="00882E07" w:rsidP="00882E07">
      <w:pPr>
        <w:jc w:val="both"/>
        <w:rPr>
          <w:bCs/>
          <w:sz w:val="20"/>
          <w:szCs w:val="20"/>
        </w:rPr>
      </w:pPr>
      <w:r w:rsidRPr="00882E07">
        <w:rPr>
          <w:b/>
          <w:bCs/>
          <w:sz w:val="20"/>
          <w:szCs w:val="20"/>
        </w:rPr>
        <w:t xml:space="preserve">Tableau </w:t>
      </w:r>
      <w:r w:rsidR="008C4B30" w:rsidRPr="00882E07">
        <w:rPr>
          <w:b/>
          <w:bCs/>
          <w:sz w:val="20"/>
          <w:szCs w:val="20"/>
        </w:rPr>
        <w:fldChar w:fldCharType="begin"/>
      </w:r>
      <w:r w:rsidRPr="00882E07">
        <w:rPr>
          <w:b/>
          <w:bCs/>
          <w:sz w:val="20"/>
          <w:szCs w:val="20"/>
        </w:rPr>
        <w:instrText xml:space="preserve"> SEQ Tableau \* ROMAN </w:instrText>
      </w:r>
      <w:r w:rsidR="008C4B30" w:rsidRPr="00882E07">
        <w:rPr>
          <w:b/>
          <w:bCs/>
          <w:sz w:val="20"/>
          <w:szCs w:val="20"/>
        </w:rPr>
        <w:fldChar w:fldCharType="separate"/>
      </w:r>
      <w:r w:rsidRPr="00882E07">
        <w:rPr>
          <w:b/>
          <w:bCs/>
          <w:sz w:val="20"/>
          <w:szCs w:val="20"/>
        </w:rPr>
        <w:t>I</w:t>
      </w:r>
      <w:r w:rsidR="008C4B30" w:rsidRPr="00882E07">
        <w:rPr>
          <w:sz w:val="20"/>
          <w:szCs w:val="20"/>
        </w:rPr>
        <w:fldChar w:fldCharType="end"/>
      </w:r>
      <w:r w:rsidRPr="00882E07">
        <w:rPr>
          <w:b/>
          <w:bCs/>
          <w:sz w:val="20"/>
          <w:szCs w:val="20"/>
        </w:rPr>
        <w:t>:</w:t>
      </w:r>
      <w:r w:rsidRPr="00882E07">
        <w:rPr>
          <w:bCs/>
          <w:sz w:val="20"/>
          <w:szCs w:val="20"/>
        </w:rPr>
        <w:t xml:space="preserve"> Distribution des antalgiques utilisés</w:t>
      </w:r>
    </w:p>
    <w:tbl>
      <w:tblPr>
        <w:tblStyle w:val="Tramemoyenne1-Accent12"/>
        <w:tblW w:w="4670" w:type="dxa"/>
        <w:tblLook w:val="04A0" w:firstRow="1" w:lastRow="0" w:firstColumn="1" w:lastColumn="0" w:noHBand="0" w:noVBand="1"/>
      </w:tblPr>
      <w:tblGrid>
        <w:gridCol w:w="1161"/>
        <w:gridCol w:w="1283"/>
        <w:gridCol w:w="1043"/>
        <w:gridCol w:w="1283"/>
      </w:tblGrid>
      <w:tr w:rsidR="00882E07" w:rsidRPr="00F13D6A" w:rsidTr="00C978BA">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68" w:type="dxa"/>
            <w:noWrap/>
            <w:hideMark/>
          </w:tcPr>
          <w:p w:rsidR="00882E07" w:rsidRPr="00F13D6A" w:rsidRDefault="00882E07" w:rsidP="005602FC">
            <w:pPr>
              <w:rPr>
                <w:rFonts w:eastAsia="Times New Roman"/>
                <w:b w:val="0"/>
                <w:bCs w:val="0"/>
                <w:sz w:val="20"/>
                <w:szCs w:val="20"/>
                <w:lang w:eastAsia="fr-FR"/>
              </w:rPr>
            </w:pPr>
            <w:r w:rsidRPr="00F13D6A">
              <w:rPr>
                <w:rFonts w:eastAsia="Times New Roman"/>
                <w:sz w:val="20"/>
                <w:szCs w:val="20"/>
                <w:lang w:eastAsia="fr-FR"/>
              </w:rPr>
              <w:t>Antalgique</w:t>
            </w:r>
          </w:p>
        </w:tc>
        <w:tc>
          <w:tcPr>
            <w:tcW w:w="1379" w:type="dxa"/>
            <w:hideMark/>
          </w:tcPr>
          <w:p w:rsidR="00882E07" w:rsidRPr="00F13D6A" w:rsidRDefault="00882E07" w:rsidP="005602FC">
            <w:pP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lang w:eastAsia="fr-FR"/>
              </w:rPr>
            </w:pPr>
            <w:r w:rsidRPr="00F13D6A">
              <w:rPr>
                <w:rFonts w:eastAsia="Times New Roman"/>
                <w:sz w:val="20"/>
                <w:szCs w:val="20"/>
                <w:lang w:eastAsia="fr-FR"/>
              </w:rPr>
              <w:t>Médicament</w:t>
            </w:r>
          </w:p>
        </w:tc>
        <w:tc>
          <w:tcPr>
            <w:tcW w:w="1043" w:type="dxa"/>
            <w:hideMark/>
          </w:tcPr>
          <w:p w:rsidR="00882E07" w:rsidRDefault="00882E07" w:rsidP="005602FC">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r w:rsidRPr="00F13D6A">
              <w:rPr>
                <w:rFonts w:eastAsia="Times New Roman"/>
                <w:sz w:val="20"/>
                <w:szCs w:val="20"/>
                <w:lang w:eastAsia="fr-FR"/>
              </w:rPr>
              <w:t>Effectif</w:t>
            </w:r>
            <w:r>
              <w:rPr>
                <w:rFonts w:eastAsia="Times New Roman"/>
                <w:sz w:val="20"/>
                <w:szCs w:val="20"/>
                <w:lang w:eastAsia="fr-FR"/>
              </w:rPr>
              <w:t xml:space="preserve"> </w:t>
            </w:r>
          </w:p>
          <w:p w:rsidR="00882E07" w:rsidRPr="00F13D6A" w:rsidRDefault="00882E07" w:rsidP="005602FC">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lang w:eastAsia="fr-FR"/>
              </w:rPr>
            </w:pPr>
            <w:r>
              <w:rPr>
                <w:rFonts w:eastAsia="Times New Roman"/>
                <w:sz w:val="20"/>
                <w:szCs w:val="20"/>
                <w:lang w:eastAsia="fr-FR"/>
              </w:rPr>
              <w:t>(n = 964)</w:t>
            </w:r>
          </w:p>
        </w:tc>
        <w:tc>
          <w:tcPr>
            <w:tcW w:w="1180" w:type="dxa"/>
            <w:hideMark/>
          </w:tcPr>
          <w:p w:rsidR="00882E07" w:rsidRPr="00F13D6A" w:rsidRDefault="00882E07" w:rsidP="005602FC">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lang w:eastAsia="fr-FR"/>
              </w:rPr>
            </w:pPr>
            <w:r w:rsidRPr="00F13D6A">
              <w:rPr>
                <w:rFonts w:eastAsia="Times New Roman"/>
                <w:sz w:val="20"/>
                <w:szCs w:val="20"/>
                <w:lang w:eastAsia="fr-FR"/>
              </w:rPr>
              <w:t>Pourcentage</w:t>
            </w:r>
          </w:p>
        </w:tc>
      </w:tr>
      <w:tr w:rsidR="00882E07" w:rsidRPr="00F13D6A" w:rsidTr="00C978BA">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68" w:type="dxa"/>
            <w:vMerge w:val="restart"/>
            <w:noWrap/>
            <w:hideMark/>
          </w:tcPr>
          <w:p w:rsidR="00882E07" w:rsidRPr="00F13D6A" w:rsidRDefault="00882E07" w:rsidP="005602FC">
            <w:pPr>
              <w:rPr>
                <w:rFonts w:eastAsia="Times New Roman"/>
                <w:b w:val="0"/>
                <w:sz w:val="20"/>
                <w:szCs w:val="20"/>
                <w:lang w:eastAsia="fr-FR"/>
              </w:rPr>
            </w:pPr>
            <w:r>
              <w:rPr>
                <w:rFonts w:eastAsia="Times New Roman"/>
                <w:sz w:val="20"/>
                <w:szCs w:val="20"/>
                <w:lang w:eastAsia="fr-FR"/>
              </w:rPr>
              <w:t>Palier 1</w:t>
            </w:r>
          </w:p>
        </w:tc>
        <w:tc>
          <w:tcPr>
            <w:tcW w:w="1379" w:type="dxa"/>
            <w:hideMark/>
          </w:tcPr>
          <w:p w:rsidR="00882E07" w:rsidRDefault="00882E07"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52485">
              <w:rPr>
                <w:rFonts w:eastAsia="Times New Roman"/>
                <w:sz w:val="20"/>
                <w:szCs w:val="20"/>
                <w:lang w:eastAsia="fr-FR"/>
              </w:rPr>
              <w:t>Paracétamol</w:t>
            </w:r>
            <w:r>
              <w:rPr>
                <w:rFonts w:eastAsia="Times New Roman"/>
                <w:sz w:val="20"/>
                <w:szCs w:val="20"/>
                <w:lang w:eastAsia="fr-FR"/>
              </w:rPr>
              <w:t xml:space="preserve"> </w:t>
            </w:r>
          </w:p>
          <w:p w:rsidR="00882E07" w:rsidRPr="00352485" w:rsidRDefault="00882E07"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(n = 325)</w:t>
            </w:r>
          </w:p>
        </w:tc>
        <w:tc>
          <w:tcPr>
            <w:tcW w:w="1043" w:type="dxa"/>
            <w:vMerge w:val="restart"/>
            <w:hideMark/>
          </w:tcPr>
          <w:p w:rsidR="00882E07" w:rsidRPr="00352485" w:rsidRDefault="00882E07" w:rsidP="005602FC">
            <w:pPr>
              <w:jc w:val="cente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fr-FR"/>
              </w:rPr>
            </w:pPr>
            <w:r w:rsidRPr="00352485">
              <w:rPr>
                <w:rFonts w:eastAsia="Times New Roman"/>
                <w:b/>
                <w:sz w:val="20"/>
                <w:szCs w:val="20"/>
                <w:lang w:eastAsia="fr-FR"/>
              </w:rPr>
              <w:t>565</w:t>
            </w:r>
          </w:p>
        </w:tc>
        <w:tc>
          <w:tcPr>
            <w:tcW w:w="1180" w:type="dxa"/>
            <w:vMerge w:val="restart"/>
            <w:hideMark/>
          </w:tcPr>
          <w:p w:rsidR="00882E07" w:rsidRPr="00352485" w:rsidRDefault="00882E07" w:rsidP="005602FC">
            <w:pPr>
              <w:jc w:val="center"/>
              <w:cnfStyle w:val="000000100000" w:firstRow="0" w:lastRow="0" w:firstColumn="0" w:lastColumn="0" w:oddVBand="0" w:evenVBand="0" w:oddHBand="1" w:evenHBand="0" w:firstRowFirstColumn="0" w:firstRowLastColumn="0" w:lastRowFirstColumn="0" w:lastRowLastColumn="0"/>
              <w:rPr>
                <w:b/>
                <w:color w:val="000000"/>
                <w:sz w:val="20"/>
                <w:szCs w:val="20"/>
                <w:lang w:eastAsia="fr-FR"/>
              </w:rPr>
            </w:pPr>
            <w:r w:rsidRPr="00352485">
              <w:rPr>
                <w:b/>
                <w:color w:val="000000"/>
                <w:sz w:val="20"/>
                <w:szCs w:val="20"/>
              </w:rPr>
              <w:t>58,6%</w:t>
            </w:r>
          </w:p>
        </w:tc>
      </w:tr>
      <w:tr w:rsidR="00882E07" w:rsidRPr="00F13D6A" w:rsidTr="00C978BA">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68" w:type="dxa"/>
            <w:vMerge/>
            <w:noWrap/>
            <w:hideMark/>
          </w:tcPr>
          <w:p w:rsidR="00882E07" w:rsidRPr="00F13D6A" w:rsidRDefault="00882E07" w:rsidP="005602FC">
            <w:pPr>
              <w:rPr>
                <w:rFonts w:eastAsia="Times New Roman"/>
                <w:sz w:val="20"/>
                <w:szCs w:val="20"/>
                <w:lang w:eastAsia="fr-FR"/>
              </w:rPr>
            </w:pPr>
          </w:p>
        </w:tc>
        <w:tc>
          <w:tcPr>
            <w:tcW w:w="1379" w:type="dxa"/>
            <w:hideMark/>
          </w:tcPr>
          <w:p w:rsidR="00882E07" w:rsidRPr="00F13D6A" w:rsidRDefault="00882E07" w:rsidP="005602FC">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proofErr w:type="spellStart"/>
            <w:r w:rsidRPr="00F13D6A">
              <w:rPr>
                <w:rFonts w:eastAsia="Times New Roman"/>
                <w:sz w:val="20"/>
                <w:szCs w:val="20"/>
                <w:lang w:eastAsia="fr-FR"/>
              </w:rPr>
              <w:t>Métamizole</w:t>
            </w:r>
            <w:proofErr w:type="spellEnd"/>
            <w:r w:rsidRPr="00F13D6A">
              <w:rPr>
                <w:rFonts w:eastAsia="Times New Roman"/>
                <w:sz w:val="20"/>
                <w:szCs w:val="20"/>
                <w:lang w:eastAsia="fr-FR"/>
              </w:rPr>
              <w:t xml:space="preserve"> Sodique</w:t>
            </w:r>
            <w:r>
              <w:rPr>
                <w:rFonts w:eastAsia="Times New Roman"/>
                <w:sz w:val="20"/>
                <w:szCs w:val="20"/>
                <w:lang w:eastAsia="fr-FR"/>
              </w:rPr>
              <w:t xml:space="preserve"> (n = 4)</w:t>
            </w:r>
          </w:p>
        </w:tc>
        <w:tc>
          <w:tcPr>
            <w:tcW w:w="1043" w:type="dxa"/>
            <w:vMerge/>
            <w:hideMark/>
          </w:tcPr>
          <w:p w:rsidR="00882E07" w:rsidRPr="00F13D6A" w:rsidRDefault="00882E07" w:rsidP="005602FC">
            <w:pPr>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p>
        </w:tc>
        <w:tc>
          <w:tcPr>
            <w:tcW w:w="1180" w:type="dxa"/>
            <w:vMerge/>
            <w:hideMark/>
          </w:tcPr>
          <w:p w:rsidR="00882E07" w:rsidRPr="00F13D6A" w:rsidRDefault="00882E07" w:rsidP="005602F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
        </w:tc>
      </w:tr>
      <w:tr w:rsidR="00882E07" w:rsidRPr="00F13D6A" w:rsidTr="00C978B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68" w:type="dxa"/>
            <w:vMerge/>
            <w:noWrap/>
            <w:hideMark/>
          </w:tcPr>
          <w:p w:rsidR="00882E07" w:rsidRPr="00F13D6A" w:rsidRDefault="00882E07" w:rsidP="005602FC">
            <w:pPr>
              <w:rPr>
                <w:rFonts w:eastAsia="Times New Roman"/>
                <w:sz w:val="20"/>
                <w:szCs w:val="20"/>
                <w:lang w:eastAsia="fr-FR"/>
              </w:rPr>
            </w:pPr>
          </w:p>
        </w:tc>
        <w:tc>
          <w:tcPr>
            <w:tcW w:w="1379" w:type="dxa"/>
            <w:hideMark/>
          </w:tcPr>
          <w:p w:rsidR="00882E07" w:rsidRDefault="00882E07"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proofErr w:type="spellStart"/>
            <w:r w:rsidRPr="00F13D6A">
              <w:rPr>
                <w:rFonts w:eastAsia="Times New Roman"/>
                <w:sz w:val="20"/>
                <w:szCs w:val="20"/>
                <w:lang w:eastAsia="fr-FR"/>
              </w:rPr>
              <w:t>Nefopam</w:t>
            </w:r>
            <w:proofErr w:type="spellEnd"/>
            <w:r>
              <w:rPr>
                <w:rFonts w:eastAsia="Times New Roman"/>
                <w:sz w:val="20"/>
                <w:szCs w:val="20"/>
                <w:lang w:eastAsia="fr-FR"/>
              </w:rPr>
              <w:t xml:space="preserve"> </w:t>
            </w:r>
          </w:p>
          <w:p w:rsidR="00882E07" w:rsidRPr="00F13D6A" w:rsidRDefault="00882E07"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(n = 11)</w:t>
            </w:r>
          </w:p>
        </w:tc>
        <w:tc>
          <w:tcPr>
            <w:tcW w:w="1043" w:type="dxa"/>
            <w:vMerge/>
            <w:hideMark/>
          </w:tcPr>
          <w:p w:rsidR="00882E07" w:rsidRPr="00F13D6A" w:rsidRDefault="00882E07" w:rsidP="005602FC">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p>
        </w:tc>
        <w:tc>
          <w:tcPr>
            <w:tcW w:w="1180" w:type="dxa"/>
            <w:vMerge/>
            <w:hideMark/>
          </w:tcPr>
          <w:p w:rsidR="00882E07" w:rsidRPr="00F13D6A" w:rsidRDefault="00882E07" w:rsidP="005602FC">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882E07" w:rsidRPr="00F13D6A" w:rsidTr="00C978BA">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068" w:type="dxa"/>
            <w:vMerge/>
            <w:noWrap/>
            <w:hideMark/>
          </w:tcPr>
          <w:p w:rsidR="00882E07" w:rsidRPr="00F13D6A" w:rsidRDefault="00882E07" w:rsidP="005602FC">
            <w:pPr>
              <w:rPr>
                <w:rFonts w:eastAsia="Times New Roman"/>
                <w:sz w:val="20"/>
                <w:szCs w:val="20"/>
                <w:lang w:eastAsia="fr-FR"/>
              </w:rPr>
            </w:pPr>
          </w:p>
        </w:tc>
        <w:tc>
          <w:tcPr>
            <w:tcW w:w="1379" w:type="dxa"/>
            <w:hideMark/>
          </w:tcPr>
          <w:p w:rsidR="00882E07" w:rsidRPr="00352485" w:rsidRDefault="00882E07" w:rsidP="005602FC">
            <w:pPr>
              <w:cnfStyle w:val="000000010000" w:firstRow="0" w:lastRow="0" w:firstColumn="0" w:lastColumn="0" w:oddVBand="0" w:evenVBand="0" w:oddHBand="0" w:evenHBand="1" w:firstRowFirstColumn="0" w:firstRowLastColumn="0" w:lastRowFirstColumn="0" w:lastRowLastColumn="0"/>
              <w:rPr>
                <w:rFonts w:eastAsia="Times New Roman"/>
                <w:bCs/>
                <w:sz w:val="20"/>
                <w:szCs w:val="20"/>
                <w:lang w:eastAsia="fr-FR"/>
              </w:rPr>
            </w:pPr>
            <w:r w:rsidRPr="00352485">
              <w:rPr>
                <w:rFonts w:eastAsia="Times New Roman"/>
                <w:bCs/>
                <w:sz w:val="20"/>
                <w:szCs w:val="20"/>
                <w:lang w:eastAsia="fr-FR"/>
              </w:rPr>
              <w:t>AINS</w:t>
            </w:r>
            <w:r>
              <w:rPr>
                <w:rFonts w:eastAsia="Times New Roman"/>
                <w:bCs/>
                <w:sz w:val="20"/>
                <w:szCs w:val="20"/>
                <w:lang w:eastAsia="fr-FR"/>
              </w:rPr>
              <w:t xml:space="preserve"> (n = 225)</w:t>
            </w:r>
          </w:p>
        </w:tc>
        <w:tc>
          <w:tcPr>
            <w:tcW w:w="1043" w:type="dxa"/>
            <w:vMerge/>
            <w:hideMark/>
          </w:tcPr>
          <w:p w:rsidR="00882E07" w:rsidRPr="00352485" w:rsidRDefault="00882E07" w:rsidP="005602FC">
            <w:pPr>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p>
        </w:tc>
        <w:tc>
          <w:tcPr>
            <w:tcW w:w="1180" w:type="dxa"/>
            <w:vMerge/>
            <w:hideMark/>
          </w:tcPr>
          <w:p w:rsidR="00882E07" w:rsidRPr="00352485" w:rsidRDefault="00882E07" w:rsidP="005602FC">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p>
        </w:tc>
      </w:tr>
      <w:tr w:rsidR="00882E07" w:rsidRPr="00F13D6A" w:rsidTr="00C978B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068" w:type="dxa"/>
            <w:vMerge w:val="restart"/>
            <w:noWrap/>
            <w:hideMark/>
          </w:tcPr>
          <w:p w:rsidR="00882E07" w:rsidRPr="00032C74" w:rsidRDefault="00882E07" w:rsidP="005602FC">
            <w:pPr>
              <w:rPr>
                <w:rFonts w:eastAsia="Times New Roman"/>
                <w:b w:val="0"/>
                <w:sz w:val="20"/>
                <w:szCs w:val="20"/>
                <w:lang w:eastAsia="fr-FR"/>
              </w:rPr>
            </w:pPr>
            <w:r>
              <w:rPr>
                <w:rFonts w:eastAsia="Times New Roman"/>
                <w:b w:val="0"/>
                <w:sz w:val="20"/>
                <w:szCs w:val="20"/>
                <w:lang w:eastAsia="fr-FR"/>
              </w:rPr>
              <w:t>Palier 2</w:t>
            </w:r>
          </w:p>
        </w:tc>
        <w:tc>
          <w:tcPr>
            <w:tcW w:w="1379" w:type="dxa"/>
            <w:hideMark/>
          </w:tcPr>
          <w:p w:rsidR="00882E07" w:rsidRDefault="00882E07"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proofErr w:type="spellStart"/>
            <w:r w:rsidRPr="00352485">
              <w:rPr>
                <w:rFonts w:eastAsia="Times New Roman"/>
                <w:sz w:val="20"/>
                <w:szCs w:val="20"/>
                <w:lang w:eastAsia="fr-FR"/>
              </w:rPr>
              <w:t>Tramadol</w:t>
            </w:r>
            <w:proofErr w:type="spellEnd"/>
            <w:r>
              <w:rPr>
                <w:rFonts w:eastAsia="Times New Roman"/>
                <w:sz w:val="20"/>
                <w:szCs w:val="20"/>
                <w:lang w:eastAsia="fr-FR"/>
              </w:rPr>
              <w:t xml:space="preserve"> </w:t>
            </w:r>
          </w:p>
          <w:p w:rsidR="00882E07" w:rsidRPr="00352485" w:rsidRDefault="00882E07"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(n = 282)</w:t>
            </w:r>
          </w:p>
        </w:tc>
        <w:tc>
          <w:tcPr>
            <w:tcW w:w="1043" w:type="dxa"/>
            <w:vMerge w:val="restart"/>
            <w:noWrap/>
            <w:hideMark/>
          </w:tcPr>
          <w:p w:rsidR="00882E07" w:rsidRPr="00352485" w:rsidRDefault="00882E07" w:rsidP="005602FC">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362</w:t>
            </w:r>
          </w:p>
        </w:tc>
        <w:tc>
          <w:tcPr>
            <w:tcW w:w="1180" w:type="dxa"/>
            <w:vMerge w:val="restart"/>
            <w:noWrap/>
            <w:hideMark/>
          </w:tcPr>
          <w:p w:rsidR="00882E07" w:rsidRPr="00352485" w:rsidRDefault="00882E07" w:rsidP="005602FC">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37,6</w:t>
            </w:r>
            <w:r w:rsidRPr="00F13D6A">
              <w:rPr>
                <w:rFonts w:eastAsia="Times New Roman"/>
                <w:sz w:val="20"/>
                <w:szCs w:val="20"/>
                <w:lang w:eastAsia="fr-FR"/>
              </w:rPr>
              <w:t>%</w:t>
            </w:r>
          </w:p>
        </w:tc>
      </w:tr>
      <w:tr w:rsidR="00882E07" w:rsidRPr="00F13D6A" w:rsidTr="00C978BA">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68" w:type="dxa"/>
            <w:vMerge/>
            <w:noWrap/>
          </w:tcPr>
          <w:p w:rsidR="00882E07" w:rsidRDefault="00882E07" w:rsidP="005602FC">
            <w:pPr>
              <w:rPr>
                <w:rFonts w:eastAsia="Times New Roman"/>
                <w:sz w:val="20"/>
                <w:szCs w:val="20"/>
                <w:lang w:eastAsia="fr-FR"/>
              </w:rPr>
            </w:pPr>
          </w:p>
        </w:tc>
        <w:tc>
          <w:tcPr>
            <w:tcW w:w="1379" w:type="dxa"/>
          </w:tcPr>
          <w:p w:rsidR="00882E07" w:rsidRDefault="00882E07" w:rsidP="005602FC">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F13D6A">
              <w:rPr>
                <w:rFonts w:eastAsia="Times New Roman"/>
                <w:sz w:val="20"/>
                <w:szCs w:val="20"/>
                <w:lang w:eastAsia="fr-FR"/>
              </w:rPr>
              <w:t>Codéine</w:t>
            </w:r>
            <w:r>
              <w:rPr>
                <w:rFonts w:eastAsia="Times New Roman"/>
                <w:sz w:val="20"/>
                <w:szCs w:val="20"/>
                <w:lang w:eastAsia="fr-FR"/>
              </w:rPr>
              <w:t xml:space="preserve"> </w:t>
            </w:r>
          </w:p>
          <w:p w:rsidR="00882E07" w:rsidRPr="00F13D6A" w:rsidRDefault="00882E07" w:rsidP="005602FC">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(n = 80)</w:t>
            </w:r>
          </w:p>
        </w:tc>
        <w:tc>
          <w:tcPr>
            <w:tcW w:w="1043" w:type="dxa"/>
            <w:vMerge/>
            <w:noWrap/>
          </w:tcPr>
          <w:p w:rsidR="00882E07" w:rsidRPr="00F13D6A" w:rsidRDefault="00882E07" w:rsidP="005602FC">
            <w:pPr>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p>
        </w:tc>
        <w:tc>
          <w:tcPr>
            <w:tcW w:w="1180" w:type="dxa"/>
            <w:vMerge/>
            <w:noWrap/>
          </w:tcPr>
          <w:p w:rsidR="00882E07" w:rsidRPr="00F13D6A" w:rsidRDefault="00882E07" w:rsidP="005602FC">
            <w:pPr>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p>
        </w:tc>
      </w:tr>
      <w:tr w:rsidR="00882E07" w:rsidRPr="00F13D6A" w:rsidTr="00C978B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68" w:type="dxa"/>
            <w:noWrap/>
          </w:tcPr>
          <w:p w:rsidR="00882E07" w:rsidRPr="00032C74" w:rsidRDefault="00882E07" w:rsidP="005602FC">
            <w:pPr>
              <w:rPr>
                <w:rFonts w:eastAsia="Times New Roman"/>
                <w:b w:val="0"/>
                <w:sz w:val="20"/>
                <w:szCs w:val="20"/>
                <w:lang w:eastAsia="fr-FR"/>
              </w:rPr>
            </w:pPr>
            <w:r>
              <w:rPr>
                <w:rFonts w:eastAsia="Times New Roman"/>
                <w:b w:val="0"/>
                <w:sz w:val="20"/>
                <w:szCs w:val="20"/>
                <w:lang w:eastAsia="fr-FR"/>
              </w:rPr>
              <w:t>Palier 3</w:t>
            </w:r>
          </w:p>
        </w:tc>
        <w:tc>
          <w:tcPr>
            <w:tcW w:w="1379" w:type="dxa"/>
          </w:tcPr>
          <w:p w:rsidR="00882E07" w:rsidRPr="00352485" w:rsidRDefault="00882E07" w:rsidP="005602FC">
            <w:pP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sidRPr="00352485">
              <w:rPr>
                <w:rFonts w:eastAsia="Times New Roman"/>
                <w:bCs/>
                <w:sz w:val="20"/>
                <w:szCs w:val="20"/>
                <w:lang w:eastAsia="fr-FR"/>
              </w:rPr>
              <w:t xml:space="preserve">Morphine </w:t>
            </w:r>
          </w:p>
        </w:tc>
        <w:tc>
          <w:tcPr>
            <w:tcW w:w="1043" w:type="dxa"/>
            <w:noWrap/>
          </w:tcPr>
          <w:p w:rsidR="00882E07" w:rsidRPr="00352485" w:rsidRDefault="00882E07" w:rsidP="005602FC">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52485">
              <w:rPr>
                <w:rFonts w:eastAsia="Times New Roman"/>
                <w:sz w:val="20"/>
                <w:szCs w:val="20"/>
                <w:lang w:eastAsia="fr-FR"/>
              </w:rPr>
              <w:t>37</w:t>
            </w:r>
          </w:p>
        </w:tc>
        <w:tc>
          <w:tcPr>
            <w:tcW w:w="1180" w:type="dxa"/>
            <w:noWrap/>
          </w:tcPr>
          <w:p w:rsidR="00882E07" w:rsidRPr="00352485" w:rsidRDefault="00882E07" w:rsidP="005602FC">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3,8</w:t>
            </w:r>
            <w:r w:rsidRPr="00352485">
              <w:rPr>
                <w:rFonts w:eastAsia="Times New Roman"/>
                <w:sz w:val="20"/>
                <w:szCs w:val="20"/>
                <w:lang w:eastAsia="fr-FR"/>
              </w:rPr>
              <w:t>%</w:t>
            </w:r>
          </w:p>
        </w:tc>
      </w:tr>
    </w:tbl>
    <w:p w:rsidR="00911CC0" w:rsidRDefault="00911CC0" w:rsidP="00104E43">
      <w:pPr>
        <w:jc w:val="both"/>
        <w:rPr>
          <w:sz w:val="20"/>
          <w:szCs w:val="20"/>
        </w:rPr>
      </w:pPr>
    </w:p>
    <w:p w:rsidR="00882E07" w:rsidRPr="00882E07" w:rsidRDefault="00882E07" w:rsidP="00882E07">
      <w:pPr>
        <w:jc w:val="both"/>
        <w:rPr>
          <w:sz w:val="20"/>
          <w:szCs w:val="20"/>
        </w:rPr>
      </w:pPr>
      <w:bookmarkStart w:id="5" w:name="_Toc453054532"/>
      <w:r w:rsidRPr="00882E07">
        <w:rPr>
          <w:sz w:val="20"/>
          <w:szCs w:val="20"/>
        </w:rPr>
        <w:t xml:space="preserve">Parmi les </w:t>
      </w:r>
      <w:proofErr w:type="spellStart"/>
      <w:r w:rsidRPr="00882E07">
        <w:rPr>
          <w:sz w:val="20"/>
          <w:szCs w:val="20"/>
        </w:rPr>
        <w:t>co</w:t>
      </w:r>
      <w:proofErr w:type="spellEnd"/>
      <w:r w:rsidRPr="00882E07">
        <w:rPr>
          <w:sz w:val="20"/>
          <w:szCs w:val="20"/>
        </w:rPr>
        <w:t>-antalgiques, les antiépileptiques étaient les plus prescrits (43,1%) (Tableau II).</w:t>
      </w:r>
    </w:p>
    <w:p w:rsidR="00882E07" w:rsidRPr="00882E07" w:rsidRDefault="00882E07" w:rsidP="00882E07">
      <w:pPr>
        <w:jc w:val="both"/>
        <w:rPr>
          <w:bCs/>
          <w:sz w:val="20"/>
          <w:szCs w:val="20"/>
        </w:rPr>
      </w:pPr>
      <w:r w:rsidRPr="00882E07">
        <w:rPr>
          <w:b/>
          <w:bCs/>
          <w:sz w:val="20"/>
          <w:szCs w:val="20"/>
        </w:rPr>
        <w:t>Tableau II:</w:t>
      </w:r>
      <w:r w:rsidRPr="00882E07">
        <w:rPr>
          <w:bCs/>
          <w:sz w:val="20"/>
          <w:szCs w:val="20"/>
        </w:rPr>
        <w:t xml:space="preserve"> Distribution des </w:t>
      </w:r>
      <w:proofErr w:type="spellStart"/>
      <w:r w:rsidRPr="00882E07">
        <w:rPr>
          <w:bCs/>
          <w:sz w:val="20"/>
          <w:szCs w:val="20"/>
        </w:rPr>
        <w:t>co</w:t>
      </w:r>
      <w:proofErr w:type="spellEnd"/>
      <w:r w:rsidRPr="00882E07">
        <w:rPr>
          <w:bCs/>
          <w:sz w:val="20"/>
          <w:szCs w:val="20"/>
        </w:rPr>
        <w:t>-antalgiques</w:t>
      </w:r>
      <w:bookmarkEnd w:id="5"/>
    </w:p>
    <w:p w:rsidR="00911CC0" w:rsidRDefault="00911CC0" w:rsidP="00104E43">
      <w:pPr>
        <w:jc w:val="both"/>
        <w:rPr>
          <w:sz w:val="20"/>
          <w:szCs w:val="20"/>
        </w:rPr>
      </w:pPr>
    </w:p>
    <w:tbl>
      <w:tblPr>
        <w:tblStyle w:val="Tramemoyenne1-Accent12"/>
        <w:tblW w:w="4822" w:type="dxa"/>
        <w:tblLayout w:type="fixed"/>
        <w:tblLook w:val="04A0" w:firstRow="1" w:lastRow="0" w:firstColumn="1" w:lastColumn="0" w:noHBand="0" w:noVBand="1"/>
      </w:tblPr>
      <w:tblGrid>
        <w:gridCol w:w="1127"/>
        <w:gridCol w:w="1270"/>
        <w:gridCol w:w="693"/>
        <w:gridCol w:w="1732"/>
      </w:tblGrid>
      <w:tr w:rsidR="00CA3729" w:rsidRPr="00E95DF5" w:rsidTr="00C978BA">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127" w:type="dxa"/>
            <w:noWrap/>
            <w:hideMark/>
          </w:tcPr>
          <w:p w:rsidR="00CA3729" w:rsidRPr="00E95DF5" w:rsidRDefault="00CA3729" w:rsidP="005602FC">
            <w:pPr>
              <w:rPr>
                <w:rFonts w:eastAsia="Times New Roman"/>
                <w:b w:val="0"/>
                <w:bCs w:val="0"/>
                <w:sz w:val="20"/>
                <w:szCs w:val="20"/>
                <w:lang w:eastAsia="fr-FR"/>
              </w:rPr>
            </w:pPr>
            <w:r w:rsidRPr="00E95DF5">
              <w:rPr>
                <w:rFonts w:eastAsia="Times New Roman"/>
                <w:sz w:val="20"/>
                <w:szCs w:val="20"/>
                <w:lang w:eastAsia="fr-FR"/>
              </w:rPr>
              <w:t>Co-Antalgiques</w:t>
            </w:r>
          </w:p>
        </w:tc>
        <w:tc>
          <w:tcPr>
            <w:tcW w:w="1270" w:type="dxa"/>
            <w:hideMark/>
          </w:tcPr>
          <w:p w:rsidR="00CA3729" w:rsidRPr="00E95DF5" w:rsidRDefault="00CA3729" w:rsidP="005602FC">
            <w:pP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lang w:eastAsia="fr-FR"/>
              </w:rPr>
            </w:pPr>
            <w:r w:rsidRPr="00E95DF5">
              <w:rPr>
                <w:rFonts w:eastAsia="Times New Roman"/>
                <w:sz w:val="20"/>
                <w:szCs w:val="20"/>
                <w:lang w:eastAsia="fr-FR"/>
              </w:rPr>
              <w:t>Médicament</w:t>
            </w:r>
          </w:p>
        </w:tc>
        <w:tc>
          <w:tcPr>
            <w:tcW w:w="693" w:type="dxa"/>
            <w:hideMark/>
          </w:tcPr>
          <w:p w:rsidR="00CA3729" w:rsidRPr="00E95DF5" w:rsidRDefault="00CA3729" w:rsidP="005602FC">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lang w:eastAsia="fr-FR"/>
              </w:rPr>
            </w:pPr>
            <w:r w:rsidRPr="00E95DF5">
              <w:rPr>
                <w:rFonts w:eastAsia="Times New Roman"/>
                <w:sz w:val="20"/>
                <w:szCs w:val="20"/>
                <w:lang w:eastAsia="fr-FR"/>
              </w:rPr>
              <w:t>Effectif</w:t>
            </w:r>
          </w:p>
        </w:tc>
        <w:tc>
          <w:tcPr>
            <w:tcW w:w="1732" w:type="dxa"/>
            <w:hideMark/>
          </w:tcPr>
          <w:p w:rsidR="00CA3729" w:rsidRPr="00E95DF5" w:rsidRDefault="00CA3729" w:rsidP="00CA3729">
            <w:pPr>
              <w:cnfStyle w:val="100000000000" w:firstRow="1" w:lastRow="0" w:firstColumn="0" w:lastColumn="0" w:oddVBand="0" w:evenVBand="0" w:oddHBand="0" w:evenHBand="0" w:firstRowFirstColumn="0" w:firstRowLastColumn="0" w:lastRowFirstColumn="0" w:lastRowLastColumn="0"/>
              <w:rPr>
                <w:rFonts w:eastAsia="Times New Roman"/>
                <w:b w:val="0"/>
                <w:bCs w:val="0"/>
                <w:sz w:val="20"/>
                <w:szCs w:val="20"/>
                <w:lang w:eastAsia="fr-FR"/>
              </w:rPr>
            </w:pPr>
            <w:r w:rsidRPr="00E95DF5">
              <w:rPr>
                <w:rFonts w:eastAsia="Times New Roman"/>
                <w:sz w:val="20"/>
                <w:szCs w:val="20"/>
                <w:lang w:eastAsia="fr-FR"/>
              </w:rPr>
              <w:t>Pourcentage</w:t>
            </w:r>
          </w:p>
        </w:tc>
      </w:tr>
      <w:tr w:rsidR="00CA3729" w:rsidRPr="00E95DF5" w:rsidTr="00C978B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127" w:type="dxa"/>
            <w:vMerge w:val="restart"/>
            <w:noWrap/>
            <w:hideMark/>
          </w:tcPr>
          <w:p w:rsidR="00CA3729" w:rsidRPr="00E95DF5" w:rsidRDefault="00CA3729" w:rsidP="005602FC">
            <w:pPr>
              <w:rPr>
                <w:sz w:val="20"/>
                <w:szCs w:val="20"/>
              </w:rPr>
            </w:pPr>
            <w:r w:rsidRPr="00E95DF5">
              <w:rPr>
                <w:rFonts w:eastAsia="Times New Roman"/>
                <w:bCs w:val="0"/>
                <w:sz w:val="20"/>
                <w:szCs w:val="20"/>
                <w:lang w:eastAsia="fr-FR"/>
              </w:rPr>
              <w:t xml:space="preserve">Antiépileptique (n= 110)  </w:t>
            </w:r>
          </w:p>
        </w:tc>
        <w:tc>
          <w:tcPr>
            <w:tcW w:w="1270" w:type="dxa"/>
            <w:hideMark/>
          </w:tcPr>
          <w:p w:rsidR="00CA3729" w:rsidRPr="00E95DF5" w:rsidRDefault="00CA3729" w:rsidP="005602FC">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fr-FR"/>
              </w:rPr>
            </w:pPr>
            <w:proofErr w:type="spellStart"/>
            <w:r w:rsidRPr="00E95DF5">
              <w:rPr>
                <w:rFonts w:eastAsia="Times New Roman"/>
                <w:b/>
                <w:sz w:val="20"/>
                <w:szCs w:val="20"/>
                <w:lang w:eastAsia="fr-FR"/>
              </w:rPr>
              <w:t>Prégabaline</w:t>
            </w:r>
            <w:proofErr w:type="spellEnd"/>
          </w:p>
        </w:tc>
        <w:tc>
          <w:tcPr>
            <w:tcW w:w="693" w:type="dxa"/>
            <w:hideMark/>
          </w:tcPr>
          <w:p w:rsidR="00CA3729" w:rsidRPr="00E95DF5" w:rsidRDefault="00CA3729" w:rsidP="00C97BEA">
            <w:pPr>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fr-FR"/>
              </w:rPr>
            </w:pPr>
            <w:r w:rsidRPr="00E95DF5">
              <w:rPr>
                <w:rFonts w:eastAsia="Times New Roman"/>
                <w:b/>
                <w:sz w:val="20"/>
                <w:szCs w:val="20"/>
                <w:lang w:eastAsia="fr-FR"/>
              </w:rPr>
              <w:t>82</w:t>
            </w:r>
          </w:p>
        </w:tc>
        <w:tc>
          <w:tcPr>
            <w:tcW w:w="1732" w:type="dxa"/>
            <w:vMerge w:val="restart"/>
            <w:hideMark/>
          </w:tcPr>
          <w:p w:rsidR="00CA3729" w:rsidRPr="00E95DF5" w:rsidRDefault="00CA3729" w:rsidP="00A61090">
            <w:pPr>
              <w:tabs>
                <w:tab w:val="left" w:pos="494"/>
                <w:tab w:val="center" w:pos="958"/>
              </w:tabs>
              <w:cnfStyle w:val="000000100000" w:firstRow="0" w:lastRow="0" w:firstColumn="0" w:lastColumn="0" w:oddVBand="0" w:evenVBand="0" w:oddHBand="1" w:evenHBand="0" w:firstRowFirstColumn="0" w:firstRowLastColumn="0" w:lastRowFirstColumn="0" w:lastRowLastColumn="0"/>
              <w:rPr>
                <w:rFonts w:eastAsia="Times New Roman"/>
                <w:b/>
                <w:sz w:val="20"/>
                <w:szCs w:val="20"/>
                <w:lang w:eastAsia="fr-FR"/>
              </w:rPr>
            </w:pPr>
            <w:r w:rsidRPr="00E95DF5">
              <w:rPr>
                <w:rFonts w:eastAsia="Times New Roman"/>
                <w:b/>
                <w:sz w:val="20"/>
                <w:szCs w:val="20"/>
                <w:lang w:eastAsia="fr-FR"/>
              </w:rPr>
              <w:t>43,1%</w:t>
            </w:r>
          </w:p>
        </w:tc>
      </w:tr>
      <w:tr w:rsidR="00CA3729" w:rsidRPr="00E95DF5" w:rsidTr="00C978BA">
        <w:trPr>
          <w:cnfStyle w:val="000000010000" w:firstRow="0" w:lastRow="0" w:firstColumn="0" w:lastColumn="0" w:oddVBand="0" w:evenVBand="0" w:oddHBand="0" w:evenHBand="1"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127" w:type="dxa"/>
            <w:vMerge/>
            <w:noWrap/>
            <w:hideMark/>
          </w:tcPr>
          <w:p w:rsidR="00CA3729" w:rsidRPr="00E95DF5" w:rsidRDefault="00CA3729" w:rsidP="005602FC">
            <w:pPr>
              <w:rPr>
                <w:rFonts w:eastAsia="Times New Roman"/>
                <w:sz w:val="20"/>
                <w:szCs w:val="20"/>
                <w:lang w:eastAsia="fr-FR"/>
              </w:rPr>
            </w:pPr>
          </w:p>
        </w:tc>
        <w:tc>
          <w:tcPr>
            <w:tcW w:w="1270" w:type="dxa"/>
            <w:hideMark/>
          </w:tcPr>
          <w:p w:rsidR="00CA3729" w:rsidRPr="00E95DF5" w:rsidRDefault="00CA3729" w:rsidP="005602FC">
            <w:pPr>
              <w:cnfStyle w:val="000000010000" w:firstRow="0" w:lastRow="0" w:firstColumn="0" w:lastColumn="0" w:oddVBand="0" w:evenVBand="0" w:oddHBand="0" w:evenHBand="1" w:firstRowFirstColumn="0" w:firstRowLastColumn="0" w:lastRowFirstColumn="0" w:lastRowLastColumn="0"/>
              <w:rPr>
                <w:rFonts w:eastAsia="Times New Roman"/>
                <w:b/>
                <w:sz w:val="20"/>
                <w:szCs w:val="20"/>
                <w:lang w:eastAsia="fr-FR"/>
              </w:rPr>
            </w:pPr>
            <w:proofErr w:type="spellStart"/>
            <w:r w:rsidRPr="00E95DF5">
              <w:rPr>
                <w:rFonts w:eastAsia="Times New Roman"/>
                <w:b/>
                <w:sz w:val="20"/>
                <w:szCs w:val="20"/>
                <w:lang w:eastAsia="fr-FR"/>
              </w:rPr>
              <w:t>Carbamazépine</w:t>
            </w:r>
            <w:proofErr w:type="spellEnd"/>
          </w:p>
        </w:tc>
        <w:tc>
          <w:tcPr>
            <w:tcW w:w="693" w:type="dxa"/>
            <w:hideMark/>
          </w:tcPr>
          <w:p w:rsidR="00CA3729" w:rsidRPr="00E95DF5" w:rsidRDefault="00CA3729" w:rsidP="00C97BEA">
            <w:pPr>
              <w:cnfStyle w:val="000000010000" w:firstRow="0" w:lastRow="0" w:firstColumn="0" w:lastColumn="0" w:oddVBand="0" w:evenVBand="0" w:oddHBand="0" w:evenHBand="1" w:firstRowFirstColumn="0" w:firstRowLastColumn="0" w:lastRowFirstColumn="0" w:lastRowLastColumn="0"/>
              <w:rPr>
                <w:rFonts w:eastAsia="Times New Roman"/>
                <w:b/>
                <w:sz w:val="20"/>
                <w:szCs w:val="20"/>
                <w:lang w:eastAsia="fr-FR"/>
              </w:rPr>
            </w:pPr>
            <w:r w:rsidRPr="00E95DF5">
              <w:rPr>
                <w:rFonts w:eastAsia="Times New Roman"/>
                <w:b/>
                <w:sz w:val="20"/>
                <w:szCs w:val="20"/>
                <w:lang w:eastAsia="fr-FR"/>
              </w:rPr>
              <w:t>28</w:t>
            </w:r>
          </w:p>
        </w:tc>
        <w:tc>
          <w:tcPr>
            <w:tcW w:w="1732" w:type="dxa"/>
            <w:vMerge/>
            <w:hideMark/>
          </w:tcPr>
          <w:p w:rsidR="00CA3729" w:rsidRPr="00E95DF5" w:rsidRDefault="00CA3729" w:rsidP="005602FC">
            <w:pPr>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p>
        </w:tc>
      </w:tr>
      <w:tr w:rsidR="00CA3729" w:rsidRPr="00E95DF5" w:rsidTr="00C978B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127" w:type="dxa"/>
            <w:noWrap/>
            <w:hideMark/>
          </w:tcPr>
          <w:p w:rsidR="00CA3729" w:rsidRPr="00E95DF5" w:rsidRDefault="00CA3729" w:rsidP="005602FC">
            <w:pPr>
              <w:rPr>
                <w:rFonts w:eastAsia="Times New Roman"/>
                <w:b w:val="0"/>
                <w:bCs w:val="0"/>
                <w:sz w:val="20"/>
                <w:szCs w:val="20"/>
                <w:lang w:eastAsia="fr-FR"/>
              </w:rPr>
            </w:pPr>
            <w:r w:rsidRPr="00E95DF5">
              <w:rPr>
                <w:rFonts w:eastAsia="Times New Roman"/>
                <w:b w:val="0"/>
                <w:sz w:val="20"/>
                <w:szCs w:val="20"/>
                <w:lang w:eastAsia="fr-FR"/>
              </w:rPr>
              <w:t xml:space="preserve">Benzodiazépine (n= 2)   </w:t>
            </w:r>
          </w:p>
        </w:tc>
        <w:tc>
          <w:tcPr>
            <w:tcW w:w="1270" w:type="dxa"/>
            <w:hideMark/>
          </w:tcPr>
          <w:p w:rsidR="00CA3729" w:rsidRPr="00E95DF5" w:rsidRDefault="00CA3729"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Diazépam</w:t>
            </w:r>
          </w:p>
        </w:tc>
        <w:tc>
          <w:tcPr>
            <w:tcW w:w="693" w:type="dxa"/>
            <w:hideMark/>
          </w:tcPr>
          <w:p w:rsidR="00CA3729" w:rsidRPr="00E95DF5" w:rsidRDefault="00CA3729" w:rsidP="00C97BEA">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2</w:t>
            </w:r>
          </w:p>
        </w:tc>
        <w:tc>
          <w:tcPr>
            <w:tcW w:w="1732" w:type="dxa"/>
            <w:hideMark/>
          </w:tcPr>
          <w:p w:rsidR="00CA3729" w:rsidRPr="00E95DF5" w:rsidRDefault="00CA3729" w:rsidP="00A6109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0,8%</w:t>
            </w:r>
          </w:p>
        </w:tc>
      </w:tr>
      <w:tr w:rsidR="00CA3729" w:rsidRPr="00E95DF5" w:rsidTr="00C978BA">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127" w:type="dxa"/>
            <w:vMerge w:val="restart"/>
            <w:noWrap/>
            <w:hideMark/>
          </w:tcPr>
          <w:p w:rsidR="00CA3729" w:rsidRPr="00E95DF5" w:rsidRDefault="00CA3729" w:rsidP="005602FC">
            <w:pPr>
              <w:rPr>
                <w:sz w:val="20"/>
                <w:szCs w:val="20"/>
              </w:rPr>
            </w:pPr>
            <w:r>
              <w:rPr>
                <w:rFonts w:eastAsia="Times New Roman"/>
                <w:b w:val="0"/>
                <w:bCs w:val="0"/>
                <w:sz w:val="20"/>
                <w:szCs w:val="20"/>
                <w:lang w:eastAsia="fr-FR"/>
              </w:rPr>
              <w:t xml:space="preserve">Corticoïde </w:t>
            </w:r>
            <w:r w:rsidRPr="00E95DF5">
              <w:rPr>
                <w:rFonts w:eastAsia="Times New Roman"/>
                <w:b w:val="0"/>
                <w:bCs w:val="0"/>
                <w:sz w:val="20"/>
                <w:szCs w:val="20"/>
                <w:lang w:eastAsia="fr-FR"/>
              </w:rPr>
              <w:t>(n= 17)</w:t>
            </w:r>
            <w:r>
              <w:rPr>
                <w:rFonts w:eastAsia="Times New Roman"/>
                <w:b w:val="0"/>
                <w:bCs w:val="0"/>
                <w:sz w:val="20"/>
                <w:szCs w:val="20"/>
                <w:lang w:eastAsia="fr-FR"/>
              </w:rPr>
              <w:t xml:space="preserve">   </w:t>
            </w:r>
          </w:p>
        </w:tc>
        <w:tc>
          <w:tcPr>
            <w:tcW w:w="1270" w:type="dxa"/>
            <w:hideMark/>
          </w:tcPr>
          <w:p w:rsidR="00CA3729" w:rsidRPr="00E95DF5" w:rsidRDefault="00CA3729" w:rsidP="005602FC">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proofErr w:type="spellStart"/>
            <w:r w:rsidRPr="00E95DF5">
              <w:rPr>
                <w:rFonts w:eastAsia="Times New Roman"/>
                <w:sz w:val="20"/>
                <w:szCs w:val="20"/>
                <w:lang w:eastAsia="fr-FR"/>
              </w:rPr>
              <w:t>Prednisone</w:t>
            </w:r>
            <w:proofErr w:type="spellEnd"/>
          </w:p>
        </w:tc>
        <w:tc>
          <w:tcPr>
            <w:tcW w:w="693" w:type="dxa"/>
            <w:hideMark/>
          </w:tcPr>
          <w:p w:rsidR="00CA3729" w:rsidRPr="00E95DF5" w:rsidRDefault="00CA3729" w:rsidP="00C97BEA">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13</w:t>
            </w:r>
          </w:p>
        </w:tc>
        <w:tc>
          <w:tcPr>
            <w:tcW w:w="1732" w:type="dxa"/>
            <w:vMerge w:val="restart"/>
            <w:hideMark/>
          </w:tcPr>
          <w:p w:rsidR="00A61090" w:rsidRDefault="00A61090" w:rsidP="005602FC">
            <w:pPr>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p>
          <w:p w:rsidR="00CA3729" w:rsidRPr="00E95DF5" w:rsidRDefault="00CA3729" w:rsidP="00A6109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6,7%</w:t>
            </w:r>
          </w:p>
        </w:tc>
      </w:tr>
      <w:tr w:rsidR="00CA3729" w:rsidRPr="00E95DF5" w:rsidTr="00C978B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127" w:type="dxa"/>
            <w:vMerge/>
            <w:noWrap/>
            <w:hideMark/>
          </w:tcPr>
          <w:p w:rsidR="00CA3729" w:rsidRPr="00E95DF5" w:rsidRDefault="00CA3729" w:rsidP="005602FC">
            <w:pPr>
              <w:rPr>
                <w:rFonts w:eastAsia="Times New Roman"/>
                <w:sz w:val="20"/>
                <w:szCs w:val="20"/>
                <w:lang w:eastAsia="fr-FR"/>
              </w:rPr>
            </w:pPr>
          </w:p>
        </w:tc>
        <w:tc>
          <w:tcPr>
            <w:tcW w:w="1270" w:type="dxa"/>
            <w:hideMark/>
          </w:tcPr>
          <w:p w:rsidR="00A61090" w:rsidRDefault="00CA3729"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proofErr w:type="spellStart"/>
            <w:r w:rsidRPr="00E95DF5">
              <w:rPr>
                <w:rFonts w:eastAsia="Times New Roman"/>
                <w:sz w:val="20"/>
                <w:szCs w:val="20"/>
                <w:lang w:eastAsia="fr-FR"/>
              </w:rPr>
              <w:t>Méthylpredni</w:t>
            </w:r>
            <w:proofErr w:type="spellEnd"/>
          </w:p>
          <w:p w:rsidR="00CA3729" w:rsidRPr="00E95DF5" w:rsidRDefault="00CA3729"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proofErr w:type="spellStart"/>
            <w:r w:rsidRPr="00E95DF5">
              <w:rPr>
                <w:rFonts w:eastAsia="Times New Roman"/>
                <w:sz w:val="20"/>
                <w:szCs w:val="20"/>
                <w:lang w:eastAsia="fr-FR"/>
              </w:rPr>
              <w:t>solone</w:t>
            </w:r>
            <w:proofErr w:type="spellEnd"/>
          </w:p>
        </w:tc>
        <w:tc>
          <w:tcPr>
            <w:tcW w:w="693" w:type="dxa"/>
            <w:hideMark/>
          </w:tcPr>
          <w:p w:rsidR="00CA3729" w:rsidRPr="00E95DF5" w:rsidRDefault="00CA3729" w:rsidP="00C97BEA">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4</w:t>
            </w:r>
          </w:p>
        </w:tc>
        <w:tc>
          <w:tcPr>
            <w:tcW w:w="1732" w:type="dxa"/>
            <w:vMerge/>
            <w:hideMark/>
          </w:tcPr>
          <w:p w:rsidR="00CA3729" w:rsidRPr="00E95DF5" w:rsidRDefault="00CA3729" w:rsidP="005602FC">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p>
        </w:tc>
      </w:tr>
      <w:tr w:rsidR="00CA3729" w:rsidRPr="00E95DF5" w:rsidTr="00C978BA">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127" w:type="dxa"/>
            <w:noWrap/>
            <w:hideMark/>
          </w:tcPr>
          <w:p w:rsidR="00CA3729" w:rsidRPr="00E95DF5" w:rsidRDefault="00CA3729" w:rsidP="005602FC">
            <w:pPr>
              <w:rPr>
                <w:rFonts w:eastAsia="Times New Roman"/>
                <w:b w:val="0"/>
                <w:sz w:val="20"/>
                <w:szCs w:val="20"/>
                <w:lang w:eastAsia="fr-FR"/>
              </w:rPr>
            </w:pPr>
            <w:r w:rsidRPr="00E95DF5">
              <w:rPr>
                <w:rFonts w:eastAsia="Times New Roman"/>
                <w:b w:val="0"/>
                <w:bCs w:val="0"/>
                <w:sz w:val="20"/>
                <w:szCs w:val="20"/>
                <w:lang w:eastAsia="fr-FR"/>
              </w:rPr>
              <w:t xml:space="preserve">Antispasmodique (n= 38) </w:t>
            </w:r>
          </w:p>
        </w:tc>
        <w:tc>
          <w:tcPr>
            <w:tcW w:w="1270" w:type="dxa"/>
            <w:noWrap/>
            <w:hideMark/>
          </w:tcPr>
          <w:p w:rsidR="00CA3729" w:rsidRPr="00E95DF5" w:rsidRDefault="00CA3729" w:rsidP="005602FC">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proofErr w:type="spellStart"/>
            <w:r w:rsidRPr="00E95DF5">
              <w:rPr>
                <w:rFonts w:eastAsia="Times New Roman"/>
                <w:sz w:val="20"/>
                <w:szCs w:val="20"/>
                <w:lang w:eastAsia="fr-FR"/>
              </w:rPr>
              <w:t>Phloroglucinol</w:t>
            </w:r>
            <w:proofErr w:type="spellEnd"/>
          </w:p>
        </w:tc>
        <w:tc>
          <w:tcPr>
            <w:tcW w:w="693" w:type="dxa"/>
            <w:hideMark/>
          </w:tcPr>
          <w:p w:rsidR="00CA3729" w:rsidRPr="00E95DF5" w:rsidRDefault="00CA3729" w:rsidP="00C97BEA">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38</w:t>
            </w:r>
          </w:p>
        </w:tc>
        <w:tc>
          <w:tcPr>
            <w:tcW w:w="1732" w:type="dxa"/>
            <w:hideMark/>
          </w:tcPr>
          <w:p w:rsidR="00CA3729" w:rsidRPr="00E95DF5" w:rsidRDefault="00CA3729" w:rsidP="00A61090">
            <w:pP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14,9%</w:t>
            </w:r>
          </w:p>
        </w:tc>
      </w:tr>
      <w:tr w:rsidR="00CA3729" w:rsidRPr="00E95DF5" w:rsidTr="00C978B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127" w:type="dxa"/>
            <w:noWrap/>
            <w:hideMark/>
          </w:tcPr>
          <w:p w:rsidR="00CA3729" w:rsidRDefault="00CA3729" w:rsidP="005602FC">
            <w:pPr>
              <w:rPr>
                <w:rFonts w:eastAsia="Times New Roman"/>
                <w:b w:val="0"/>
                <w:bCs w:val="0"/>
                <w:sz w:val="20"/>
                <w:szCs w:val="20"/>
                <w:lang w:eastAsia="fr-FR"/>
              </w:rPr>
            </w:pPr>
            <w:r w:rsidRPr="00E95DF5">
              <w:rPr>
                <w:rFonts w:eastAsia="Times New Roman"/>
                <w:b w:val="0"/>
                <w:bCs w:val="0"/>
                <w:sz w:val="20"/>
                <w:szCs w:val="20"/>
                <w:lang w:eastAsia="fr-FR"/>
              </w:rPr>
              <w:t xml:space="preserve">Myorelaxant </w:t>
            </w:r>
          </w:p>
          <w:p w:rsidR="00CA3729" w:rsidRPr="00E95DF5" w:rsidRDefault="00CA3729" w:rsidP="005602FC">
            <w:pPr>
              <w:rPr>
                <w:b w:val="0"/>
                <w:sz w:val="20"/>
                <w:szCs w:val="20"/>
              </w:rPr>
            </w:pPr>
            <w:r w:rsidRPr="00E95DF5">
              <w:rPr>
                <w:rFonts w:eastAsia="Times New Roman"/>
                <w:b w:val="0"/>
                <w:bCs w:val="0"/>
                <w:sz w:val="20"/>
                <w:szCs w:val="20"/>
                <w:lang w:eastAsia="fr-FR"/>
              </w:rPr>
              <w:t xml:space="preserve">(n= 88)   </w:t>
            </w:r>
          </w:p>
        </w:tc>
        <w:tc>
          <w:tcPr>
            <w:tcW w:w="1270" w:type="dxa"/>
            <w:hideMark/>
          </w:tcPr>
          <w:p w:rsidR="00CA3729" w:rsidRPr="00E95DF5" w:rsidRDefault="00CA3729" w:rsidP="005602FC">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proofErr w:type="spellStart"/>
            <w:r w:rsidRPr="00E95DF5">
              <w:rPr>
                <w:rFonts w:eastAsia="Times New Roman"/>
                <w:sz w:val="20"/>
                <w:szCs w:val="20"/>
                <w:lang w:eastAsia="fr-FR"/>
              </w:rPr>
              <w:t>Thiocolchicoside</w:t>
            </w:r>
            <w:proofErr w:type="spellEnd"/>
          </w:p>
        </w:tc>
        <w:tc>
          <w:tcPr>
            <w:tcW w:w="693" w:type="dxa"/>
            <w:hideMark/>
          </w:tcPr>
          <w:p w:rsidR="00CA3729" w:rsidRPr="00E95DF5" w:rsidRDefault="00CA3729" w:rsidP="00C97BEA">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88</w:t>
            </w:r>
          </w:p>
        </w:tc>
        <w:tc>
          <w:tcPr>
            <w:tcW w:w="1732" w:type="dxa"/>
            <w:hideMark/>
          </w:tcPr>
          <w:p w:rsidR="00CA3729" w:rsidRPr="00E95DF5" w:rsidRDefault="00CA3729" w:rsidP="00A61090">
            <w:pP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E95DF5">
              <w:rPr>
                <w:rFonts w:eastAsia="Times New Roman"/>
                <w:sz w:val="20"/>
                <w:szCs w:val="20"/>
                <w:lang w:eastAsia="fr-FR"/>
              </w:rPr>
              <w:t>34,5%</w:t>
            </w:r>
          </w:p>
        </w:tc>
      </w:tr>
      <w:tr w:rsidR="00CA3729" w:rsidRPr="00E95DF5" w:rsidTr="00C978BA">
        <w:trPr>
          <w:cnfStyle w:val="000000010000" w:firstRow="0" w:lastRow="0" w:firstColumn="0" w:lastColumn="0" w:oddVBand="0" w:evenVBand="0" w:oddHBand="0" w:evenHBand="1"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127" w:type="dxa"/>
            <w:noWrap/>
            <w:hideMark/>
          </w:tcPr>
          <w:p w:rsidR="00CA3729" w:rsidRPr="00E95DF5" w:rsidRDefault="00CA3729" w:rsidP="005602FC">
            <w:pPr>
              <w:rPr>
                <w:rFonts w:eastAsia="Times New Roman"/>
                <w:sz w:val="20"/>
                <w:szCs w:val="20"/>
                <w:lang w:eastAsia="fr-FR"/>
              </w:rPr>
            </w:pPr>
            <w:r w:rsidRPr="00E95DF5">
              <w:rPr>
                <w:rFonts w:eastAsia="Times New Roman"/>
                <w:sz w:val="20"/>
                <w:szCs w:val="20"/>
                <w:lang w:eastAsia="fr-FR"/>
              </w:rPr>
              <w:t>Total</w:t>
            </w:r>
          </w:p>
        </w:tc>
        <w:tc>
          <w:tcPr>
            <w:tcW w:w="1270" w:type="dxa"/>
            <w:hideMark/>
          </w:tcPr>
          <w:p w:rsidR="00CA3729" w:rsidRPr="00E95DF5" w:rsidRDefault="00CA3729" w:rsidP="005602FC">
            <w:pPr>
              <w:cnfStyle w:val="000000010000" w:firstRow="0" w:lastRow="0" w:firstColumn="0" w:lastColumn="0" w:oddVBand="0" w:evenVBand="0" w:oddHBand="0" w:evenHBand="1" w:firstRowFirstColumn="0" w:firstRowLastColumn="0" w:lastRowFirstColumn="0" w:lastRowLastColumn="0"/>
              <w:rPr>
                <w:rFonts w:eastAsia="Times New Roman"/>
                <w:b/>
                <w:bCs/>
                <w:sz w:val="20"/>
                <w:szCs w:val="20"/>
                <w:lang w:eastAsia="fr-FR"/>
              </w:rPr>
            </w:pPr>
          </w:p>
        </w:tc>
        <w:tc>
          <w:tcPr>
            <w:tcW w:w="693" w:type="dxa"/>
            <w:noWrap/>
            <w:hideMark/>
          </w:tcPr>
          <w:p w:rsidR="00CA3729" w:rsidRPr="00E95DF5" w:rsidRDefault="00CA3729" w:rsidP="00C97BEA">
            <w:pPr>
              <w:cnfStyle w:val="000000010000" w:firstRow="0" w:lastRow="0" w:firstColumn="0" w:lastColumn="0" w:oddVBand="0" w:evenVBand="0" w:oddHBand="0" w:evenHBand="1" w:firstRowFirstColumn="0" w:firstRowLastColumn="0" w:lastRowFirstColumn="0" w:lastRowLastColumn="0"/>
              <w:rPr>
                <w:rFonts w:eastAsia="Times New Roman"/>
                <w:b/>
                <w:sz w:val="20"/>
                <w:szCs w:val="20"/>
                <w:lang w:eastAsia="fr-FR"/>
              </w:rPr>
            </w:pPr>
            <w:r w:rsidRPr="00E95DF5">
              <w:rPr>
                <w:rFonts w:eastAsia="Times New Roman"/>
                <w:b/>
                <w:sz w:val="20"/>
                <w:szCs w:val="20"/>
                <w:lang w:eastAsia="fr-FR"/>
              </w:rPr>
              <w:t>255</w:t>
            </w:r>
          </w:p>
        </w:tc>
        <w:tc>
          <w:tcPr>
            <w:tcW w:w="1732" w:type="dxa"/>
            <w:hideMark/>
          </w:tcPr>
          <w:p w:rsidR="00CA3729" w:rsidRPr="00E95DF5" w:rsidRDefault="00CA3729" w:rsidP="00A61090">
            <w:pPr>
              <w:cnfStyle w:val="000000010000" w:firstRow="0" w:lastRow="0" w:firstColumn="0" w:lastColumn="0" w:oddVBand="0" w:evenVBand="0" w:oddHBand="0" w:evenHBand="1" w:firstRowFirstColumn="0" w:firstRowLastColumn="0" w:lastRowFirstColumn="0" w:lastRowLastColumn="0"/>
              <w:rPr>
                <w:rFonts w:eastAsia="Times New Roman"/>
                <w:b/>
                <w:sz w:val="20"/>
                <w:szCs w:val="20"/>
                <w:lang w:eastAsia="fr-FR"/>
              </w:rPr>
            </w:pPr>
            <w:r>
              <w:rPr>
                <w:rFonts w:eastAsia="Times New Roman"/>
                <w:b/>
                <w:sz w:val="20"/>
                <w:szCs w:val="20"/>
                <w:lang w:eastAsia="fr-FR"/>
              </w:rPr>
              <w:t>100</w:t>
            </w:r>
            <w:r w:rsidRPr="00E95DF5">
              <w:rPr>
                <w:rFonts w:eastAsia="Times New Roman"/>
                <w:b/>
                <w:sz w:val="20"/>
                <w:szCs w:val="20"/>
                <w:lang w:eastAsia="fr-FR"/>
              </w:rPr>
              <w:t>%</w:t>
            </w:r>
          </w:p>
        </w:tc>
      </w:tr>
    </w:tbl>
    <w:p w:rsidR="00911CC0" w:rsidRDefault="00911CC0" w:rsidP="00104E43">
      <w:pPr>
        <w:jc w:val="both"/>
        <w:rPr>
          <w:b/>
          <w:sz w:val="20"/>
          <w:szCs w:val="20"/>
        </w:rPr>
      </w:pPr>
    </w:p>
    <w:p w:rsidR="005B752A" w:rsidRPr="005B752A" w:rsidRDefault="005B752A" w:rsidP="005B752A">
      <w:pPr>
        <w:jc w:val="both"/>
        <w:rPr>
          <w:sz w:val="20"/>
          <w:szCs w:val="20"/>
        </w:rPr>
      </w:pPr>
      <w:r w:rsidRPr="005B752A">
        <w:rPr>
          <w:sz w:val="20"/>
          <w:szCs w:val="20"/>
        </w:rPr>
        <w:t>Les protocoles de prise en charge étai</w:t>
      </w:r>
      <w:r>
        <w:rPr>
          <w:sz w:val="20"/>
          <w:szCs w:val="20"/>
        </w:rPr>
        <w:t>en</w:t>
      </w:r>
      <w:r w:rsidRPr="005B752A">
        <w:rPr>
          <w:sz w:val="20"/>
          <w:szCs w:val="20"/>
        </w:rPr>
        <w:t xml:space="preserve">t les suivants : monothérapie, bithérapie, trithérapie et </w:t>
      </w:r>
      <w:proofErr w:type="spellStart"/>
      <w:r w:rsidRPr="005B752A">
        <w:rPr>
          <w:sz w:val="20"/>
          <w:szCs w:val="20"/>
        </w:rPr>
        <w:t>quadritherapie</w:t>
      </w:r>
      <w:proofErr w:type="spellEnd"/>
      <w:r w:rsidRPr="005B752A">
        <w:rPr>
          <w:sz w:val="20"/>
          <w:szCs w:val="20"/>
        </w:rPr>
        <w:t xml:space="preserve">. </w:t>
      </w:r>
      <w:r w:rsidRPr="005B752A">
        <w:rPr>
          <w:sz w:val="20"/>
          <w:szCs w:val="20"/>
        </w:rPr>
        <w:lastRenderedPageBreak/>
        <w:t xml:space="preserve">Le paracétamol  (56,1%) et le </w:t>
      </w:r>
      <w:proofErr w:type="spellStart"/>
      <w:r w:rsidRPr="005B752A">
        <w:rPr>
          <w:sz w:val="20"/>
          <w:szCs w:val="20"/>
        </w:rPr>
        <w:t>tramadol</w:t>
      </w:r>
      <w:proofErr w:type="spellEnd"/>
      <w:r w:rsidRPr="005B752A">
        <w:rPr>
          <w:sz w:val="20"/>
          <w:szCs w:val="20"/>
        </w:rPr>
        <w:t xml:space="preserve">  (39,8%) étaient les plus utilisés en monothérapie. Les bithérapies les plus utilisées étaient représentées par  les associations paracétamol + codéine (30%), paracétamol  +  AINS  (25%) et  paracétamol  +  </w:t>
      </w:r>
      <w:proofErr w:type="spellStart"/>
      <w:r w:rsidRPr="005B752A">
        <w:rPr>
          <w:sz w:val="20"/>
          <w:szCs w:val="20"/>
        </w:rPr>
        <w:t>tramadol</w:t>
      </w:r>
      <w:proofErr w:type="spellEnd"/>
      <w:r w:rsidRPr="005B752A">
        <w:rPr>
          <w:sz w:val="20"/>
          <w:szCs w:val="20"/>
        </w:rPr>
        <w:t xml:space="preserve">  (21,9%) (Tableau III).  Le traitement était modifié chez 45 patients. Les causes étaient : la persistance de la douleur (48,9%, n= 22), la diminution de la douleur (28,9%), l’intolérance au médicament (20%) et la rupture du médicament (2,2%). Les effets secondaires les plus fréquents étaient : la constipation  (42,8%), les vertiges  (11,9%) et les nausées (10,2%). A la consultation initiale, l’intensité de la douleur était légère (1,5%), modérée (94,7%) et sévère (3,8%)</w:t>
      </w:r>
      <w:r w:rsidRPr="005B752A">
        <w:rPr>
          <w:bCs/>
          <w:sz w:val="20"/>
          <w:szCs w:val="20"/>
        </w:rPr>
        <w:t>. La douleur légère représentait au troisième rendez-vous 90,6% des cas.</w:t>
      </w:r>
      <w:r w:rsidRPr="005B752A">
        <w:rPr>
          <w:sz w:val="20"/>
          <w:szCs w:val="20"/>
        </w:rPr>
        <w:t xml:space="preserve"> </w:t>
      </w:r>
      <w:r w:rsidRPr="005B752A">
        <w:rPr>
          <w:bCs/>
          <w:sz w:val="20"/>
          <w:szCs w:val="20"/>
        </w:rPr>
        <w:t>L’intensité de la douleur diminuait jusqu’au 3</w:t>
      </w:r>
      <w:r w:rsidRPr="005B752A">
        <w:rPr>
          <w:bCs/>
          <w:sz w:val="20"/>
          <w:szCs w:val="20"/>
          <w:vertAlign w:val="superscript"/>
        </w:rPr>
        <w:t>ème</w:t>
      </w:r>
      <w:r w:rsidRPr="005B752A">
        <w:rPr>
          <w:bCs/>
          <w:sz w:val="20"/>
          <w:szCs w:val="20"/>
        </w:rPr>
        <w:t xml:space="preserve"> rendez-vous (Figure 2). </w:t>
      </w:r>
      <w:r w:rsidRPr="005B752A">
        <w:rPr>
          <w:sz w:val="20"/>
          <w:szCs w:val="20"/>
        </w:rPr>
        <w:t xml:space="preserve">L’observance au traitement était moyenne chez 429 patients (70,8%) au premier rendez-vous (Tableau IV). Elle était moyenne chez 426 patients (70,3%) au troisième rendez-vous. </w:t>
      </w:r>
      <w:r w:rsidRPr="005B752A">
        <w:rPr>
          <w:bCs/>
          <w:sz w:val="20"/>
          <w:szCs w:val="20"/>
        </w:rPr>
        <w:t>Au troisième rendez-vous, 589 patients (</w:t>
      </w:r>
      <w:r w:rsidRPr="005B752A">
        <w:rPr>
          <w:sz w:val="20"/>
          <w:szCs w:val="20"/>
        </w:rPr>
        <w:t>97,2%) étaient satisfaits (Tableau V)</w:t>
      </w:r>
      <w:r w:rsidRPr="005B752A">
        <w:rPr>
          <w:bCs/>
          <w:sz w:val="20"/>
          <w:szCs w:val="20"/>
        </w:rPr>
        <w:t>.</w:t>
      </w:r>
    </w:p>
    <w:p w:rsidR="00911CC0" w:rsidRDefault="00911CC0" w:rsidP="00104E43">
      <w:pPr>
        <w:jc w:val="both"/>
        <w:rPr>
          <w:b/>
          <w:sz w:val="20"/>
          <w:szCs w:val="20"/>
        </w:rPr>
      </w:pPr>
    </w:p>
    <w:p w:rsidR="00911CC0" w:rsidRPr="005B752A" w:rsidRDefault="005B752A" w:rsidP="00104E43">
      <w:pPr>
        <w:jc w:val="both"/>
        <w:rPr>
          <w:bCs/>
          <w:sz w:val="20"/>
          <w:szCs w:val="20"/>
        </w:rPr>
      </w:pPr>
      <w:r w:rsidRPr="005B752A">
        <w:rPr>
          <w:b/>
          <w:bCs/>
          <w:sz w:val="20"/>
          <w:szCs w:val="20"/>
        </w:rPr>
        <w:t xml:space="preserve">Tableau III: </w:t>
      </w:r>
      <w:r w:rsidRPr="005B752A">
        <w:rPr>
          <w:bCs/>
          <w:sz w:val="20"/>
          <w:szCs w:val="20"/>
        </w:rPr>
        <w:t>Distribution des protocoles</w:t>
      </w:r>
    </w:p>
    <w:tbl>
      <w:tblPr>
        <w:tblStyle w:val="Tramemoyenne1-Accent13"/>
        <w:tblW w:w="4963" w:type="dxa"/>
        <w:tblLook w:val="04A0" w:firstRow="1" w:lastRow="0" w:firstColumn="1" w:lastColumn="0" w:noHBand="0" w:noVBand="1"/>
      </w:tblPr>
      <w:tblGrid>
        <w:gridCol w:w="1427"/>
        <w:gridCol w:w="1523"/>
        <w:gridCol w:w="927"/>
        <w:gridCol w:w="1283"/>
      </w:tblGrid>
      <w:tr w:rsidR="005B752A" w:rsidRPr="00516662" w:rsidTr="00B14523">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838" w:type="dxa"/>
            <w:gridSpan w:val="2"/>
            <w:noWrap/>
            <w:hideMark/>
          </w:tcPr>
          <w:p w:rsidR="005B752A" w:rsidRPr="006F2B97" w:rsidRDefault="005B752A" w:rsidP="004C482B">
            <w:pPr>
              <w:jc w:val="center"/>
              <w:rPr>
                <w:rFonts w:eastAsia="Times New Roman"/>
                <w:bCs w:val="0"/>
                <w:color w:val="000000"/>
                <w:sz w:val="20"/>
                <w:szCs w:val="20"/>
                <w:lang w:eastAsia="fr-FR"/>
              </w:rPr>
            </w:pPr>
            <w:r w:rsidRPr="006F2B97">
              <w:rPr>
                <w:rFonts w:eastAsia="Times New Roman"/>
                <w:bCs w:val="0"/>
                <w:color w:val="000000"/>
                <w:sz w:val="20"/>
                <w:szCs w:val="20"/>
                <w:lang w:eastAsia="fr-FR"/>
              </w:rPr>
              <w:t>Protocoles</w:t>
            </w:r>
          </w:p>
          <w:p w:rsidR="005B752A" w:rsidRPr="00516662" w:rsidRDefault="005B752A" w:rsidP="004C482B">
            <w:pPr>
              <w:jc w:val="center"/>
              <w:rPr>
                <w:rFonts w:eastAsia="Times New Roman"/>
                <w:b w:val="0"/>
                <w:bCs w:val="0"/>
                <w:color w:val="000000"/>
                <w:sz w:val="20"/>
                <w:szCs w:val="20"/>
                <w:lang w:eastAsia="fr-FR"/>
              </w:rPr>
            </w:pPr>
          </w:p>
        </w:tc>
        <w:tc>
          <w:tcPr>
            <w:tcW w:w="891" w:type="dxa"/>
            <w:noWrap/>
            <w:hideMark/>
          </w:tcPr>
          <w:p w:rsidR="005B752A" w:rsidRPr="00516662" w:rsidRDefault="005B752A" w:rsidP="004C482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lang w:eastAsia="fr-FR"/>
              </w:rPr>
            </w:pPr>
            <w:r w:rsidRPr="00516662">
              <w:rPr>
                <w:rFonts w:eastAsia="Times New Roman"/>
                <w:color w:val="000000"/>
                <w:sz w:val="20"/>
                <w:szCs w:val="20"/>
                <w:lang w:eastAsia="fr-FR"/>
              </w:rPr>
              <w:t>Effectifs</w:t>
            </w:r>
          </w:p>
        </w:tc>
        <w:tc>
          <w:tcPr>
            <w:tcW w:w="1234" w:type="dxa"/>
            <w:noWrap/>
            <w:hideMark/>
          </w:tcPr>
          <w:p w:rsidR="005B752A" w:rsidRPr="00516662" w:rsidRDefault="005B752A" w:rsidP="004C482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szCs w:val="20"/>
                <w:lang w:eastAsia="fr-FR"/>
              </w:rPr>
            </w:pPr>
            <w:r w:rsidRPr="00516662">
              <w:rPr>
                <w:rFonts w:eastAsia="Times New Roman"/>
                <w:color w:val="000000"/>
                <w:sz w:val="20"/>
                <w:szCs w:val="20"/>
                <w:lang w:eastAsia="fr-FR"/>
              </w:rPr>
              <w:t>Pourcentage</w:t>
            </w:r>
          </w:p>
        </w:tc>
      </w:tr>
      <w:tr w:rsidR="005B752A" w:rsidRPr="00516662" w:rsidTr="00B1452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73" w:type="dxa"/>
            <w:vMerge w:val="restart"/>
            <w:noWrap/>
            <w:hideMark/>
          </w:tcPr>
          <w:p w:rsidR="005B752A" w:rsidRPr="00CE3D9D" w:rsidRDefault="005B752A" w:rsidP="004C482B">
            <w:pPr>
              <w:rPr>
                <w:rFonts w:eastAsia="Times New Roman"/>
                <w:color w:val="000000"/>
                <w:sz w:val="20"/>
                <w:szCs w:val="20"/>
                <w:lang w:eastAsia="fr-FR"/>
              </w:rPr>
            </w:pPr>
            <w:r w:rsidRPr="00CE3D9D">
              <w:rPr>
                <w:rFonts w:eastAsia="Times New Roman"/>
                <w:color w:val="000000"/>
                <w:sz w:val="20"/>
                <w:szCs w:val="20"/>
                <w:lang w:eastAsia="fr-FR"/>
              </w:rPr>
              <w:t>Monothérapie</w:t>
            </w:r>
          </w:p>
        </w:tc>
        <w:tc>
          <w:tcPr>
            <w:tcW w:w="1465" w:type="dxa"/>
          </w:tcPr>
          <w:p w:rsidR="005B752A" w:rsidRPr="00B84FE2" w:rsidRDefault="005B752A" w:rsidP="004C482B">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r w:rsidRPr="00B84FE2">
              <w:rPr>
                <w:rFonts w:eastAsia="Times New Roman"/>
                <w:color w:val="000000"/>
                <w:sz w:val="20"/>
                <w:szCs w:val="20"/>
                <w:lang w:eastAsia="fr-FR"/>
              </w:rPr>
              <w:t>Paracétamol</w:t>
            </w:r>
            <w:r>
              <w:rPr>
                <w:rFonts w:eastAsia="Times New Roman"/>
                <w:color w:val="000000"/>
                <w:sz w:val="20"/>
                <w:szCs w:val="20"/>
                <w:lang w:eastAsia="fr-FR"/>
              </w:rPr>
              <w:t xml:space="preserve"> (n=96)</w:t>
            </w:r>
          </w:p>
        </w:tc>
        <w:tc>
          <w:tcPr>
            <w:tcW w:w="891" w:type="dxa"/>
            <w:vMerge w:val="restart"/>
            <w:noWrap/>
            <w:hideMark/>
          </w:tcPr>
          <w:p w:rsidR="005B752A" w:rsidRPr="00B84FE2"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r>
              <w:rPr>
                <w:rFonts w:eastAsia="Times New Roman"/>
                <w:color w:val="000000"/>
                <w:sz w:val="20"/>
                <w:szCs w:val="20"/>
                <w:lang w:eastAsia="fr-FR"/>
              </w:rPr>
              <w:t>171</w:t>
            </w:r>
          </w:p>
        </w:tc>
        <w:tc>
          <w:tcPr>
            <w:tcW w:w="1234" w:type="dxa"/>
            <w:vMerge w:val="restart"/>
            <w:noWrap/>
            <w:hideMark/>
          </w:tcPr>
          <w:p w:rsidR="005B752A" w:rsidRPr="00CE3D9D"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r w:rsidRPr="00CE3D9D">
              <w:rPr>
                <w:rFonts w:eastAsia="Times New Roman"/>
                <w:color w:val="000000"/>
                <w:sz w:val="20"/>
                <w:szCs w:val="20"/>
                <w:lang w:eastAsia="fr-FR"/>
              </w:rPr>
              <w:t>28,2</w:t>
            </w:r>
            <w:r>
              <w:rPr>
                <w:rFonts w:eastAsia="Times New Roman"/>
                <w:color w:val="000000"/>
                <w:sz w:val="20"/>
                <w:szCs w:val="20"/>
                <w:lang w:eastAsia="fr-FR"/>
              </w:rPr>
              <w:t>%</w:t>
            </w:r>
          </w:p>
        </w:tc>
      </w:tr>
      <w:tr w:rsidR="005B752A" w:rsidRPr="00516662" w:rsidTr="00B14523">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73" w:type="dxa"/>
            <w:vMerge/>
            <w:noWrap/>
            <w:hideMark/>
          </w:tcPr>
          <w:p w:rsidR="005B752A" w:rsidRPr="00CE3D9D" w:rsidRDefault="005B752A" w:rsidP="004C482B">
            <w:pPr>
              <w:rPr>
                <w:rFonts w:eastAsia="Times New Roman"/>
                <w:color w:val="000000"/>
                <w:sz w:val="20"/>
                <w:szCs w:val="20"/>
                <w:lang w:eastAsia="fr-FR"/>
              </w:rPr>
            </w:pPr>
          </w:p>
        </w:tc>
        <w:tc>
          <w:tcPr>
            <w:tcW w:w="1465" w:type="dxa"/>
          </w:tcPr>
          <w:p w:rsidR="005B752A" w:rsidRPr="00B84FE2" w:rsidRDefault="005B752A" w:rsidP="004C482B">
            <w:pP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proofErr w:type="spellStart"/>
            <w:r w:rsidRPr="00B84FE2">
              <w:rPr>
                <w:rFonts w:eastAsia="Times New Roman"/>
                <w:color w:val="000000"/>
                <w:sz w:val="20"/>
                <w:szCs w:val="20"/>
                <w:lang w:eastAsia="fr-FR"/>
              </w:rPr>
              <w:t>Tramadol</w:t>
            </w:r>
            <w:proofErr w:type="spellEnd"/>
            <w:r>
              <w:rPr>
                <w:rFonts w:eastAsia="Times New Roman"/>
                <w:color w:val="000000"/>
                <w:sz w:val="20"/>
                <w:szCs w:val="20"/>
                <w:lang w:eastAsia="fr-FR"/>
              </w:rPr>
              <w:t xml:space="preserve"> (n=68)</w:t>
            </w:r>
          </w:p>
        </w:tc>
        <w:tc>
          <w:tcPr>
            <w:tcW w:w="891" w:type="dxa"/>
            <w:vMerge/>
            <w:noWrap/>
            <w:hideMark/>
          </w:tcPr>
          <w:p w:rsidR="005B752A" w:rsidRPr="00B84FE2" w:rsidRDefault="005B752A" w:rsidP="004C48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p>
        </w:tc>
        <w:tc>
          <w:tcPr>
            <w:tcW w:w="1234" w:type="dxa"/>
            <w:vMerge/>
            <w:noWrap/>
            <w:hideMark/>
          </w:tcPr>
          <w:p w:rsidR="005B752A" w:rsidRPr="00516662" w:rsidRDefault="005B752A" w:rsidP="004C482B">
            <w:pPr>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 w:val="20"/>
                <w:szCs w:val="20"/>
                <w:lang w:eastAsia="fr-FR"/>
              </w:rPr>
            </w:pPr>
          </w:p>
        </w:tc>
      </w:tr>
      <w:tr w:rsidR="005B752A" w:rsidRPr="00516662" w:rsidTr="00B1452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73" w:type="dxa"/>
            <w:vMerge/>
            <w:noWrap/>
            <w:hideMark/>
          </w:tcPr>
          <w:p w:rsidR="005B752A" w:rsidRPr="00CE3D9D" w:rsidRDefault="005B752A" w:rsidP="004C482B">
            <w:pPr>
              <w:rPr>
                <w:rFonts w:eastAsia="Times New Roman"/>
                <w:color w:val="000000"/>
                <w:sz w:val="20"/>
                <w:szCs w:val="20"/>
                <w:lang w:eastAsia="fr-FR"/>
              </w:rPr>
            </w:pPr>
          </w:p>
        </w:tc>
        <w:tc>
          <w:tcPr>
            <w:tcW w:w="1465" w:type="dxa"/>
          </w:tcPr>
          <w:p w:rsidR="005B752A" w:rsidRPr="00516662" w:rsidRDefault="005B752A" w:rsidP="004C482B">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r w:rsidRPr="00516662">
              <w:rPr>
                <w:rFonts w:eastAsia="Times New Roman"/>
                <w:color w:val="000000"/>
                <w:sz w:val="20"/>
                <w:szCs w:val="20"/>
                <w:lang w:eastAsia="fr-FR"/>
              </w:rPr>
              <w:t>AINS</w:t>
            </w:r>
            <w:r>
              <w:rPr>
                <w:rFonts w:eastAsia="Times New Roman"/>
                <w:color w:val="000000"/>
                <w:sz w:val="20"/>
                <w:szCs w:val="20"/>
                <w:lang w:eastAsia="fr-FR"/>
              </w:rPr>
              <w:t xml:space="preserve"> (n=7)</w:t>
            </w:r>
          </w:p>
        </w:tc>
        <w:tc>
          <w:tcPr>
            <w:tcW w:w="891" w:type="dxa"/>
            <w:vMerge/>
            <w:noWrap/>
            <w:hideMark/>
          </w:tcPr>
          <w:p w:rsidR="005B752A" w:rsidRPr="00516662"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p>
        </w:tc>
        <w:tc>
          <w:tcPr>
            <w:tcW w:w="1234" w:type="dxa"/>
            <w:vMerge/>
            <w:noWrap/>
            <w:hideMark/>
          </w:tcPr>
          <w:p w:rsidR="005B752A" w:rsidRPr="00516662"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p>
        </w:tc>
      </w:tr>
      <w:tr w:rsidR="005B752A" w:rsidRPr="00516662" w:rsidTr="00B14523">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373" w:type="dxa"/>
            <w:vMerge w:val="restart"/>
            <w:noWrap/>
          </w:tcPr>
          <w:p w:rsidR="005B752A" w:rsidRPr="00CE3D9D" w:rsidRDefault="005B752A" w:rsidP="004C482B">
            <w:pPr>
              <w:rPr>
                <w:rFonts w:eastAsia="Times New Roman"/>
                <w:color w:val="000000"/>
                <w:sz w:val="20"/>
                <w:szCs w:val="20"/>
                <w:lang w:eastAsia="fr-FR"/>
              </w:rPr>
            </w:pPr>
            <w:r w:rsidRPr="00CE3D9D">
              <w:rPr>
                <w:rFonts w:eastAsia="Times New Roman"/>
                <w:color w:val="000000"/>
                <w:sz w:val="20"/>
                <w:szCs w:val="20"/>
                <w:lang w:eastAsia="fr-FR"/>
              </w:rPr>
              <w:t>Bithérapie</w:t>
            </w:r>
          </w:p>
        </w:tc>
        <w:tc>
          <w:tcPr>
            <w:tcW w:w="1465" w:type="dxa"/>
          </w:tcPr>
          <w:p w:rsidR="005B752A" w:rsidRPr="00EB3311" w:rsidRDefault="005B752A" w:rsidP="004C482B">
            <w:pPr>
              <w:spacing w:line="360" w:lineRule="auto"/>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r w:rsidRPr="00EB3311">
              <w:rPr>
                <w:rFonts w:eastAsia="Times New Roman"/>
                <w:color w:val="000000"/>
                <w:sz w:val="20"/>
                <w:szCs w:val="20"/>
                <w:lang w:eastAsia="fr-FR"/>
              </w:rPr>
              <w:t>Paracétamol + codéine</w:t>
            </w:r>
            <w:r>
              <w:rPr>
                <w:rFonts w:eastAsia="Times New Roman"/>
                <w:color w:val="000000"/>
                <w:sz w:val="20"/>
                <w:szCs w:val="20"/>
                <w:lang w:eastAsia="fr-FR"/>
              </w:rPr>
              <w:t xml:space="preserve"> (n=96)</w:t>
            </w:r>
          </w:p>
        </w:tc>
        <w:tc>
          <w:tcPr>
            <w:tcW w:w="891" w:type="dxa"/>
            <w:vMerge w:val="restart"/>
            <w:noWrap/>
          </w:tcPr>
          <w:p w:rsidR="005B752A" w:rsidRPr="00EB3311" w:rsidRDefault="005B752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r>
              <w:rPr>
                <w:rFonts w:eastAsia="Times New Roman"/>
                <w:color w:val="000000"/>
                <w:sz w:val="20"/>
                <w:szCs w:val="20"/>
                <w:lang w:eastAsia="fr-FR"/>
              </w:rPr>
              <w:t>320</w:t>
            </w:r>
          </w:p>
        </w:tc>
        <w:tc>
          <w:tcPr>
            <w:tcW w:w="1234" w:type="dxa"/>
            <w:vMerge w:val="restart"/>
            <w:noWrap/>
          </w:tcPr>
          <w:p w:rsidR="005B752A" w:rsidRPr="00516662" w:rsidRDefault="005B752A" w:rsidP="004C48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r>
              <w:rPr>
                <w:rFonts w:eastAsia="Times New Roman"/>
                <w:color w:val="000000"/>
                <w:sz w:val="20"/>
                <w:szCs w:val="20"/>
                <w:lang w:eastAsia="fr-FR"/>
              </w:rPr>
              <w:t>52,8%</w:t>
            </w:r>
          </w:p>
        </w:tc>
      </w:tr>
      <w:tr w:rsidR="005B752A" w:rsidRPr="00516662" w:rsidTr="00B1452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373" w:type="dxa"/>
            <w:vMerge/>
            <w:noWrap/>
          </w:tcPr>
          <w:p w:rsidR="005B752A" w:rsidRDefault="005B752A" w:rsidP="004C482B">
            <w:pPr>
              <w:rPr>
                <w:rFonts w:eastAsia="Times New Roman"/>
                <w:b w:val="0"/>
                <w:color w:val="000000"/>
                <w:sz w:val="20"/>
                <w:szCs w:val="20"/>
                <w:lang w:eastAsia="fr-FR"/>
              </w:rPr>
            </w:pPr>
          </w:p>
        </w:tc>
        <w:tc>
          <w:tcPr>
            <w:tcW w:w="1465" w:type="dxa"/>
          </w:tcPr>
          <w:p w:rsidR="005B752A" w:rsidRPr="00EB3311" w:rsidRDefault="005B752A" w:rsidP="004C482B">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r w:rsidRPr="00EB3311">
              <w:rPr>
                <w:rFonts w:eastAsia="Times New Roman"/>
                <w:color w:val="000000"/>
                <w:sz w:val="20"/>
                <w:szCs w:val="20"/>
                <w:lang w:eastAsia="fr-FR"/>
              </w:rPr>
              <w:t>Paracétamol + AINS</w:t>
            </w:r>
            <w:r>
              <w:rPr>
                <w:rFonts w:eastAsia="Times New Roman"/>
                <w:color w:val="000000"/>
                <w:sz w:val="20"/>
                <w:szCs w:val="20"/>
                <w:lang w:eastAsia="fr-FR"/>
              </w:rPr>
              <w:t xml:space="preserve"> (n=80)</w:t>
            </w:r>
          </w:p>
        </w:tc>
        <w:tc>
          <w:tcPr>
            <w:tcW w:w="891" w:type="dxa"/>
            <w:vMerge/>
            <w:noWrap/>
          </w:tcPr>
          <w:p w:rsidR="005B752A" w:rsidRPr="00EB3311"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p>
        </w:tc>
        <w:tc>
          <w:tcPr>
            <w:tcW w:w="1234" w:type="dxa"/>
            <w:vMerge/>
            <w:noWrap/>
          </w:tcPr>
          <w:p w:rsidR="005B752A" w:rsidRPr="00516662"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p>
        </w:tc>
      </w:tr>
      <w:tr w:rsidR="005B752A" w:rsidRPr="00516662" w:rsidTr="00B14523">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373" w:type="dxa"/>
            <w:vMerge/>
            <w:noWrap/>
          </w:tcPr>
          <w:p w:rsidR="005B752A" w:rsidRDefault="005B752A" w:rsidP="004C482B">
            <w:pPr>
              <w:rPr>
                <w:rFonts w:eastAsia="Times New Roman"/>
                <w:b w:val="0"/>
                <w:color w:val="000000"/>
                <w:sz w:val="20"/>
                <w:szCs w:val="20"/>
                <w:lang w:eastAsia="fr-FR"/>
              </w:rPr>
            </w:pPr>
          </w:p>
        </w:tc>
        <w:tc>
          <w:tcPr>
            <w:tcW w:w="1465" w:type="dxa"/>
          </w:tcPr>
          <w:p w:rsidR="005B752A" w:rsidRPr="00EB3311" w:rsidRDefault="005B752A" w:rsidP="004C482B">
            <w:pPr>
              <w:spacing w:line="360" w:lineRule="auto"/>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r w:rsidRPr="00EB3311">
              <w:rPr>
                <w:rFonts w:eastAsia="Times New Roman"/>
                <w:color w:val="000000"/>
                <w:sz w:val="20"/>
                <w:szCs w:val="20"/>
                <w:lang w:eastAsia="fr-FR"/>
              </w:rPr>
              <w:t xml:space="preserve">Paracétamol + </w:t>
            </w:r>
            <w:proofErr w:type="spellStart"/>
            <w:r w:rsidRPr="00EB3311">
              <w:rPr>
                <w:rFonts w:eastAsia="Times New Roman"/>
                <w:color w:val="000000"/>
                <w:sz w:val="20"/>
                <w:szCs w:val="20"/>
                <w:lang w:eastAsia="fr-FR"/>
              </w:rPr>
              <w:t>tramadol</w:t>
            </w:r>
            <w:proofErr w:type="spellEnd"/>
            <w:r w:rsidRPr="00EB3311">
              <w:rPr>
                <w:rFonts w:eastAsia="Times New Roman"/>
                <w:color w:val="000000"/>
                <w:sz w:val="20"/>
                <w:szCs w:val="20"/>
                <w:lang w:eastAsia="fr-FR"/>
              </w:rPr>
              <w:t> </w:t>
            </w:r>
            <w:r>
              <w:rPr>
                <w:rFonts w:eastAsia="Times New Roman"/>
                <w:color w:val="000000"/>
                <w:sz w:val="20"/>
                <w:szCs w:val="20"/>
                <w:lang w:eastAsia="fr-FR"/>
              </w:rPr>
              <w:t>(n=70)</w:t>
            </w:r>
          </w:p>
        </w:tc>
        <w:tc>
          <w:tcPr>
            <w:tcW w:w="891" w:type="dxa"/>
            <w:vMerge/>
            <w:noWrap/>
          </w:tcPr>
          <w:p w:rsidR="005B752A" w:rsidRPr="00EB3311" w:rsidRDefault="005B752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p>
        </w:tc>
        <w:tc>
          <w:tcPr>
            <w:tcW w:w="1234" w:type="dxa"/>
            <w:vMerge/>
            <w:noWrap/>
          </w:tcPr>
          <w:p w:rsidR="005B752A" w:rsidRPr="00516662" w:rsidRDefault="005B752A" w:rsidP="004C48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p>
        </w:tc>
      </w:tr>
      <w:tr w:rsidR="005B752A" w:rsidRPr="00516662" w:rsidTr="00B1452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73" w:type="dxa"/>
            <w:vMerge/>
            <w:noWrap/>
          </w:tcPr>
          <w:p w:rsidR="005B752A" w:rsidRDefault="005B752A" w:rsidP="004C482B">
            <w:pPr>
              <w:rPr>
                <w:rFonts w:eastAsia="Times New Roman"/>
                <w:b w:val="0"/>
                <w:color w:val="000000"/>
                <w:sz w:val="20"/>
                <w:szCs w:val="20"/>
                <w:lang w:eastAsia="fr-FR"/>
              </w:rPr>
            </w:pPr>
          </w:p>
        </w:tc>
        <w:tc>
          <w:tcPr>
            <w:tcW w:w="1465" w:type="dxa"/>
          </w:tcPr>
          <w:p w:rsidR="005B752A" w:rsidRPr="00EB3311" w:rsidRDefault="005B752A" w:rsidP="004C482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r w:rsidRPr="00EB3311">
              <w:rPr>
                <w:rFonts w:eastAsia="Times New Roman"/>
                <w:color w:val="000000"/>
                <w:sz w:val="20"/>
                <w:szCs w:val="20"/>
                <w:lang w:eastAsia="fr-FR"/>
              </w:rPr>
              <w:t xml:space="preserve">Paracétamol + </w:t>
            </w:r>
            <w:proofErr w:type="spellStart"/>
            <w:r w:rsidRPr="00EB3311">
              <w:rPr>
                <w:rFonts w:eastAsia="Times New Roman"/>
                <w:color w:val="000000"/>
                <w:sz w:val="20"/>
                <w:szCs w:val="20"/>
                <w:lang w:eastAsia="fr-FR"/>
              </w:rPr>
              <w:t>co</w:t>
            </w:r>
            <w:proofErr w:type="spellEnd"/>
            <w:r w:rsidRPr="00EB3311">
              <w:rPr>
                <w:rFonts w:eastAsia="Times New Roman"/>
                <w:color w:val="000000"/>
                <w:sz w:val="20"/>
                <w:szCs w:val="20"/>
                <w:lang w:eastAsia="fr-FR"/>
              </w:rPr>
              <w:t>-antalgiques</w:t>
            </w:r>
            <w:r>
              <w:rPr>
                <w:rFonts w:eastAsia="Times New Roman"/>
                <w:color w:val="000000"/>
                <w:sz w:val="20"/>
                <w:szCs w:val="20"/>
                <w:lang w:eastAsia="fr-FR"/>
              </w:rPr>
              <w:t xml:space="preserve"> (n=44)</w:t>
            </w:r>
          </w:p>
        </w:tc>
        <w:tc>
          <w:tcPr>
            <w:tcW w:w="891" w:type="dxa"/>
            <w:vMerge/>
            <w:noWrap/>
          </w:tcPr>
          <w:p w:rsidR="005B752A" w:rsidRPr="00EB3311" w:rsidRDefault="005B752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p>
        </w:tc>
        <w:tc>
          <w:tcPr>
            <w:tcW w:w="1234" w:type="dxa"/>
            <w:vMerge/>
            <w:noWrap/>
          </w:tcPr>
          <w:p w:rsidR="005B752A" w:rsidRPr="00516662"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p>
        </w:tc>
      </w:tr>
      <w:tr w:rsidR="005B752A" w:rsidRPr="00516662" w:rsidTr="00B14523">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373" w:type="dxa"/>
            <w:vMerge/>
            <w:noWrap/>
          </w:tcPr>
          <w:p w:rsidR="005B752A" w:rsidRDefault="005B752A" w:rsidP="004C482B">
            <w:pPr>
              <w:rPr>
                <w:rFonts w:eastAsia="Times New Roman"/>
                <w:b w:val="0"/>
                <w:color w:val="000000"/>
                <w:sz w:val="20"/>
                <w:szCs w:val="20"/>
                <w:lang w:eastAsia="fr-FR"/>
              </w:rPr>
            </w:pPr>
          </w:p>
        </w:tc>
        <w:tc>
          <w:tcPr>
            <w:tcW w:w="1465" w:type="dxa"/>
          </w:tcPr>
          <w:p w:rsidR="005B752A" w:rsidRPr="00EB3311" w:rsidRDefault="005B752A" w:rsidP="004C482B">
            <w:pPr>
              <w:spacing w:line="360" w:lineRule="auto"/>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proofErr w:type="spellStart"/>
            <w:r w:rsidRPr="00EB3311">
              <w:rPr>
                <w:rFonts w:eastAsia="Times New Roman"/>
                <w:color w:val="000000"/>
                <w:sz w:val="20"/>
                <w:szCs w:val="20"/>
                <w:lang w:eastAsia="fr-FR"/>
              </w:rPr>
              <w:t>Tramadol</w:t>
            </w:r>
            <w:proofErr w:type="spellEnd"/>
            <w:r w:rsidRPr="00EB3311">
              <w:rPr>
                <w:rFonts w:eastAsia="Times New Roman"/>
                <w:color w:val="000000"/>
                <w:sz w:val="20"/>
                <w:szCs w:val="20"/>
                <w:lang w:eastAsia="fr-FR"/>
              </w:rPr>
              <w:t xml:space="preserve">  + </w:t>
            </w:r>
            <w:proofErr w:type="spellStart"/>
            <w:r w:rsidRPr="00EB3311">
              <w:rPr>
                <w:rFonts w:eastAsia="Times New Roman"/>
                <w:color w:val="000000"/>
                <w:sz w:val="20"/>
                <w:szCs w:val="20"/>
                <w:lang w:eastAsia="fr-FR"/>
              </w:rPr>
              <w:t>co</w:t>
            </w:r>
            <w:proofErr w:type="spellEnd"/>
            <w:r w:rsidRPr="00EB3311">
              <w:rPr>
                <w:rFonts w:eastAsia="Times New Roman"/>
                <w:color w:val="000000"/>
                <w:sz w:val="20"/>
                <w:szCs w:val="20"/>
                <w:lang w:eastAsia="fr-FR"/>
              </w:rPr>
              <w:t>-antalgiques</w:t>
            </w:r>
            <w:r>
              <w:rPr>
                <w:rFonts w:eastAsia="Times New Roman"/>
                <w:color w:val="000000"/>
                <w:sz w:val="20"/>
                <w:szCs w:val="20"/>
                <w:lang w:eastAsia="fr-FR"/>
              </w:rPr>
              <w:t xml:space="preserve"> (n=29)</w:t>
            </w:r>
          </w:p>
        </w:tc>
        <w:tc>
          <w:tcPr>
            <w:tcW w:w="891" w:type="dxa"/>
            <w:vMerge/>
            <w:noWrap/>
          </w:tcPr>
          <w:p w:rsidR="005B752A" w:rsidRPr="00EB3311" w:rsidRDefault="005B752A" w:rsidP="004C482B">
            <w:pPr>
              <w:spacing w:line="360" w:lineRule="auto"/>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p>
        </w:tc>
        <w:tc>
          <w:tcPr>
            <w:tcW w:w="1234" w:type="dxa"/>
            <w:vMerge/>
            <w:noWrap/>
          </w:tcPr>
          <w:p w:rsidR="005B752A" w:rsidRPr="00516662" w:rsidRDefault="005B752A" w:rsidP="004C48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p>
        </w:tc>
      </w:tr>
      <w:tr w:rsidR="005B752A" w:rsidRPr="00516662" w:rsidTr="00B1452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73" w:type="dxa"/>
            <w:vMerge/>
            <w:noWrap/>
          </w:tcPr>
          <w:p w:rsidR="005B752A" w:rsidRDefault="005B752A" w:rsidP="004C482B">
            <w:pPr>
              <w:rPr>
                <w:rFonts w:eastAsia="Times New Roman"/>
                <w:b w:val="0"/>
                <w:color w:val="000000"/>
                <w:sz w:val="20"/>
                <w:szCs w:val="20"/>
                <w:lang w:eastAsia="fr-FR"/>
              </w:rPr>
            </w:pPr>
          </w:p>
        </w:tc>
        <w:tc>
          <w:tcPr>
            <w:tcW w:w="1465" w:type="dxa"/>
          </w:tcPr>
          <w:p w:rsidR="005B752A" w:rsidRPr="00EB3311" w:rsidRDefault="005B752A" w:rsidP="004C482B">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proofErr w:type="spellStart"/>
            <w:r w:rsidRPr="00EB3311">
              <w:rPr>
                <w:rFonts w:eastAsia="Times New Roman"/>
                <w:color w:val="000000"/>
                <w:sz w:val="20"/>
                <w:szCs w:val="20"/>
                <w:lang w:eastAsia="fr-FR"/>
              </w:rPr>
              <w:t>Tramadol</w:t>
            </w:r>
            <w:proofErr w:type="spellEnd"/>
            <w:r w:rsidRPr="00EB3311">
              <w:rPr>
                <w:rFonts w:eastAsia="Times New Roman"/>
                <w:color w:val="000000"/>
                <w:sz w:val="20"/>
                <w:szCs w:val="20"/>
                <w:lang w:eastAsia="fr-FR"/>
              </w:rPr>
              <w:t xml:space="preserve"> + AINS</w:t>
            </w:r>
            <w:r>
              <w:rPr>
                <w:rFonts w:eastAsia="Times New Roman"/>
                <w:color w:val="000000"/>
                <w:sz w:val="20"/>
                <w:szCs w:val="20"/>
                <w:lang w:eastAsia="fr-FR"/>
              </w:rPr>
              <w:t xml:space="preserve"> (n=1)</w:t>
            </w:r>
          </w:p>
        </w:tc>
        <w:tc>
          <w:tcPr>
            <w:tcW w:w="891" w:type="dxa"/>
            <w:vMerge/>
            <w:noWrap/>
          </w:tcPr>
          <w:p w:rsidR="005B752A" w:rsidRPr="00EB3311" w:rsidRDefault="005B752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p>
        </w:tc>
        <w:tc>
          <w:tcPr>
            <w:tcW w:w="1234" w:type="dxa"/>
            <w:vMerge/>
            <w:noWrap/>
          </w:tcPr>
          <w:p w:rsidR="005B752A" w:rsidRPr="00516662"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p>
        </w:tc>
      </w:tr>
      <w:tr w:rsidR="005B752A" w:rsidRPr="00516662" w:rsidTr="00B14523">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838" w:type="dxa"/>
            <w:gridSpan w:val="2"/>
            <w:noWrap/>
          </w:tcPr>
          <w:p w:rsidR="005B752A" w:rsidRPr="00CE3D9D" w:rsidRDefault="005B752A" w:rsidP="004C482B">
            <w:pPr>
              <w:rPr>
                <w:rFonts w:eastAsia="Times New Roman"/>
                <w:color w:val="000000"/>
                <w:sz w:val="20"/>
                <w:szCs w:val="20"/>
                <w:lang w:eastAsia="fr-FR"/>
              </w:rPr>
            </w:pPr>
            <w:r w:rsidRPr="00CE3D9D">
              <w:rPr>
                <w:rFonts w:eastAsia="Times New Roman"/>
                <w:color w:val="000000"/>
                <w:sz w:val="20"/>
                <w:szCs w:val="20"/>
                <w:lang w:eastAsia="fr-FR"/>
              </w:rPr>
              <w:t>Trithérapie</w:t>
            </w:r>
          </w:p>
        </w:tc>
        <w:tc>
          <w:tcPr>
            <w:tcW w:w="891" w:type="dxa"/>
            <w:noWrap/>
          </w:tcPr>
          <w:p w:rsidR="005B752A" w:rsidRPr="00516662" w:rsidRDefault="005B752A" w:rsidP="004C48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r>
              <w:rPr>
                <w:rFonts w:eastAsia="Times New Roman"/>
                <w:color w:val="000000"/>
                <w:sz w:val="20"/>
                <w:szCs w:val="20"/>
                <w:lang w:eastAsia="fr-FR"/>
              </w:rPr>
              <w:t>102</w:t>
            </w:r>
          </w:p>
        </w:tc>
        <w:tc>
          <w:tcPr>
            <w:tcW w:w="1234" w:type="dxa"/>
            <w:noWrap/>
          </w:tcPr>
          <w:p w:rsidR="005B752A" w:rsidRPr="00516662" w:rsidRDefault="005B752A" w:rsidP="004C482B">
            <w:pPr>
              <w:jc w:val="center"/>
              <w:cnfStyle w:val="000000010000" w:firstRow="0" w:lastRow="0" w:firstColumn="0" w:lastColumn="0" w:oddVBand="0" w:evenVBand="0" w:oddHBand="0" w:evenHBand="1" w:firstRowFirstColumn="0" w:firstRowLastColumn="0" w:lastRowFirstColumn="0" w:lastRowLastColumn="0"/>
              <w:rPr>
                <w:rFonts w:eastAsia="Times New Roman"/>
                <w:color w:val="000000"/>
                <w:sz w:val="20"/>
                <w:szCs w:val="20"/>
                <w:lang w:eastAsia="fr-FR"/>
              </w:rPr>
            </w:pPr>
            <w:r>
              <w:rPr>
                <w:rFonts w:eastAsia="Times New Roman"/>
                <w:color w:val="000000"/>
                <w:sz w:val="20"/>
                <w:szCs w:val="20"/>
                <w:lang w:eastAsia="fr-FR"/>
              </w:rPr>
              <w:t>16,8%</w:t>
            </w:r>
          </w:p>
        </w:tc>
      </w:tr>
      <w:tr w:rsidR="005B752A" w:rsidRPr="00516662" w:rsidTr="00B14523">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838" w:type="dxa"/>
            <w:gridSpan w:val="2"/>
            <w:noWrap/>
          </w:tcPr>
          <w:p w:rsidR="005B752A" w:rsidRPr="00CE3D9D" w:rsidRDefault="005B752A" w:rsidP="004C482B">
            <w:pPr>
              <w:rPr>
                <w:rFonts w:eastAsia="Times New Roman"/>
                <w:color w:val="000000"/>
                <w:sz w:val="20"/>
                <w:szCs w:val="20"/>
                <w:lang w:eastAsia="fr-FR"/>
              </w:rPr>
            </w:pPr>
            <w:r w:rsidRPr="00CE3D9D">
              <w:rPr>
                <w:rFonts w:eastAsia="Times New Roman"/>
                <w:color w:val="000000"/>
                <w:sz w:val="20"/>
                <w:szCs w:val="20"/>
                <w:lang w:eastAsia="fr-FR"/>
              </w:rPr>
              <w:t>Quadrithérapie</w:t>
            </w:r>
          </w:p>
        </w:tc>
        <w:tc>
          <w:tcPr>
            <w:tcW w:w="891" w:type="dxa"/>
            <w:noWrap/>
          </w:tcPr>
          <w:p w:rsidR="005B752A" w:rsidRPr="00516662"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r>
              <w:rPr>
                <w:rFonts w:eastAsia="Times New Roman"/>
                <w:color w:val="000000"/>
                <w:sz w:val="20"/>
                <w:szCs w:val="20"/>
                <w:lang w:eastAsia="fr-FR"/>
              </w:rPr>
              <w:t>13</w:t>
            </w:r>
          </w:p>
        </w:tc>
        <w:tc>
          <w:tcPr>
            <w:tcW w:w="1234" w:type="dxa"/>
            <w:noWrap/>
          </w:tcPr>
          <w:p w:rsidR="005B752A" w:rsidRPr="00516662" w:rsidRDefault="005B752A" w:rsidP="004C482B">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fr-FR"/>
              </w:rPr>
            </w:pPr>
            <w:r>
              <w:rPr>
                <w:rFonts w:eastAsia="Times New Roman"/>
                <w:color w:val="000000"/>
                <w:sz w:val="20"/>
                <w:szCs w:val="20"/>
                <w:lang w:eastAsia="fr-FR"/>
              </w:rPr>
              <w:t>2,2%</w:t>
            </w:r>
          </w:p>
        </w:tc>
      </w:tr>
      <w:tr w:rsidR="005B752A" w:rsidRPr="00516662" w:rsidTr="00B14523">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838" w:type="dxa"/>
            <w:gridSpan w:val="2"/>
            <w:noWrap/>
            <w:hideMark/>
          </w:tcPr>
          <w:p w:rsidR="005B752A" w:rsidRPr="00516662" w:rsidRDefault="005B752A" w:rsidP="004C482B">
            <w:pPr>
              <w:rPr>
                <w:rFonts w:eastAsia="Times New Roman"/>
                <w:b w:val="0"/>
                <w:color w:val="000000"/>
                <w:sz w:val="20"/>
                <w:szCs w:val="20"/>
                <w:lang w:eastAsia="fr-FR"/>
              </w:rPr>
            </w:pPr>
            <w:r w:rsidRPr="00516662">
              <w:rPr>
                <w:rFonts w:eastAsia="Times New Roman"/>
                <w:color w:val="000000"/>
                <w:sz w:val="20"/>
                <w:szCs w:val="20"/>
                <w:lang w:eastAsia="fr-FR"/>
              </w:rPr>
              <w:t xml:space="preserve">Total </w:t>
            </w:r>
          </w:p>
        </w:tc>
        <w:tc>
          <w:tcPr>
            <w:tcW w:w="891" w:type="dxa"/>
            <w:noWrap/>
            <w:hideMark/>
          </w:tcPr>
          <w:p w:rsidR="005B752A" w:rsidRPr="00516662" w:rsidRDefault="005B752A" w:rsidP="004C482B">
            <w:pPr>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 w:val="20"/>
                <w:szCs w:val="20"/>
                <w:lang w:eastAsia="fr-FR"/>
              </w:rPr>
            </w:pPr>
            <w:r>
              <w:rPr>
                <w:rFonts w:eastAsia="Times New Roman"/>
                <w:b/>
                <w:color w:val="000000"/>
                <w:sz w:val="20"/>
                <w:szCs w:val="20"/>
                <w:lang w:eastAsia="fr-FR"/>
              </w:rPr>
              <w:t>606</w:t>
            </w:r>
          </w:p>
        </w:tc>
        <w:tc>
          <w:tcPr>
            <w:tcW w:w="1234" w:type="dxa"/>
            <w:noWrap/>
            <w:hideMark/>
          </w:tcPr>
          <w:p w:rsidR="005B752A" w:rsidRPr="00516662" w:rsidRDefault="005B752A" w:rsidP="004C482B">
            <w:pPr>
              <w:jc w:val="center"/>
              <w:cnfStyle w:val="000000010000" w:firstRow="0" w:lastRow="0" w:firstColumn="0" w:lastColumn="0" w:oddVBand="0" w:evenVBand="0" w:oddHBand="0" w:evenHBand="1" w:firstRowFirstColumn="0" w:firstRowLastColumn="0" w:lastRowFirstColumn="0" w:lastRowLastColumn="0"/>
              <w:rPr>
                <w:rFonts w:eastAsia="Times New Roman"/>
                <w:b/>
                <w:color w:val="000000"/>
                <w:sz w:val="20"/>
                <w:szCs w:val="20"/>
                <w:lang w:eastAsia="fr-FR"/>
              </w:rPr>
            </w:pPr>
            <w:r>
              <w:rPr>
                <w:rFonts w:eastAsia="Times New Roman"/>
                <w:b/>
                <w:color w:val="000000"/>
                <w:sz w:val="20"/>
                <w:szCs w:val="20"/>
                <w:lang w:eastAsia="fr-FR"/>
              </w:rPr>
              <w:t>100</w:t>
            </w:r>
            <w:r w:rsidRPr="00516662">
              <w:rPr>
                <w:rFonts w:eastAsia="Times New Roman"/>
                <w:b/>
                <w:color w:val="000000"/>
                <w:sz w:val="20"/>
                <w:szCs w:val="20"/>
                <w:lang w:eastAsia="fr-FR"/>
              </w:rPr>
              <w:t>%</w:t>
            </w:r>
          </w:p>
        </w:tc>
        <w:bookmarkStart w:id="6" w:name="_GoBack"/>
        <w:bookmarkEnd w:id="6"/>
      </w:tr>
    </w:tbl>
    <w:p w:rsidR="00911CC0" w:rsidRDefault="00911CC0" w:rsidP="00104E43">
      <w:pPr>
        <w:jc w:val="both"/>
        <w:rPr>
          <w:b/>
          <w:sz w:val="20"/>
          <w:szCs w:val="20"/>
        </w:rPr>
      </w:pPr>
    </w:p>
    <w:p w:rsidR="00911CC0" w:rsidRDefault="00911CC0" w:rsidP="00104E43">
      <w:pPr>
        <w:jc w:val="both"/>
        <w:rPr>
          <w:b/>
          <w:sz w:val="20"/>
          <w:szCs w:val="20"/>
        </w:rPr>
      </w:pPr>
    </w:p>
    <w:p w:rsidR="00911CC0" w:rsidRDefault="00911CC0" w:rsidP="00104E43">
      <w:pPr>
        <w:jc w:val="both"/>
        <w:rPr>
          <w:b/>
          <w:sz w:val="20"/>
          <w:szCs w:val="20"/>
        </w:rPr>
      </w:pPr>
    </w:p>
    <w:p w:rsidR="0027135A" w:rsidRDefault="0027135A" w:rsidP="0027135A">
      <w:pPr>
        <w:jc w:val="both"/>
        <w:rPr>
          <w:bCs/>
          <w:sz w:val="20"/>
          <w:szCs w:val="20"/>
        </w:rPr>
      </w:pPr>
      <w:bookmarkStart w:id="7" w:name="_Toc453592166"/>
      <w:r w:rsidRPr="0027135A">
        <w:rPr>
          <w:b/>
          <w:bCs/>
          <w:sz w:val="20"/>
          <w:szCs w:val="20"/>
        </w:rPr>
        <w:lastRenderedPageBreak/>
        <w:t xml:space="preserve">Figure 2: </w:t>
      </w:r>
      <w:r w:rsidRPr="0027135A">
        <w:rPr>
          <w:bCs/>
          <w:sz w:val="20"/>
          <w:szCs w:val="20"/>
        </w:rPr>
        <w:t>Courbe des moyennes d'intensité de la douleur</w:t>
      </w:r>
      <w:bookmarkEnd w:id="7"/>
    </w:p>
    <w:p w:rsidR="0027135A" w:rsidRPr="0027135A" w:rsidRDefault="0027135A" w:rsidP="0027135A">
      <w:pPr>
        <w:jc w:val="both"/>
        <w:rPr>
          <w:bCs/>
          <w:sz w:val="20"/>
          <w:szCs w:val="20"/>
        </w:rPr>
      </w:pPr>
    </w:p>
    <w:p w:rsidR="00C966D6" w:rsidRDefault="0027135A" w:rsidP="000B24E4">
      <w:pPr>
        <w:jc w:val="both"/>
        <w:rPr>
          <w:b/>
          <w:sz w:val="20"/>
          <w:szCs w:val="20"/>
        </w:rPr>
      </w:pPr>
      <w:r w:rsidRPr="0027135A">
        <w:rPr>
          <w:b/>
          <w:noProof/>
          <w:sz w:val="20"/>
          <w:szCs w:val="20"/>
          <w:lang w:eastAsia="fr-FR"/>
        </w:rPr>
        <w:drawing>
          <wp:inline distT="0" distB="0" distL="0" distR="0">
            <wp:extent cx="2929338" cy="2456953"/>
            <wp:effectExtent l="19050" t="0" r="23412" b="497"/>
            <wp:docPr id="3"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66D6" w:rsidRDefault="00C966D6" w:rsidP="000B24E4">
      <w:pPr>
        <w:jc w:val="both"/>
        <w:rPr>
          <w:b/>
          <w:sz w:val="20"/>
          <w:szCs w:val="20"/>
        </w:rPr>
      </w:pPr>
    </w:p>
    <w:p w:rsidR="0027135A" w:rsidRPr="0027135A" w:rsidRDefault="0027135A" w:rsidP="0027135A">
      <w:pPr>
        <w:jc w:val="both"/>
        <w:rPr>
          <w:b/>
          <w:bCs/>
          <w:sz w:val="20"/>
          <w:szCs w:val="20"/>
        </w:rPr>
      </w:pPr>
      <w:bookmarkStart w:id="8" w:name="_Toc453054544"/>
      <w:r w:rsidRPr="0027135A">
        <w:rPr>
          <w:b/>
          <w:bCs/>
          <w:sz w:val="20"/>
          <w:szCs w:val="20"/>
        </w:rPr>
        <w:t xml:space="preserve">Tableau </w:t>
      </w:r>
      <w:r w:rsidRPr="0027135A">
        <w:rPr>
          <w:b/>
          <w:bCs/>
          <w:sz w:val="20"/>
          <w:szCs w:val="20"/>
        </w:rPr>
        <w:fldChar w:fldCharType="begin"/>
      </w:r>
      <w:r w:rsidRPr="0027135A">
        <w:rPr>
          <w:b/>
          <w:bCs/>
          <w:sz w:val="20"/>
          <w:szCs w:val="20"/>
        </w:rPr>
        <w:instrText xml:space="preserve"> SEQ Tableau \* ROMAN </w:instrText>
      </w:r>
      <w:r w:rsidRPr="0027135A">
        <w:rPr>
          <w:b/>
          <w:bCs/>
          <w:sz w:val="20"/>
          <w:szCs w:val="20"/>
        </w:rPr>
        <w:fldChar w:fldCharType="separate"/>
      </w:r>
      <w:r w:rsidRPr="0027135A">
        <w:rPr>
          <w:b/>
          <w:bCs/>
          <w:sz w:val="20"/>
          <w:szCs w:val="20"/>
        </w:rPr>
        <w:t>I</w:t>
      </w:r>
      <w:r w:rsidRPr="0027135A">
        <w:rPr>
          <w:b/>
          <w:sz w:val="20"/>
          <w:szCs w:val="20"/>
        </w:rPr>
        <w:fldChar w:fldCharType="end"/>
      </w:r>
      <w:r w:rsidRPr="0027135A">
        <w:rPr>
          <w:b/>
          <w:bCs/>
          <w:sz w:val="20"/>
          <w:szCs w:val="20"/>
        </w:rPr>
        <w:t xml:space="preserve">V: </w:t>
      </w:r>
      <w:r w:rsidRPr="0027135A">
        <w:rPr>
          <w:bCs/>
          <w:sz w:val="20"/>
          <w:szCs w:val="20"/>
        </w:rPr>
        <w:t>Distribution selon l'observance</w:t>
      </w:r>
      <w:bookmarkEnd w:id="8"/>
    </w:p>
    <w:tbl>
      <w:tblPr>
        <w:tblStyle w:val="Tramemoyenne1-Accent13"/>
        <w:tblW w:w="4822" w:type="dxa"/>
        <w:tblLook w:val="04A0" w:firstRow="1" w:lastRow="0" w:firstColumn="1" w:lastColumn="0" w:noHBand="0" w:noVBand="1"/>
      </w:tblPr>
      <w:tblGrid>
        <w:gridCol w:w="1015"/>
        <w:gridCol w:w="544"/>
        <w:gridCol w:w="809"/>
        <w:gridCol w:w="508"/>
        <w:gridCol w:w="719"/>
        <w:gridCol w:w="508"/>
        <w:gridCol w:w="719"/>
      </w:tblGrid>
      <w:tr w:rsidR="0027135A" w:rsidRPr="003A6748" w:rsidTr="00A5167B">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08" w:type="dxa"/>
            <w:noWrap/>
            <w:hideMark/>
          </w:tcPr>
          <w:p w:rsidR="0027135A" w:rsidRPr="003A6748" w:rsidRDefault="0027135A" w:rsidP="004C482B">
            <w:pPr>
              <w:spacing w:line="360" w:lineRule="auto"/>
              <w:jc w:val="both"/>
              <w:rPr>
                <w:rFonts w:eastAsia="Times New Roman"/>
                <w:sz w:val="20"/>
                <w:szCs w:val="20"/>
                <w:lang w:eastAsia="fr-FR"/>
              </w:rPr>
            </w:pPr>
          </w:p>
        </w:tc>
        <w:tc>
          <w:tcPr>
            <w:tcW w:w="1380" w:type="dxa"/>
            <w:gridSpan w:val="2"/>
            <w:noWrap/>
            <w:hideMark/>
          </w:tcPr>
          <w:p w:rsidR="0027135A" w:rsidRPr="003A6748" w:rsidRDefault="0027135A" w:rsidP="004C482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sz w:val="20"/>
                <w:szCs w:val="20"/>
                <w:lang w:eastAsia="fr-FR"/>
              </w:rPr>
            </w:pPr>
            <w:r w:rsidRPr="003A6748">
              <w:rPr>
                <w:rFonts w:eastAsia="Times New Roman"/>
                <w:sz w:val="20"/>
                <w:szCs w:val="20"/>
                <w:lang w:eastAsia="fr-FR"/>
              </w:rPr>
              <w:t>Suivi 1</w:t>
            </w:r>
          </w:p>
        </w:tc>
        <w:tc>
          <w:tcPr>
            <w:tcW w:w="1217" w:type="dxa"/>
            <w:gridSpan w:val="2"/>
            <w:noWrap/>
            <w:hideMark/>
          </w:tcPr>
          <w:p w:rsidR="0027135A" w:rsidRPr="003A6748" w:rsidRDefault="0027135A" w:rsidP="004C482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sz w:val="20"/>
                <w:szCs w:val="20"/>
                <w:lang w:eastAsia="fr-FR"/>
              </w:rPr>
            </w:pPr>
            <w:r w:rsidRPr="003A6748">
              <w:rPr>
                <w:rFonts w:eastAsia="Times New Roman"/>
                <w:sz w:val="20"/>
                <w:szCs w:val="20"/>
                <w:lang w:eastAsia="fr-FR"/>
              </w:rPr>
              <w:t>Suivi 2</w:t>
            </w:r>
          </w:p>
        </w:tc>
        <w:tc>
          <w:tcPr>
            <w:tcW w:w="1217" w:type="dxa"/>
            <w:gridSpan w:val="2"/>
            <w:noWrap/>
            <w:hideMark/>
          </w:tcPr>
          <w:p w:rsidR="0027135A" w:rsidRPr="003A6748" w:rsidRDefault="0027135A" w:rsidP="004C482B">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bCs w:val="0"/>
                <w:sz w:val="20"/>
                <w:szCs w:val="20"/>
                <w:lang w:eastAsia="fr-FR"/>
              </w:rPr>
            </w:pPr>
            <w:r w:rsidRPr="003A6748">
              <w:rPr>
                <w:rFonts w:eastAsia="Times New Roman"/>
                <w:sz w:val="20"/>
                <w:szCs w:val="20"/>
                <w:lang w:eastAsia="fr-FR"/>
              </w:rPr>
              <w:t>Suivi 3</w:t>
            </w:r>
          </w:p>
        </w:tc>
      </w:tr>
      <w:tr w:rsidR="0027135A" w:rsidRPr="003A6748" w:rsidTr="00A5167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08" w:type="dxa"/>
            <w:hideMark/>
          </w:tcPr>
          <w:p w:rsidR="0027135A" w:rsidRPr="003A6748" w:rsidRDefault="0027135A" w:rsidP="004C482B">
            <w:pPr>
              <w:spacing w:line="360" w:lineRule="auto"/>
              <w:jc w:val="both"/>
              <w:rPr>
                <w:rFonts w:eastAsia="Times New Roman"/>
                <w:bCs w:val="0"/>
                <w:sz w:val="20"/>
                <w:szCs w:val="20"/>
                <w:lang w:eastAsia="fr-FR"/>
              </w:rPr>
            </w:pPr>
            <w:r w:rsidRPr="003A6748">
              <w:rPr>
                <w:rFonts w:eastAsia="Times New Roman"/>
                <w:sz w:val="20"/>
                <w:szCs w:val="20"/>
                <w:lang w:eastAsia="fr-FR"/>
              </w:rPr>
              <w:t>Score Total</w:t>
            </w:r>
          </w:p>
        </w:tc>
        <w:tc>
          <w:tcPr>
            <w:tcW w:w="554"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Pr>
                <w:rFonts w:eastAsia="Times New Roman"/>
                <w:bCs/>
                <w:sz w:val="20"/>
                <w:szCs w:val="20"/>
                <w:lang w:eastAsia="fr-FR"/>
              </w:rPr>
              <w:t>N</w:t>
            </w:r>
          </w:p>
        </w:tc>
        <w:tc>
          <w:tcPr>
            <w:tcW w:w="826"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Pr>
                <w:rFonts w:eastAsia="Times New Roman"/>
                <w:bCs/>
                <w:sz w:val="20"/>
                <w:szCs w:val="20"/>
                <w:lang w:eastAsia="fr-FR"/>
              </w:rPr>
              <w:t>%</w:t>
            </w:r>
          </w:p>
        </w:tc>
        <w:tc>
          <w:tcPr>
            <w:tcW w:w="504"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Pr>
                <w:rFonts w:eastAsia="Times New Roman"/>
                <w:bCs/>
                <w:sz w:val="20"/>
                <w:szCs w:val="20"/>
                <w:lang w:eastAsia="fr-FR"/>
              </w:rPr>
              <w:t>N</w:t>
            </w:r>
          </w:p>
        </w:tc>
        <w:tc>
          <w:tcPr>
            <w:tcW w:w="713"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Pr>
                <w:rFonts w:eastAsia="Times New Roman"/>
                <w:bCs/>
                <w:sz w:val="20"/>
                <w:szCs w:val="20"/>
                <w:lang w:eastAsia="fr-FR"/>
              </w:rPr>
              <w:t>%</w:t>
            </w:r>
          </w:p>
        </w:tc>
        <w:tc>
          <w:tcPr>
            <w:tcW w:w="504"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Pr>
                <w:rFonts w:eastAsia="Times New Roman"/>
                <w:bCs/>
                <w:sz w:val="20"/>
                <w:szCs w:val="20"/>
                <w:lang w:eastAsia="fr-FR"/>
              </w:rPr>
              <w:t>N</w:t>
            </w:r>
          </w:p>
        </w:tc>
        <w:tc>
          <w:tcPr>
            <w:tcW w:w="713"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Pr>
                <w:rFonts w:eastAsia="Times New Roman"/>
                <w:bCs/>
                <w:sz w:val="20"/>
                <w:szCs w:val="20"/>
                <w:lang w:eastAsia="fr-FR"/>
              </w:rPr>
              <w:t>%</w:t>
            </w:r>
          </w:p>
        </w:tc>
      </w:tr>
      <w:tr w:rsidR="00A5167B" w:rsidRPr="003A6748" w:rsidTr="00A5167B">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08" w:type="dxa"/>
            <w:hideMark/>
          </w:tcPr>
          <w:p w:rsidR="0027135A" w:rsidRPr="003A6748" w:rsidRDefault="0027135A" w:rsidP="004C482B">
            <w:pPr>
              <w:spacing w:line="360" w:lineRule="auto"/>
              <w:jc w:val="both"/>
              <w:rPr>
                <w:rFonts w:eastAsia="Times New Roman"/>
                <w:sz w:val="20"/>
                <w:szCs w:val="20"/>
                <w:lang w:eastAsia="fr-FR"/>
              </w:rPr>
            </w:pPr>
            <w:r w:rsidRPr="003A6748">
              <w:rPr>
                <w:rFonts w:eastAsia="Times New Roman"/>
                <w:sz w:val="20"/>
                <w:szCs w:val="20"/>
                <w:lang w:eastAsia="fr-FR"/>
              </w:rPr>
              <w:t>Bonne</w:t>
            </w:r>
          </w:p>
        </w:tc>
        <w:tc>
          <w:tcPr>
            <w:tcW w:w="554"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170</w:t>
            </w:r>
          </w:p>
        </w:tc>
        <w:tc>
          <w:tcPr>
            <w:tcW w:w="826"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28,1</w:t>
            </w:r>
            <w:r w:rsidRPr="003A6748">
              <w:rPr>
                <w:rFonts w:eastAsia="Times New Roman"/>
                <w:sz w:val="20"/>
                <w:szCs w:val="20"/>
                <w:lang w:eastAsia="fr-FR"/>
              </w:rPr>
              <w:t>%</w:t>
            </w:r>
          </w:p>
        </w:tc>
        <w:tc>
          <w:tcPr>
            <w:tcW w:w="504"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175</w:t>
            </w:r>
          </w:p>
        </w:tc>
        <w:tc>
          <w:tcPr>
            <w:tcW w:w="713"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28,9%</w:t>
            </w:r>
          </w:p>
        </w:tc>
        <w:tc>
          <w:tcPr>
            <w:tcW w:w="504"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173</w:t>
            </w:r>
          </w:p>
        </w:tc>
        <w:tc>
          <w:tcPr>
            <w:tcW w:w="713"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28,5</w:t>
            </w:r>
            <w:r w:rsidRPr="003A6748">
              <w:rPr>
                <w:rFonts w:eastAsia="Times New Roman"/>
                <w:sz w:val="20"/>
                <w:szCs w:val="20"/>
                <w:lang w:eastAsia="fr-FR"/>
              </w:rPr>
              <w:t>%</w:t>
            </w:r>
          </w:p>
        </w:tc>
      </w:tr>
      <w:tr w:rsidR="0027135A" w:rsidRPr="003A6748" w:rsidTr="00A5167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08" w:type="dxa"/>
            <w:hideMark/>
          </w:tcPr>
          <w:p w:rsidR="0027135A" w:rsidRPr="003A6748" w:rsidRDefault="0027135A" w:rsidP="004C482B">
            <w:pPr>
              <w:spacing w:line="360" w:lineRule="auto"/>
              <w:jc w:val="both"/>
              <w:rPr>
                <w:rFonts w:eastAsia="Times New Roman"/>
                <w:sz w:val="20"/>
                <w:szCs w:val="20"/>
                <w:lang w:eastAsia="fr-FR"/>
              </w:rPr>
            </w:pPr>
            <w:r w:rsidRPr="003A6748">
              <w:rPr>
                <w:rFonts w:eastAsia="Times New Roman"/>
                <w:sz w:val="20"/>
                <w:szCs w:val="20"/>
                <w:lang w:eastAsia="fr-FR"/>
              </w:rPr>
              <w:t>Moyenne</w:t>
            </w:r>
          </w:p>
        </w:tc>
        <w:tc>
          <w:tcPr>
            <w:tcW w:w="554"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429</w:t>
            </w:r>
          </w:p>
        </w:tc>
        <w:tc>
          <w:tcPr>
            <w:tcW w:w="826"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70,8</w:t>
            </w:r>
            <w:r w:rsidRPr="003A6748">
              <w:rPr>
                <w:rFonts w:eastAsia="Times New Roman"/>
                <w:sz w:val="20"/>
                <w:szCs w:val="20"/>
                <w:lang w:eastAsia="fr-FR"/>
              </w:rPr>
              <w:t>%</w:t>
            </w:r>
          </w:p>
        </w:tc>
        <w:tc>
          <w:tcPr>
            <w:tcW w:w="504"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424</w:t>
            </w:r>
          </w:p>
        </w:tc>
        <w:tc>
          <w:tcPr>
            <w:tcW w:w="713"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70,0</w:t>
            </w:r>
            <w:r w:rsidRPr="003A6748">
              <w:rPr>
                <w:rFonts w:eastAsia="Times New Roman"/>
                <w:sz w:val="20"/>
                <w:szCs w:val="20"/>
                <w:lang w:eastAsia="fr-FR"/>
              </w:rPr>
              <w:t>%</w:t>
            </w:r>
          </w:p>
        </w:tc>
        <w:tc>
          <w:tcPr>
            <w:tcW w:w="504"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426</w:t>
            </w:r>
          </w:p>
        </w:tc>
        <w:tc>
          <w:tcPr>
            <w:tcW w:w="713"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70,3</w:t>
            </w:r>
            <w:r w:rsidRPr="003A6748">
              <w:rPr>
                <w:rFonts w:eastAsia="Times New Roman"/>
                <w:sz w:val="20"/>
                <w:szCs w:val="20"/>
                <w:lang w:eastAsia="fr-FR"/>
              </w:rPr>
              <w:t>%</w:t>
            </w:r>
          </w:p>
        </w:tc>
      </w:tr>
      <w:tr w:rsidR="00A5167B" w:rsidRPr="003A6748" w:rsidTr="00A5167B">
        <w:trPr>
          <w:cnfStyle w:val="000000010000" w:firstRow="0" w:lastRow="0" w:firstColumn="0" w:lastColumn="0" w:oddVBand="0" w:evenVBand="0" w:oddHBand="0" w:evenHBand="1"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08" w:type="dxa"/>
            <w:hideMark/>
          </w:tcPr>
          <w:p w:rsidR="0027135A" w:rsidRPr="003A6748" w:rsidRDefault="0027135A" w:rsidP="004C482B">
            <w:pPr>
              <w:spacing w:line="360" w:lineRule="auto"/>
              <w:jc w:val="both"/>
              <w:rPr>
                <w:rFonts w:eastAsia="Times New Roman"/>
                <w:sz w:val="20"/>
                <w:szCs w:val="20"/>
                <w:lang w:eastAsia="fr-FR"/>
              </w:rPr>
            </w:pPr>
            <w:r w:rsidRPr="003A6748">
              <w:rPr>
                <w:rFonts w:eastAsia="Times New Roman"/>
                <w:sz w:val="20"/>
                <w:szCs w:val="20"/>
                <w:lang w:eastAsia="fr-FR"/>
              </w:rPr>
              <w:t>Mauvaise</w:t>
            </w:r>
          </w:p>
        </w:tc>
        <w:tc>
          <w:tcPr>
            <w:tcW w:w="554"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7</w:t>
            </w:r>
          </w:p>
        </w:tc>
        <w:tc>
          <w:tcPr>
            <w:tcW w:w="826"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1,2</w:t>
            </w:r>
            <w:r w:rsidRPr="003A6748">
              <w:rPr>
                <w:rFonts w:eastAsia="Times New Roman"/>
                <w:sz w:val="20"/>
                <w:szCs w:val="20"/>
                <w:lang w:eastAsia="fr-FR"/>
              </w:rPr>
              <w:t>%</w:t>
            </w:r>
          </w:p>
        </w:tc>
        <w:tc>
          <w:tcPr>
            <w:tcW w:w="504"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7</w:t>
            </w:r>
          </w:p>
        </w:tc>
        <w:tc>
          <w:tcPr>
            <w:tcW w:w="713"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1,2</w:t>
            </w:r>
            <w:r w:rsidRPr="003A6748">
              <w:rPr>
                <w:rFonts w:eastAsia="Times New Roman"/>
                <w:sz w:val="20"/>
                <w:szCs w:val="20"/>
                <w:lang w:eastAsia="fr-FR"/>
              </w:rPr>
              <w:t>%</w:t>
            </w:r>
          </w:p>
        </w:tc>
        <w:tc>
          <w:tcPr>
            <w:tcW w:w="504"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7</w:t>
            </w:r>
          </w:p>
        </w:tc>
        <w:tc>
          <w:tcPr>
            <w:tcW w:w="713" w:type="dxa"/>
            <w:hideMark/>
          </w:tcPr>
          <w:p w:rsidR="0027135A" w:rsidRPr="003A6748" w:rsidRDefault="0027135A"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1,2</w:t>
            </w:r>
            <w:r w:rsidRPr="003A6748">
              <w:rPr>
                <w:rFonts w:eastAsia="Times New Roman"/>
                <w:sz w:val="20"/>
                <w:szCs w:val="20"/>
                <w:lang w:eastAsia="fr-FR"/>
              </w:rPr>
              <w:t>%</w:t>
            </w:r>
          </w:p>
        </w:tc>
      </w:tr>
      <w:tr w:rsidR="0027135A" w:rsidRPr="003A6748" w:rsidTr="00A5167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08" w:type="dxa"/>
            <w:hideMark/>
          </w:tcPr>
          <w:p w:rsidR="0027135A" w:rsidRPr="003A6748" w:rsidRDefault="0027135A" w:rsidP="004C482B">
            <w:pPr>
              <w:spacing w:line="360" w:lineRule="auto"/>
              <w:jc w:val="both"/>
              <w:rPr>
                <w:rFonts w:eastAsia="Times New Roman"/>
                <w:bCs w:val="0"/>
                <w:sz w:val="20"/>
                <w:szCs w:val="20"/>
                <w:lang w:eastAsia="fr-FR"/>
              </w:rPr>
            </w:pPr>
            <w:r w:rsidRPr="003A6748">
              <w:rPr>
                <w:rFonts w:eastAsia="Times New Roman"/>
                <w:sz w:val="20"/>
                <w:szCs w:val="20"/>
                <w:lang w:eastAsia="fr-FR"/>
              </w:rPr>
              <w:t>Total</w:t>
            </w:r>
          </w:p>
        </w:tc>
        <w:tc>
          <w:tcPr>
            <w:tcW w:w="554"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606</w:t>
            </w:r>
          </w:p>
        </w:tc>
        <w:tc>
          <w:tcPr>
            <w:tcW w:w="826"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100</w:t>
            </w:r>
            <w:r w:rsidRPr="003A6748">
              <w:rPr>
                <w:rFonts w:eastAsia="Times New Roman"/>
                <w:sz w:val="20"/>
                <w:szCs w:val="20"/>
                <w:lang w:eastAsia="fr-FR"/>
              </w:rPr>
              <w:t>%</w:t>
            </w:r>
          </w:p>
        </w:tc>
        <w:tc>
          <w:tcPr>
            <w:tcW w:w="504"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606</w:t>
            </w:r>
          </w:p>
        </w:tc>
        <w:tc>
          <w:tcPr>
            <w:tcW w:w="713"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100</w:t>
            </w:r>
            <w:r w:rsidRPr="003A6748">
              <w:rPr>
                <w:rFonts w:eastAsia="Times New Roman"/>
                <w:sz w:val="20"/>
                <w:szCs w:val="20"/>
                <w:lang w:eastAsia="fr-FR"/>
              </w:rPr>
              <w:t>%</w:t>
            </w:r>
          </w:p>
        </w:tc>
        <w:tc>
          <w:tcPr>
            <w:tcW w:w="504"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606</w:t>
            </w:r>
          </w:p>
        </w:tc>
        <w:tc>
          <w:tcPr>
            <w:tcW w:w="713" w:type="dxa"/>
            <w:hideMark/>
          </w:tcPr>
          <w:p w:rsidR="0027135A" w:rsidRPr="003A6748" w:rsidRDefault="0027135A"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100</w:t>
            </w:r>
            <w:r w:rsidRPr="003A6748">
              <w:rPr>
                <w:rFonts w:eastAsia="Times New Roman"/>
                <w:sz w:val="20"/>
                <w:szCs w:val="20"/>
                <w:lang w:eastAsia="fr-FR"/>
              </w:rPr>
              <w:t>%</w:t>
            </w:r>
          </w:p>
        </w:tc>
      </w:tr>
    </w:tbl>
    <w:p w:rsidR="00A5167B" w:rsidRPr="00A5167B" w:rsidRDefault="00A5167B" w:rsidP="00A5167B">
      <w:pPr>
        <w:jc w:val="both"/>
        <w:rPr>
          <w:b/>
          <w:sz w:val="20"/>
          <w:szCs w:val="20"/>
        </w:rPr>
      </w:pPr>
      <w:r w:rsidRPr="00A5167B">
        <w:rPr>
          <w:b/>
          <w:sz w:val="20"/>
          <w:szCs w:val="20"/>
        </w:rPr>
        <w:t>N = Effectifs ;   % = Pourcentage</w:t>
      </w:r>
    </w:p>
    <w:p w:rsidR="00C966D6" w:rsidRDefault="00C966D6" w:rsidP="000B24E4">
      <w:pPr>
        <w:jc w:val="both"/>
        <w:rPr>
          <w:b/>
          <w:sz w:val="20"/>
          <w:szCs w:val="20"/>
        </w:rPr>
      </w:pPr>
    </w:p>
    <w:p w:rsidR="00A5167B" w:rsidRPr="00A5167B" w:rsidRDefault="00A5167B" w:rsidP="00A5167B">
      <w:pPr>
        <w:jc w:val="both"/>
        <w:rPr>
          <w:sz w:val="20"/>
          <w:szCs w:val="20"/>
        </w:rPr>
      </w:pPr>
      <w:bookmarkStart w:id="9" w:name="_Toc453054545"/>
      <w:r w:rsidRPr="00A5167B">
        <w:rPr>
          <w:b/>
          <w:bCs/>
          <w:sz w:val="20"/>
          <w:szCs w:val="20"/>
        </w:rPr>
        <w:t xml:space="preserve">Tableau V: </w:t>
      </w:r>
      <w:r w:rsidRPr="00A5167B">
        <w:rPr>
          <w:bCs/>
          <w:sz w:val="20"/>
          <w:szCs w:val="20"/>
        </w:rPr>
        <w:t>Satisfaction des patients</w:t>
      </w:r>
      <w:bookmarkEnd w:id="9"/>
    </w:p>
    <w:tbl>
      <w:tblPr>
        <w:tblStyle w:val="Tramemoyenne1-Accent13"/>
        <w:tblW w:w="4799" w:type="dxa"/>
        <w:tblLook w:val="04A0" w:firstRow="1" w:lastRow="0" w:firstColumn="1" w:lastColumn="0" w:noHBand="0" w:noVBand="1"/>
      </w:tblPr>
      <w:tblGrid>
        <w:gridCol w:w="1178"/>
        <w:gridCol w:w="523"/>
        <w:gridCol w:w="714"/>
        <w:gridCol w:w="523"/>
        <w:gridCol w:w="665"/>
        <w:gridCol w:w="505"/>
        <w:gridCol w:w="714"/>
      </w:tblGrid>
      <w:tr w:rsidR="00C978BA" w:rsidRPr="003A6748" w:rsidTr="00C978BA">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04" w:type="dxa"/>
            <w:noWrap/>
            <w:hideMark/>
          </w:tcPr>
          <w:p w:rsidR="00A5167B" w:rsidRPr="003A6748" w:rsidRDefault="00A5167B" w:rsidP="004C482B">
            <w:pPr>
              <w:spacing w:line="360" w:lineRule="auto"/>
              <w:jc w:val="both"/>
              <w:rPr>
                <w:rFonts w:eastAsia="Times New Roman"/>
                <w:sz w:val="20"/>
                <w:szCs w:val="20"/>
                <w:lang w:eastAsia="fr-FR"/>
              </w:rPr>
            </w:pPr>
          </w:p>
        </w:tc>
        <w:tc>
          <w:tcPr>
            <w:tcW w:w="535" w:type="dxa"/>
            <w:noWrap/>
            <w:hideMark/>
          </w:tcPr>
          <w:p w:rsidR="00A5167B" w:rsidRPr="003A6748" w:rsidRDefault="00A5167B" w:rsidP="004C482B">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p>
        </w:tc>
        <w:tc>
          <w:tcPr>
            <w:tcW w:w="691" w:type="dxa"/>
            <w:noWrap/>
            <w:hideMark/>
          </w:tcPr>
          <w:p w:rsidR="00A5167B" w:rsidRPr="003A6748" w:rsidRDefault="00A5167B" w:rsidP="004C482B">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p>
        </w:tc>
        <w:tc>
          <w:tcPr>
            <w:tcW w:w="535" w:type="dxa"/>
            <w:noWrap/>
            <w:hideMark/>
          </w:tcPr>
          <w:p w:rsidR="00A5167B" w:rsidRPr="003A6748" w:rsidRDefault="00A5167B" w:rsidP="004C482B">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p>
        </w:tc>
        <w:tc>
          <w:tcPr>
            <w:tcW w:w="644" w:type="dxa"/>
            <w:noWrap/>
            <w:hideMark/>
          </w:tcPr>
          <w:p w:rsidR="00A5167B" w:rsidRPr="003A6748" w:rsidRDefault="00A5167B" w:rsidP="004C482B">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p>
        </w:tc>
        <w:tc>
          <w:tcPr>
            <w:tcW w:w="497" w:type="dxa"/>
            <w:noWrap/>
            <w:hideMark/>
          </w:tcPr>
          <w:p w:rsidR="00A5167B" w:rsidRPr="003A6748" w:rsidRDefault="00A5167B" w:rsidP="004C482B">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p>
        </w:tc>
        <w:tc>
          <w:tcPr>
            <w:tcW w:w="691" w:type="dxa"/>
            <w:noWrap/>
            <w:hideMark/>
          </w:tcPr>
          <w:p w:rsidR="00A5167B" w:rsidRPr="003A6748" w:rsidRDefault="00A5167B" w:rsidP="004C482B">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sz w:val="20"/>
                <w:szCs w:val="20"/>
                <w:lang w:eastAsia="fr-FR"/>
              </w:rPr>
            </w:pPr>
          </w:p>
        </w:tc>
      </w:tr>
      <w:tr w:rsidR="00C978BA" w:rsidRPr="003A6748" w:rsidTr="00C978B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204" w:type="dxa"/>
            <w:noWrap/>
            <w:hideMark/>
          </w:tcPr>
          <w:p w:rsidR="00A5167B" w:rsidRPr="003A6748" w:rsidRDefault="00A5167B" w:rsidP="004C482B">
            <w:pPr>
              <w:spacing w:line="360" w:lineRule="auto"/>
              <w:jc w:val="both"/>
              <w:rPr>
                <w:rFonts w:eastAsia="Times New Roman"/>
                <w:sz w:val="20"/>
                <w:szCs w:val="20"/>
                <w:lang w:eastAsia="fr-FR"/>
              </w:rPr>
            </w:pPr>
          </w:p>
        </w:tc>
        <w:tc>
          <w:tcPr>
            <w:tcW w:w="1227" w:type="dxa"/>
            <w:gridSpan w:val="2"/>
            <w:noWrap/>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sidRPr="003A6748">
              <w:rPr>
                <w:rFonts w:eastAsia="Times New Roman"/>
                <w:bCs/>
                <w:sz w:val="20"/>
                <w:szCs w:val="20"/>
                <w:lang w:eastAsia="fr-FR"/>
              </w:rPr>
              <w:t>Suivi 1</w:t>
            </w:r>
          </w:p>
        </w:tc>
        <w:tc>
          <w:tcPr>
            <w:tcW w:w="1179" w:type="dxa"/>
            <w:gridSpan w:val="2"/>
            <w:noWrap/>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sidRPr="003A6748">
              <w:rPr>
                <w:rFonts w:eastAsia="Times New Roman"/>
                <w:bCs/>
                <w:sz w:val="20"/>
                <w:szCs w:val="20"/>
                <w:lang w:eastAsia="fr-FR"/>
              </w:rPr>
              <w:t>Suivi 2</w:t>
            </w:r>
          </w:p>
        </w:tc>
        <w:tc>
          <w:tcPr>
            <w:tcW w:w="1189" w:type="dxa"/>
            <w:gridSpan w:val="2"/>
            <w:noWrap/>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20"/>
                <w:szCs w:val="20"/>
                <w:lang w:eastAsia="fr-FR"/>
              </w:rPr>
            </w:pPr>
            <w:r w:rsidRPr="003A6748">
              <w:rPr>
                <w:rFonts w:eastAsia="Times New Roman"/>
                <w:bCs/>
                <w:sz w:val="20"/>
                <w:szCs w:val="20"/>
                <w:lang w:eastAsia="fr-FR"/>
              </w:rPr>
              <w:t>Suivi 3</w:t>
            </w:r>
          </w:p>
        </w:tc>
      </w:tr>
      <w:tr w:rsidR="00C978BA" w:rsidRPr="003A6748" w:rsidTr="00C978BA">
        <w:trPr>
          <w:cnfStyle w:val="000000010000" w:firstRow="0" w:lastRow="0" w:firstColumn="0" w:lastColumn="0" w:oddVBand="0" w:evenVBand="0" w:oddHBand="0" w:evenHBand="1"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204" w:type="dxa"/>
            <w:hideMark/>
          </w:tcPr>
          <w:p w:rsidR="00A5167B" w:rsidRPr="00C978BA" w:rsidRDefault="00C978BA" w:rsidP="00C978BA">
            <w:pPr>
              <w:spacing w:line="360" w:lineRule="auto"/>
              <w:jc w:val="both"/>
              <w:rPr>
                <w:rFonts w:eastAsia="Times New Roman"/>
                <w:sz w:val="20"/>
                <w:szCs w:val="20"/>
                <w:lang w:eastAsia="fr-FR"/>
              </w:rPr>
            </w:pPr>
            <w:r>
              <w:rPr>
                <w:rFonts w:eastAsia="Times New Roman"/>
                <w:sz w:val="20"/>
                <w:szCs w:val="20"/>
                <w:lang w:eastAsia="fr-FR"/>
              </w:rPr>
              <w:t>Satisfaction Patient</w:t>
            </w:r>
          </w:p>
        </w:tc>
        <w:tc>
          <w:tcPr>
            <w:tcW w:w="535"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bCs/>
                <w:sz w:val="20"/>
                <w:szCs w:val="20"/>
                <w:lang w:eastAsia="fr-FR"/>
              </w:rPr>
            </w:pPr>
            <w:r>
              <w:rPr>
                <w:rFonts w:eastAsia="Times New Roman"/>
                <w:bCs/>
                <w:sz w:val="20"/>
                <w:szCs w:val="20"/>
                <w:lang w:eastAsia="fr-FR"/>
              </w:rPr>
              <w:t>N</w:t>
            </w:r>
          </w:p>
        </w:tc>
        <w:tc>
          <w:tcPr>
            <w:tcW w:w="691"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bCs/>
                <w:sz w:val="20"/>
                <w:szCs w:val="20"/>
                <w:lang w:eastAsia="fr-FR"/>
              </w:rPr>
            </w:pPr>
            <w:r>
              <w:rPr>
                <w:rFonts w:eastAsia="Times New Roman"/>
                <w:bCs/>
                <w:sz w:val="20"/>
                <w:szCs w:val="20"/>
                <w:lang w:eastAsia="fr-FR"/>
              </w:rPr>
              <w:t>%</w:t>
            </w:r>
          </w:p>
        </w:tc>
        <w:tc>
          <w:tcPr>
            <w:tcW w:w="535"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bCs/>
                <w:sz w:val="20"/>
                <w:szCs w:val="20"/>
                <w:lang w:eastAsia="fr-FR"/>
              </w:rPr>
            </w:pPr>
            <w:r>
              <w:rPr>
                <w:rFonts w:eastAsia="Times New Roman"/>
                <w:bCs/>
                <w:sz w:val="20"/>
                <w:szCs w:val="20"/>
                <w:lang w:eastAsia="fr-FR"/>
              </w:rPr>
              <w:t>N</w:t>
            </w:r>
          </w:p>
        </w:tc>
        <w:tc>
          <w:tcPr>
            <w:tcW w:w="644"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bCs/>
                <w:sz w:val="20"/>
                <w:szCs w:val="20"/>
                <w:lang w:eastAsia="fr-FR"/>
              </w:rPr>
            </w:pPr>
            <w:r>
              <w:rPr>
                <w:rFonts w:eastAsia="Times New Roman"/>
                <w:bCs/>
                <w:sz w:val="20"/>
                <w:szCs w:val="20"/>
                <w:lang w:eastAsia="fr-FR"/>
              </w:rPr>
              <w:t>%</w:t>
            </w:r>
          </w:p>
        </w:tc>
        <w:tc>
          <w:tcPr>
            <w:tcW w:w="497"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bCs/>
                <w:sz w:val="20"/>
                <w:szCs w:val="20"/>
                <w:lang w:eastAsia="fr-FR"/>
              </w:rPr>
            </w:pPr>
            <w:r>
              <w:rPr>
                <w:rFonts w:eastAsia="Times New Roman"/>
                <w:bCs/>
                <w:sz w:val="20"/>
                <w:szCs w:val="20"/>
                <w:lang w:eastAsia="fr-FR"/>
              </w:rPr>
              <w:t>N</w:t>
            </w:r>
          </w:p>
        </w:tc>
        <w:tc>
          <w:tcPr>
            <w:tcW w:w="691"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bCs/>
                <w:sz w:val="20"/>
                <w:szCs w:val="20"/>
                <w:lang w:eastAsia="fr-FR"/>
              </w:rPr>
            </w:pPr>
            <w:r>
              <w:rPr>
                <w:rFonts w:eastAsia="Times New Roman"/>
                <w:bCs/>
                <w:sz w:val="20"/>
                <w:szCs w:val="20"/>
                <w:lang w:eastAsia="fr-FR"/>
              </w:rPr>
              <w:t>%</w:t>
            </w:r>
          </w:p>
        </w:tc>
      </w:tr>
      <w:tr w:rsidR="00C978BA" w:rsidRPr="003A6748" w:rsidTr="00C978B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04" w:type="dxa"/>
            <w:hideMark/>
          </w:tcPr>
          <w:p w:rsidR="00A5167B" w:rsidRPr="003A6748" w:rsidRDefault="00A5167B" w:rsidP="004C482B">
            <w:pPr>
              <w:spacing w:line="360" w:lineRule="auto"/>
              <w:jc w:val="both"/>
              <w:rPr>
                <w:rFonts w:eastAsia="Times New Roman"/>
                <w:sz w:val="20"/>
                <w:szCs w:val="20"/>
                <w:lang w:eastAsia="fr-FR"/>
              </w:rPr>
            </w:pPr>
            <w:r w:rsidRPr="003A6748">
              <w:rPr>
                <w:rFonts w:eastAsia="Times New Roman"/>
                <w:sz w:val="20"/>
                <w:szCs w:val="20"/>
                <w:lang w:eastAsia="fr-FR"/>
              </w:rPr>
              <w:t>Insatisfait</w:t>
            </w:r>
          </w:p>
        </w:tc>
        <w:tc>
          <w:tcPr>
            <w:tcW w:w="535"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26</w:t>
            </w:r>
          </w:p>
        </w:tc>
        <w:tc>
          <w:tcPr>
            <w:tcW w:w="691"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4,3</w:t>
            </w:r>
            <w:r w:rsidRPr="003A6748">
              <w:rPr>
                <w:rFonts w:eastAsia="Times New Roman"/>
                <w:sz w:val="20"/>
                <w:szCs w:val="20"/>
                <w:lang w:eastAsia="fr-FR"/>
              </w:rPr>
              <w:t>%</w:t>
            </w:r>
          </w:p>
        </w:tc>
        <w:tc>
          <w:tcPr>
            <w:tcW w:w="535"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22</w:t>
            </w:r>
          </w:p>
        </w:tc>
        <w:tc>
          <w:tcPr>
            <w:tcW w:w="644"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3,6</w:t>
            </w:r>
            <w:r w:rsidRPr="003A6748">
              <w:rPr>
                <w:rFonts w:eastAsia="Times New Roman"/>
                <w:sz w:val="20"/>
                <w:szCs w:val="20"/>
                <w:lang w:eastAsia="fr-FR"/>
              </w:rPr>
              <w:t>%</w:t>
            </w:r>
          </w:p>
        </w:tc>
        <w:tc>
          <w:tcPr>
            <w:tcW w:w="497"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17</w:t>
            </w:r>
          </w:p>
        </w:tc>
        <w:tc>
          <w:tcPr>
            <w:tcW w:w="691"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2,8</w:t>
            </w:r>
            <w:r w:rsidRPr="003A6748">
              <w:rPr>
                <w:rFonts w:eastAsia="Times New Roman"/>
                <w:sz w:val="20"/>
                <w:szCs w:val="20"/>
                <w:lang w:eastAsia="fr-FR"/>
              </w:rPr>
              <w:t>%</w:t>
            </w:r>
          </w:p>
        </w:tc>
      </w:tr>
      <w:tr w:rsidR="00C978BA" w:rsidRPr="003A6748" w:rsidTr="00C978BA">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04" w:type="dxa"/>
            <w:hideMark/>
          </w:tcPr>
          <w:p w:rsidR="00A5167B" w:rsidRPr="003A6748" w:rsidRDefault="00A5167B" w:rsidP="004C482B">
            <w:pPr>
              <w:spacing w:line="360" w:lineRule="auto"/>
              <w:jc w:val="both"/>
              <w:rPr>
                <w:rFonts w:eastAsia="Times New Roman"/>
                <w:sz w:val="20"/>
                <w:szCs w:val="20"/>
                <w:lang w:eastAsia="fr-FR"/>
              </w:rPr>
            </w:pPr>
            <w:r w:rsidRPr="003A6748">
              <w:rPr>
                <w:rFonts w:eastAsia="Times New Roman"/>
                <w:sz w:val="20"/>
                <w:szCs w:val="20"/>
                <w:lang w:eastAsia="fr-FR"/>
              </w:rPr>
              <w:t>Satisfait</w:t>
            </w:r>
          </w:p>
        </w:tc>
        <w:tc>
          <w:tcPr>
            <w:tcW w:w="535"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578</w:t>
            </w:r>
          </w:p>
        </w:tc>
        <w:tc>
          <w:tcPr>
            <w:tcW w:w="691"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95,4</w:t>
            </w:r>
            <w:r w:rsidRPr="003A6748">
              <w:rPr>
                <w:rFonts w:eastAsia="Times New Roman"/>
                <w:sz w:val="20"/>
                <w:szCs w:val="20"/>
                <w:lang w:eastAsia="fr-FR"/>
              </w:rPr>
              <w:t>%</w:t>
            </w:r>
          </w:p>
        </w:tc>
        <w:tc>
          <w:tcPr>
            <w:tcW w:w="535"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582</w:t>
            </w:r>
          </w:p>
        </w:tc>
        <w:tc>
          <w:tcPr>
            <w:tcW w:w="644"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96</w:t>
            </w:r>
            <w:r w:rsidRPr="003A6748">
              <w:rPr>
                <w:rFonts w:eastAsia="Times New Roman"/>
                <w:sz w:val="20"/>
                <w:szCs w:val="20"/>
                <w:lang w:eastAsia="fr-FR"/>
              </w:rPr>
              <w:t>%</w:t>
            </w:r>
          </w:p>
        </w:tc>
        <w:tc>
          <w:tcPr>
            <w:tcW w:w="497"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587</w:t>
            </w:r>
          </w:p>
        </w:tc>
        <w:tc>
          <w:tcPr>
            <w:tcW w:w="691"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96,9</w:t>
            </w:r>
            <w:r w:rsidRPr="003A6748">
              <w:rPr>
                <w:rFonts w:eastAsia="Times New Roman"/>
                <w:sz w:val="20"/>
                <w:szCs w:val="20"/>
                <w:lang w:eastAsia="fr-FR"/>
              </w:rPr>
              <w:t>%</w:t>
            </w:r>
          </w:p>
        </w:tc>
      </w:tr>
      <w:tr w:rsidR="00C978BA" w:rsidRPr="003A6748" w:rsidTr="00C978BA">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04" w:type="dxa"/>
            <w:hideMark/>
          </w:tcPr>
          <w:p w:rsidR="00A5167B" w:rsidRPr="003A6748" w:rsidRDefault="00A5167B" w:rsidP="004C482B">
            <w:pPr>
              <w:spacing w:line="360" w:lineRule="auto"/>
              <w:jc w:val="both"/>
              <w:rPr>
                <w:rFonts w:eastAsia="Times New Roman"/>
                <w:sz w:val="20"/>
                <w:szCs w:val="20"/>
                <w:lang w:eastAsia="fr-FR"/>
              </w:rPr>
            </w:pPr>
            <w:r w:rsidRPr="003A6748">
              <w:rPr>
                <w:rFonts w:eastAsia="Times New Roman"/>
                <w:sz w:val="20"/>
                <w:szCs w:val="20"/>
                <w:lang w:eastAsia="fr-FR"/>
              </w:rPr>
              <w:t>Très satisfait</w:t>
            </w:r>
          </w:p>
        </w:tc>
        <w:tc>
          <w:tcPr>
            <w:tcW w:w="535"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2</w:t>
            </w:r>
          </w:p>
        </w:tc>
        <w:tc>
          <w:tcPr>
            <w:tcW w:w="691"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0,3</w:t>
            </w:r>
            <w:r w:rsidRPr="003A6748">
              <w:rPr>
                <w:rFonts w:eastAsia="Times New Roman"/>
                <w:sz w:val="20"/>
                <w:szCs w:val="20"/>
                <w:lang w:eastAsia="fr-FR"/>
              </w:rPr>
              <w:t>%</w:t>
            </w:r>
          </w:p>
        </w:tc>
        <w:tc>
          <w:tcPr>
            <w:tcW w:w="535"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2</w:t>
            </w:r>
          </w:p>
        </w:tc>
        <w:tc>
          <w:tcPr>
            <w:tcW w:w="644"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0,3</w:t>
            </w:r>
            <w:r w:rsidRPr="003A6748">
              <w:rPr>
                <w:rFonts w:eastAsia="Times New Roman"/>
                <w:sz w:val="20"/>
                <w:szCs w:val="20"/>
                <w:lang w:eastAsia="fr-FR"/>
              </w:rPr>
              <w:t>%</w:t>
            </w:r>
          </w:p>
        </w:tc>
        <w:tc>
          <w:tcPr>
            <w:tcW w:w="497"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2</w:t>
            </w:r>
          </w:p>
        </w:tc>
        <w:tc>
          <w:tcPr>
            <w:tcW w:w="691" w:type="dxa"/>
            <w:hideMark/>
          </w:tcPr>
          <w:p w:rsidR="00A5167B" w:rsidRPr="003A6748" w:rsidRDefault="00A5167B" w:rsidP="004C482B">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fr-FR"/>
              </w:rPr>
            </w:pPr>
            <w:r>
              <w:rPr>
                <w:rFonts w:eastAsia="Times New Roman"/>
                <w:sz w:val="20"/>
                <w:szCs w:val="20"/>
                <w:lang w:eastAsia="fr-FR"/>
              </w:rPr>
              <w:t>0,3</w:t>
            </w:r>
            <w:r w:rsidRPr="003A6748">
              <w:rPr>
                <w:rFonts w:eastAsia="Times New Roman"/>
                <w:sz w:val="20"/>
                <w:szCs w:val="20"/>
                <w:lang w:eastAsia="fr-FR"/>
              </w:rPr>
              <w:t>%</w:t>
            </w:r>
          </w:p>
        </w:tc>
      </w:tr>
      <w:tr w:rsidR="00C978BA" w:rsidRPr="003A6748" w:rsidTr="00C978BA">
        <w:trPr>
          <w:cnfStyle w:val="000000010000" w:firstRow="0" w:lastRow="0" w:firstColumn="0" w:lastColumn="0" w:oddVBand="0" w:evenVBand="0" w:oddHBand="0" w:evenHBand="1"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04" w:type="dxa"/>
            <w:hideMark/>
          </w:tcPr>
          <w:p w:rsidR="00A5167B" w:rsidRPr="003A6748" w:rsidRDefault="00A5167B" w:rsidP="004C482B">
            <w:pPr>
              <w:spacing w:line="360" w:lineRule="auto"/>
              <w:jc w:val="both"/>
              <w:rPr>
                <w:rFonts w:eastAsia="Times New Roman"/>
                <w:bCs w:val="0"/>
                <w:sz w:val="20"/>
                <w:szCs w:val="20"/>
                <w:lang w:eastAsia="fr-FR"/>
              </w:rPr>
            </w:pPr>
            <w:r w:rsidRPr="003A6748">
              <w:rPr>
                <w:rFonts w:eastAsia="Times New Roman"/>
                <w:sz w:val="20"/>
                <w:szCs w:val="20"/>
                <w:lang w:eastAsia="fr-FR"/>
              </w:rPr>
              <w:t>Total</w:t>
            </w:r>
          </w:p>
        </w:tc>
        <w:tc>
          <w:tcPr>
            <w:tcW w:w="535"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606</w:t>
            </w:r>
          </w:p>
        </w:tc>
        <w:tc>
          <w:tcPr>
            <w:tcW w:w="691"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100</w:t>
            </w:r>
            <w:r w:rsidRPr="003A6748">
              <w:rPr>
                <w:rFonts w:eastAsia="Times New Roman"/>
                <w:sz w:val="20"/>
                <w:szCs w:val="20"/>
                <w:lang w:eastAsia="fr-FR"/>
              </w:rPr>
              <w:t>%</w:t>
            </w:r>
          </w:p>
        </w:tc>
        <w:tc>
          <w:tcPr>
            <w:tcW w:w="535"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606</w:t>
            </w:r>
          </w:p>
        </w:tc>
        <w:tc>
          <w:tcPr>
            <w:tcW w:w="644"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100</w:t>
            </w:r>
            <w:r w:rsidRPr="003A6748">
              <w:rPr>
                <w:rFonts w:eastAsia="Times New Roman"/>
                <w:sz w:val="20"/>
                <w:szCs w:val="20"/>
                <w:lang w:eastAsia="fr-FR"/>
              </w:rPr>
              <w:t>%</w:t>
            </w:r>
          </w:p>
        </w:tc>
        <w:tc>
          <w:tcPr>
            <w:tcW w:w="497"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sidRPr="003A6748">
              <w:rPr>
                <w:rFonts w:eastAsia="Times New Roman"/>
                <w:sz w:val="20"/>
                <w:szCs w:val="20"/>
                <w:lang w:eastAsia="fr-FR"/>
              </w:rPr>
              <w:t>606</w:t>
            </w:r>
          </w:p>
        </w:tc>
        <w:tc>
          <w:tcPr>
            <w:tcW w:w="691" w:type="dxa"/>
            <w:hideMark/>
          </w:tcPr>
          <w:p w:rsidR="00A5167B" w:rsidRPr="003A6748" w:rsidRDefault="00A5167B" w:rsidP="004C482B">
            <w:pPr>
              <w:spacing w:line="360" w:lineRule="auto"/>
              <w:jc w:val="center"/>
              <w:cnfStyle w:val="000000010000" w:firstRow="0" w:lastRow="0" w:firstColumn="0" w:lastColumn="0" w:oddVBand="0" w:evenVBand="0" w:oddHBand="0" w:evenHBand="1" w:firstRowFirstColumn="0" w:firstRowLastColumn="0" w:lastRowFirstColumn="0" w:lastRowLastColumn="0"/>
              <w:rPr>
                <w:rFonts w:eastAsia="Times New Roman"/>
                <w:sz w:val="20"/>
                <w:szCs w:val="20"/>
                <w:lang w:eastAsia="fr-FR"/>
              </w:rPr>
            </w:pPr>
            <w:r>
              <w:rPr>
                <w:rFonts w:eastAsia="Times New Roman"/>
                <w:sz w:val="20"/>
                <w:szCs w:val="20"/>
                <w:lang w:eastAsia="fr-FR"/>
              </w:rPr>
              <w:t>100</w:t>
            </w:r>
            <w:r w:rsidRPr="003A6748">
              <w:rPr>
                <w:rFonts w:eastAsia="Times New Roman"/>
                <w:sz w:val="20"/>
                <w:szCs w:val="20"/>
                <w:lang w:eastAsia="fr-FR"/>
              </w:rPr>
              <w:t>%</w:t>
            </w:r>
          </w:p>
        </w:tc>
      </w:tr>
    </w:tbl>
    <w:p w:rsidR="00A5167B" w:rsidRPr="00A5167B" w:rsidRDefault="00A5167B" w:rsidP="00A5167B">
      <w:pPr>
        <w:jc w:val="both"/>
        <w:rPr>
          <w:b/>
          <w:sz w:val="20"/>
          <w:szCs w:val="20"/>
        </w:rPr>
      </w:pPr>
      <w:r w:rsidRPr="00A5167B">
        <w:rPr>
          <w:b/>
          <w:sz w:val="20"/>
          <w:szCs w:val="20"/>
        </w:rPr>
        <w:t>N = Effectifs ;   % = Pourcentage</w:t>
      </w:r>
    </w:p>
    <w:p w:rsidR="00C966D6" w:rsidRDefault="00C966D6" w:rsidP="000B24E4">
      <w:pPr>
        <w:jc w:val="both"/>
        <w:rPr>
          <w:b/>
          <w:sz w:val="20"/>
          <w:szCs w:val="20"/>
        </w:rPr>
      </w:pPr>
    </w:p>
    <w:p w:rsidR="00C966D6" w:rsidRDefault="00C966D6" w:rsidP="000B24E4">
      <w:pPr>
        <w:jc w:val="both"/>
        <w:rPr>
          <w:b/>
          <w:sz w:val="20"/>
          <w:szCs w:val="20"/>
        </w:rPr>
      </w:pPr>
    </w:p>
    <w:p w:rsidR="00C966D6" w:rsidRDefault="00C966D6" w:rsidP="000B24E4">
      <w:pPr>
        <w:jc w:val="both"/>
        <w:rPr>
          <w:b/>
          <w:sz w:val="20"/>
          <w:szCs w:val="20"/>
        </w:rPr>
      </w:pPr>
    </w:p>
    <w:p w:rsidR="00C966D6" w:rsidRDefault="00C966D6" w:rsidP="000B24E4">
      <w:pPr>
        <w:jc w:val="both"/>
        <w:rPr>
          <w:b/>
          <w:sz w:val="20"/>
          <w:szCs w:val="20"/>
        </w:rPr>
      </w:pPr>
    </w:p>
    <w:p w:rsidR="00C966D6" w:rsidRDefault="00C966D6" w:rsidP="000B24E4">
      <w:pPr>
        <w:jc w:val="both"/>
        <w:rPr>
          <w:b/>
          <w:sz w:val="20"/>
          <w:szCs w:val="20"/>
        </w:rPr>
      </w:pPr>
    </w:p>
    <w:p w:rsidR="00577B56" w:rsidRPr="00F814AD" w:rsidRDefault="001723C9" w:rsidP="000B24E4">
      <w:pPr>
        <w:jc w:val="both"/>
        <w:rPr>
          <w:b/>
          <w:sz w:val="20"/>
          <w:szCs w:val="20"/>
        </w:rPr>
      </w:pPr>
      <w:r w:rsidRPr="00F814AD">
        <w:rPr>
          <w:b/>
          <w:sz w:val="20"/>
          <w:szCs w:val="20"/>
        </w:rPr>
        <w:t>DISCUSSION</w:t>
      </w:r>
      <w:r w:rsidR="00577B56" w:rsidRPr="00F814AD">
        <w:rPr>
          <w:b/>
          <w:sz w:val="20"/>
          <w:szCs w:val="20"/>
        </w:rPr>
        <w:t> :</w:t>
      </w:r>
    </w:p>
    <w:p w:rsidR="00D72D39" w:rsidRDefault="00D72D39" w:rsidP="00D72D39">
      <w:pPr>
        <w:tabs>
          <w:tab w:val="left" w:pos="2943"/>
        </w:tabs>
        <w:jc w:val="both"/>
        <w:rPr>
          <w:sz w:val="20"/>
          <w:szCs w:val="20"/>
        </w:rPr>
      </w:pPr>
      <w:r w:rsidRPr="00D72D39">
        <w:rPr>
          <w:sz w:val="20"/>
          <w:szCs w:val="20"/>
        </w:rPr>
        <w:t xml:space="preserve">Six cent six patients étaient colligés, avec une prédominance féminine. La prédominance féminine était retrouvée dans de nombreuses séries. Au Cameroun, </w:t>
      </w:r>
      <w:proofErr w:type="spellStart"/>
      <w:r w:rsidRPr="00D72D39">
        <w:rPr>
          <w:sz w:val="20"/>
          <w:szCs w:val="20"/>
        </w:rPr>
        <w:t>Ngandeu</w:t>
      </w:r>
      <w:proofErr w:type="spellEnd"/>
      <w:r w:rsidRPr="00D72D39">
        <w:rPr>
          <w:sz w:val="20"/>
          <w:szCs w:val="20"/>
        </w:rPr>
        <w:t xml:space="preserve"> et al en 2013, dans une étude rétrospective </w:t>
      </w:r>
      <w:r w:rsidR="008C4B30" w:rsidRPr="00D72D39">
        <w:rPr>
          <w:sz w:val="20"/>
          <w:szCs w:val="20"/>
        </w:rPr>
        <w:fldChar w:fldCharType="begin"/>
      </w:r>
      <w:r w:rsidRPr="00D72D39">
        <w:rPr>
          <w:sz w:val="20"/>
          <w:szCs w:val="20"/>
        </w:rPr>
        <w:instrText xml:space="preserve"> ADDIN ZOTERO_ITEM CSL_CITATION {"citationID":"OW4I3w0h","properties":{"formattedCitation":"[87]","plainCitation":"[87]"},"citationItems":[{"id":1528,"uris":["http://zotero.org/users/2746557/items/D9N7Q5GU"],"uri":["http://zotero.org/users/2746557/items/D9N7Q5GU"],"itemData":{"id":1528,"type":"article-journal","title":"Formes topographiques des arthroses des membres vues en rhumatologie à Yaoundé, Cameroun","container-title":"HEALTH SCIENCES AND DISEASES","volume":"10","issue":"2","URL":"http://www.hsd-fmsb.org/index.php/hsd/article/view/80","ISSN":"1684-2782","journalAbbreviation":"Health Sci. Dis","author":[{"family":"Ngandeu","given":"M. Singwé"},{"family":"Bitang","given":"A. M."},{"family":"Sida","given":"Biwole"},{"family":"Nko’o","given":"S."},{"family":"Juimo","given":"A. G."}],"issued":{"date-parts":[["2013",9,28]]}}}],"schema":"https://github.com/citation-style-language/schema/raw/master/csl-citation.json"} </w:instrText>
      </w:r>
      <w:r w:rsidR="008C4B30" w:rsidRPr="00D72D39">
        <w:rPr>
          <w:sz w:val="20"/>
          <w:szCs w:val="20"/>
        </w:rPr>
        <w:fldChar w:fldCharType="separate"/>
      </w:r>
      <w:r w:rsidRPr="00D72D39">
        <w:rPr>
          <w:sz w:val="20"/>
          <w:szCs w:val="20"/>
        </w:rPr>
        <w:t>[9]</w:t>
      </w:r>
      <w:r w:rsidR="008C4B30" w:rsidRPr="00D72D39">
        <w:rPr>
          <w:sz w:val="20"/>
          <w:szCs w:val="20"/>
        </w:rPr>
        <w:fldChar w:fldCharType="end"/>
      </w:r>
      <w:r w:rsidRPr="00D72D39">
        <w:rPr>
          <w:sz w:val="20"/>
          <w:szCs w:val="20"/>
        </w:rPr>
        <w:t xml:space="preserve"> et </w:t>
      </w:r>
      <w:proofErr w:type="spellStart"/>
      <w:r w:rsidRPr="00D72D39">
        <w:rPr>
          <w:sz w:val="20"/>
          <w:szCs w:val="20"/>
        </w:rPr>
        <w:t>Doualla</w:t>
      </w:r>
      <w:proofErr w:type="spellEnd"/>
      <w:r w:rsidRPr="00D72D39">
        <w:rPr>
          <w:sz w:val="20"/>
          <w:szCs w:val="20"/>
        </w:rPr>
        <w:t xml:space="preserve"> et al en 2014 dans une étude transversale descriptive </w:t>
      </w:r>
      <w:r w:rsidR="008C4B30" w:rsidRPr="00D72D39">
        <w:rPr>
          <w:sz w:val="20"/>
          <w:szCs w:val="20"/>
        </w:rPr>
        <w:fldChar w:fldCharType="begin"/>
      </w:r>
      <w:r w:rsidRPr="00D72D39">
        <w:rPr>
          <w:sz w:val="20"/>
          <w:szCs w:val="20"/>
        </w:rPr>
        <w:instrText xml:space="preserve"> ADDIN ZOTERO_ITEM CSL_CITATION {"citationID":"VRqqTZEf","properties":{"formattedCitation":"[88]","plainCitation":"[88]"},"citationItems":[{"id":1530,"uris":["http://zotero.org/users/2746557/items/GKQ2N3X3"],"uri":["http://zotero.org/users/2746557/items/GKQ2N3X3"],"itemData":{"id":1530,"type":"article-journal","title":"Présentation clinique et radiologique de la lombalgie chronique en consultation hospitalière à Douala- Cameroun","container-title":"Journal Africain d'Imagerie Médicale","volume":"5","issue":"2","source":"jaim-online.net","abstract":"But :   La lombalgie chronique (LC)est une pathologie fréquente qui constitue le premier motif de consultation en Rhumatologie. Le but de ce travail était de décrire le mode de présentation et les principales étiologies des lombalgies chroniques dans un centre hospitalier de Douala.  Méthode :  Il s’agissait d’une étude transversale descriptive sur une période de 10 mois, du 1er janvier au 31 octobre 2009, de sujets adultes vus en consultation externe de rhumatologie et de neurochirurgiepour douleur de la région lombaire évoluant depuis plus de trois mois ;  Résultats :  Sur un total de 212 patients ayant consulté pour douleur de la région lombaire au cours de la période d’étude, 197 (92,9%) avaient une lombalgie chronique. L’âge moyen était de 54(±14)ans, 138 (70,1%) étaient de sexe féminin. Les causes de lombalgies chroniques retrouvées étaient la discopathie dégénérative (73,1%), la hernie discale (21,8%), la spondylodiscite infectieuse (3%), les cancers (1,5%) et la spondylarthrite ankylosante (0,5%).   Conclusion :   L’atteinte dégénérative discale est la cause la plus fréquente des lombalgies chroniques à Douala. Les infections et les cancers sont moins souvent rencontrés","URL":"http://jaim-online.net/index.php/jaim/article/view/41","ISSN":"1810-4959","journalAbbreviation":"J A I","language":"fr","author":[{"family":"Doualla","given":"Marie Solange"},{"family":"LumaN","given":"Henry"},{"family":"Yone","given":"EricW Pefura"},{"family":"Balkissou","given":"Adamou D."},{"family":"N","given":"Benjamin Tchaleu"},{"family":"Motah","given":"Mathieu"},{"family":"S","given":"Madeleine Ngandeu"}],"issued":{"date-parts":[["2014",2,21]]},"accessed":{"date-parts":[["2016",5,24]]}}}],"schema":"https://github.com/citation-style-language/schema/raw/master/csl-citation.json"} </w:instrText>
      </w:r>
      <w:r w:rsidR="008C4B30" w:rsidRPr="00D72D39">
        <w:rPr>
          <w:sz w:val="20"/>
          <w:szCs w:val="20"/>
        </w:rPr>
        <w:fldChar w:fldCharType="separate"/>
      </w:r>
      <w:r w:rsidRPr="00D72D39">
        <w:rPr>
          <w:sz w:val="20"/>
          <w:szCs w:val="20"/>
        </w:rPr>
        <w:t>[10]</w:t>
      </w:r>
      <w:r w:rsidR="008C4B30" w:rsidRPr="00D72D39">
        <w:rPr>
          <w:sz w:val="20"/>
          <w:szCs w:val="20"/>
        </w:rPr>
        <w:fldChar w:fldCharType="end"/>
      </w:r>
      <w:r w:rsidRPr="00D72D39">
        <w:rPr>
          <w:sz w:val="20"/>
          <w:szCs w:val="20"/>
        </w:rPr>
        <w:t xml:space="preserve">. </w:t>
      </w:r>
      <w:bookmarkStart w:id="10" w:name="_Toc453519052"/>
      <w:r w:rsidRPr="00D72D39">
        <w:rPr>
          <w:sz w:val="20"/>
          <w:szCs w:val="20"/>
        </w:rPr>
        <w:t xml:space="preserve">Dans notre série, la tranche d’âge de 51 à 60 ans était prédominante (33,5%), l’âge moyen était 52 ± 14,4 ans  avec des extrêmes de 17 et 85 ans. Ces résultats étaient similaires à ceux d’autres études. </w:t>
      </w:r>
      <w:proofErr w:type="spellStart"/>
      <w:r w:rsidRPr="00D72D39">
        <w:rPr>
          <w:sz w:val="20"/>
          <w:szCs w:val="20"/>
        </w:rPr>
        <w:t>Doualla</w:t>
      </w:r>
      <w:proofErr w:type="spellEnd"/>
      <w:r w:rsidRPr="00D72D39">
        <w:rPr>
          <w:sz w:val="20"/>
          <w:szCs w:val="20"/>
        </w:rPr>
        <w:t xml:space="preserve"> et al en 2013 [11], trouvaient un âge moyen de 51,9 ± 13,7 ans </w:t>
      </w:r>
      <w:r w:rsidR="008C4B30" w:rsidRPr="00D72D39">
        <w:rPr>
          <w:sz w:val="20"/>
          <w:szCs w:val="20"/>
        </w:rPr>
        <w:fldChar w:fldCharType="begin"/>
      </w:r>
      <w:r w:rsidRPr="00D72D39">
        <w:rPr>
          <w:sz w:val="20"/>
          <w:szCs w:val="20"/>
        </w:rPr>
        <w:instrText xml:space="preserve"> ADDIN ZOTERO_ITEM CSL_CITATION {"citationID":"p8g8bc45m","properties":{"formattedCitation":"[84]","plainCitation":"[84]"},"citationItems":[{"id":1515,"uris":["http://zotero.org/users/2746557/items/58UPPD58"],"uri":["http://zotero.org/users/2746557/items/58UPPD58"],"itemData":{"id":1515,"type":"article-journal","title":"Prévalence des douleurs neuropathiques au sein d’une population de lombalgiques chroniques à Douala, Caméroun","container-title":"Revue Marocaine de Rhumatologie","page":"26-30","issue":"26","journalAbbreviation":"REV MAR RHUM","language":"FR","author":[{"family":"Doualla Bija","given":"Fadia"},{"family":"Ngandeu Singwe","given":""},{"family":"Luma Namme","given":"Henry"},{"family":"Tchaleu Nguekam","given":""},{"family":"Kwedi","given":"Felix"},{"family":"Kemta Lekpa","given":"Fernando"},{"family":"Memopi","given":"Manuela"}],"issued":{"date-parts":[["2013"]]}}}],"schema":"https://github.com/citation-style-language/schema/raw/master/csl-citation.json"} </w:instrText>
      </w:r>
      <w:r w:rsidR="008C4B30" w:rsidRPr="00D72D39">
        <w:rPr>
          <w:sz w:val="20"/>
          <w:szCs w:val="20"/>
        </w:rPr>
        <w:fldChar w:fldCharType="separate"/>
      </w:r>
      <w:r w:rsidRPr="00D72D39">
        <w:rPr>
          <w:sz w:val="20"/>
          <w:szCs w:val="20"/>
        </w:rPr>
        <w:t>[9]</w:t>
      </w:r>
      <w:r w:rsidR="008C4B30" w:rsidRPr="00D72D39">
        <w:rPr>
          <w:sz w:val="20"/>
          <w:szCs w:val="20"/>
        </w:rPr>
        <w:fldChar w:fldCharType="end"/>
      </w:r>
      <w:r w:rsidRPr="00D72D39">
        <w:rPr>
          <w:sz w:val="20"/>
          <w:szCs w:val="20"/>
        </w:rPr>
        <w:t xml:space="preserve">. De même </w:t>
      </w:r>
      <w:proofErr w:type="spellStart"/>
      <w:r w:rsidRPr="00D72D39">
        <w:rPr>
          <w:sz w:val="20"/>
          <w:szCs w:val="20"/>
        </w:rPr>
        <w:t>Yomi</w:t>
      </w:r>
      <w:proofErr w:type="spellEnd"/>
      <w:r w:rsidRPr="00D72D39">
        <w:rPr>
          <w:sz w:val="20"/>
          <w:szCs w:val="20"/>
        </w:rPr>
        <w:t xml:space="preserve"> et al en 2014 retrouvaient un âge moyen de 45 ans avec des extrêmes (16-73 ans) </w:t>
      </w:r>
      <w:r w:rsidR="008C4B30" w:rsidRPr="00D72D39">
        <w:rPr>
          <w:sz w:val="20"/>
          <w:szCs w:val="20"/>
        </w:rPr>
        <w:fldChar w:fldCharType="begin"/>
      </w:r>
      <w:r w:rsidRPr="00D72D39">
        <w:rPr>
          <w:sz w:val="20"/>
          <w:szCs w:val="20"/>
        </w:rPr>
        <w:instrText xml:space="preserve"> ADDIN ZOTERO_ITEM CSL_CITATION {"citationID":"Q8J6niji","properties":{"formattedCitation":"[85]","plainCitation":"[85]"},"citationItems":[{"id":1224,"uris":["http://zotero.org/users/2746557/items/G9TPVB6I"],"uri":["http://zotero.org/users/2746557/items/G9TPVB6I"],"itemData":{"id":1224,"type":"article-journal","title":"Clinique et traitement de la douleur cancéreuse à l'Hôpital Général de Yaoundé","container-title":"HEALTH SCIENCES AND DISEASES","volume":"15","issue":"2","source":"Google Scholar","URL":"http://www.hsd-fmsb.org/index.php/hsd/article/view/346","author":[{"family":"Yomi","given":"Jean"},{"family":"Atenguena","given":"E."},{"family":"Tabola","given":"L."}],"issued":{"date-parts":[["2014"]]},"accessed":{"date-parts":[["2016",5,21]]}}}],"schema":"https://github.com/citation-style-language/schema/raw/master/csl-citation.json"} </w:instrText>
      </w:r>
      <w:r w:rsidR="008C4B30" w:rsidRPr="00D72D39">
        <w:rPr>
          <w:sz w:val="20"/>
          <w:szCs w:val="20"/>
        </w:rPr>
        <w:fldChar w:fldCharType="separate"/>
      </w:r>
      <w:r w:rsidRPr="00D72D39">
        <w:rPr>
          <w:sz w:val="20"/>
          <w:szCs w:val="20"/>
        </w:rPr>
        <w:t>[12]</w:t>
      </w:r>
      <w:r w:rsidR="008C4B30" w:rsidRPr="00D72D39">
        <w:rPr>
          <w:sz w:val="20"/>
          <w:szCs w:val="20"/>
        </w:rPr>
        <w:fldChar w:fldCharType="end"/>
      </w:r>
      <w:bookmarkEnd w:id="10"/>
      <w:r w:rsidRPr="00D72D39">
        <w:rPr>
          <w:sz w:val="20"/>
          <w:szCs w:val="20"/>
        </w:rPr>
        <w:t xml:space="preserve">. En oncologie, la localisation la plus retrouvée était le sein (5,8%). Nos résultats étaient comparables à ceux de </w:t>
      </w:r>
      <w:proofErr w:type="spellStart"/>
      <w:r w:rsidRPr="00D72D39">
        <w:rPr>
          <w:sz w:val="20"/>
          <w:szCs w:val="20"/>
        </w:rPr>
        <w:t>Yomi</w:t>
      </w:r>
      <w:proofErr w:type="spellEnd"/>
      <w:r w:rsidRPr="00D72D39">
        <w:rPr>
          <w:sz w:val="20"/>
          <w:szCs w:val="20"/>
        </w:rPr>
        <w:t xml:space="preserve"> et al [12]. Ils retrouvaient : le sein (27,9%). En rhumatologie, les localisations les plus retrouvées étaient : les membres inférieurs (31,1%), la région lombaire (25,7%) et les membres supérieurs (15,7%). Ces résultats étaient similaires à ceux d’autres études africaines. </w:t>
      </w:r>
      <w:proofErr w:type="spellStart"/>
      <w:r w:rsidRPr="00D72D39">
        <w:rPr>
          <w:sz w:val="20"/>
          <w:szCs w:val="20"/>
        </w:rPr>
        <w:t>Befa</w:t>
      </w:r>
      <w:proofErr w:type="spellEnd"/>
      <w:r w:rsidRPr="00D72D39">
        <w:rPr>
          <w:sz w:val="20"/>
          <w:szCs w:val="20"/>
        </w:rPr>
        <w:t xml:space="preserve"> et al au Maroc en 2015 retrouvaient : membres inférieurs (48,9%) et membres supérieurs (68,1%) </w:t>
      </w:r>
      <w:r w:rsidR="008C4B30" w:rsidRPr="00D72D39">
        <w:rPr>
          <w:sz w:val="20"/>
          <w:szCs w:val="20"/>
        </w:rPr>
        <w:fldChar w:fldCharType="begin"/>
      </w:r>
      <w:r w:rsidRPr="00D72D39">
        <w:rPr>
          <w:sz w:val="20"/>
          <w:szCs w:val="20"/>
        </w:rPr>
        <w:instrText xml:space="preserve"> ADDIN ZOTERO_ITEM CSL_CITATION {"citationID":"2RfGbZU2","properties":{"formattedCitation":"[92]","plainCitation":"[92]"},"citationItems":[{"id":1603,"uris":["http://zotero.org/users/2746557/items/EJC8BHXP"],"uri":["http://zotero.org/users/2746557/items/EJC8BHXP"],"itemData":{"id":1603,"type":"article-journal","title":"Douleur chronique chez l’hémodialysé au Maroc","container-title":"HEALTH SCIENCES AND DISEASES","volume":"16","issue":"2","source":"Google Scholar","URL":"http://www.hsd-fmsb.org/index.php/hsd/article/view/444","author":[{"literal":"Béfa Noto-Kadou-Kaza"},{"family":"Sabi","given":"Kossi Akomola"},{"family":"Tsevi","given":"Claude Mawufewo"},{"family":"Ramdani","given":"Benyounes"},{"literal":"others"}],"issued":{"date-parts":[["2015"]]},"accessed":{"date-parts":[["2016",6,7]]}}}],"schema":"https://github.com/citation-style-language/schema/raw/master/csl-citation.json"} </w:instrText>
      </w:r>
      <w:r w:rsidR="008C4B30" w:rsidRPr="00D72D39">
        <w:rPr>
          <w:sz w:val="20"/>
          <w:szCs w:val="20"/>
        </w:rPr>
        <w:fldChar w:fldCharType="separate"/>
      </w:r>
      <w:r w:rsidRPr="00D72D39">
        <w:rPr>
          <w:sz w:val="20"/>
          <w:szCs w:val="20"/>
        </w:rPr>
        <w:t>[13]</w:t>
      </w:r>
      <w:r w:rsidR="008C4B30" w:rsidRPr="00D72D39">
        <w:rPr>
          <w:sz w:val="20"/>
          <w:szCs w:val="20"/>
        </w:rPr>
        <w:fldChar w:fldCharType="end"/>
      </w:r>
      <w:r w:rsidRPr="00D72D39">
        <w:rPr>
          <w:sz w:val="20"/>
          <w:szCs w:val="20"/>
        </w:rPr>
        <w:t xml:space="preserve">. </w:t>
      </w:r>
      <w:proofErr w:type="spellStart"/>
      <w:r w:rsidRPr="00D72D39">
        <w:rPr>
          <w:sz w:val="20"/>
          <w:szCs w:val="20"/>
        </w:rPr>
        <w:t>Ngandeu</w:t>
      </w:r>
      <w:proofErr w:type="spellEnd"/>
      <w:r w:rsidRPr="00D72D39">
        <w:rPr>
          <w:sz w:val="20"/>
          <w:szCs w:val="20"/>
        </w:rPr>
        <w:t xml:space="preserve"> et al en 2013 retrouvaient les membres inférieurs (87,85%) et les membres supérieurs (12,15%) </w:t>
      </w:r>
      <w:r w:rsidR="008C4B30" w:rsidRPr="00D72D39">
        <w:rPr>
          <w:sz w:val="20"/>
          <w:szCs w:val="20"/>
        </w:rPr>
        <w:fldChar w:fldCharType="begin"/>
      </w:r>
      <w:r w:rsidRPr="00D72D39">
        <w:rPr>
          <w:sz w:val="20"/>
          <w:szCs w:val="20"/>
        </w:rPr>
        <w:instrText xml:space="preserve"> ADDIN ZOTERO_ITEM CSL_CITATION {"citationID":"OpwsMLhD","properties":{"formattedCitation":"[87]","plainCitation":"[87]"},"citationItems":[{"id":1528,"uris":["http://zotero.org/users/2746557/items/D9N7Q5GU"],"uri":["http://zotero.org/users/2746557/items/D9N7Q5GU"],"itemData":{"id":1528,"type":"article-journal","title":"Formes topographiques des arthroses des membres vues en rhumatologie à Yaoundé, Cameroun","container-title":"HEALTH SCIENCES AND DISEASES","volume":"10","issue":"2","URL":"http://www.hsd-fmsb.org/index.php/hsd/article/view/80","ISSN":"1684-2782","journalAbbreviation":"Health Sci. Dis","author":[{"family":"Ngandeu","given":"M. Singwé"},{"family":"Bitang","given":"A. M."},{"family":"Sida","given":"Biwole"},{"family":"Nko’o","given":"S."},{"family":"Juimo","given":"A. G."}],"issued":{"date-parts":[["2013",9,28]]}}}],"schema":"https://github.com/citation-style-language/schema/raw/master/csl-citation.json"} </w:instrText>
      </w:r>
      <w:r w:rsidR="008C4B30" w:rsidRPr="00D72D39">
        <w:rPr>
          <w:sz w:val="20"/>
          <w:szCs w:val="20"/>
        </w:rPr>
        <w:fldChar w:fldCharType="separate"/>
      </w:r>
      <w:r w:rsidRPr="00D72D39">
        <w:rPr>
          <w:sz w:val="20"/>
          <w:szCs w:val="20"/>
        </w:rPr>
        <w:t>[9]</w:t>
      </w:r>
      <w:r w:rsidR="008C4B30" w:rsidRPr="00D72D39">
        <w:rPr>
          <w:sz w:val="20"/>
          <w:szCs w:val="20"/>
        </w:rPr>
        <w:fldChar w:fldCharType="end"/>
      </w:r>
      <w:r w:rsidRPr="00D72D39">
        <w:rPr>
          <w:sz w:val="20"/>
          <w:szCs w:val="20"/>
        </w:rPr>
        <w:t xml:space="preserve">. </w:t>
      </w:r>
      <w:bookmarkStart w:id="11" w:name="_Toc453519054"/>
      <w:r w:rsidRPr="00D72D39">
        <w:rPr>
          <w:sz w:val="20"/>
          <w:szCs w:val="20"/>
        </w:rPr>
        <w:t xml:space="preserve">Les pathologies pourvoyeuses de douleur étaient l’arthrose en rhumatologie et les cancers du sein et du col de l’utérus en oncologie. Au Togo (Lomé) </w:t>
      </w:r>
      <w:proofErr w:type="spellStart"/>
      <w:r w:rsidRPr="00D72D39">
        <w:rPr>
          <w:sz w:val="20"/>
          <w:szCs w:val="20"/>
        </w:rPr>
        <w:t>Oniankitan</w:t>
      </w:r>
      <w:proofErr w:type="spellEnd"/>
      <w:r w:rsidRPr="00D72D39">
        <w:rPr>
          <w:sz w:val="20"/>
          <w:szCs w:val="20"/>
        </w:rPr>
        <w:t xml:space="preserve"> et al en 2014 retrouvaient l’arthrose (94%) </w:t>
      </w:r>
      <w:r w:rsidR="008C4B30" w:rsidRPr="00D72D39">
        <w:rPr>
          <w:sz w:val="20"/>
          <w:szCs w:val="20"/>
        </w:rPr>
        <w:fldChar w:fldCharType="begin"/>
      </w:r>
      <w:r w:rsidRPr="00D72D39">
        <w:rPr>
          <w:sz w:val="20"/>
          <w:szCs w:val="20"/>
        </w:rPr>
        <w:instrText xml:space="preserve"> ADDIN ZOTERO_ITEM CSL_CITATION {"citationID":"7BtPC1Ic","properties":{"formattedCitation":"[96]","plainCitation":"[96]"},"citationItems":[{"id":1535,"uris":["http://zotero.org/users/2746557/items/3U36RIXI"],"uri":["http://zotero.org/users/2746557/items/3U36RIXI"],"itemData":{"id":1535,"type":"article-journal","title":"Facteurs de risque de la gonarthrose en consultation rhumatologique à Lomé (Togo).","container-title":"Revue Marocaine de Rhumatologie","page":"28-31","issue":"29","journalAbbreviation":"REV MAR RHUM","language":"FR","author":[{"family":"Oniankitan","given":"Owonayo"},{"family":"Fianyo","given":"Eyram"},{"family":"Lama K Agoda Koussema","given":""},{"family":"Koffi-Tessio","given":"Viwalé Etonan Sika"},{"family":"Tagbor Komi","given":"Cyrille"},{"family":"Houzou","given":"Prénam"},{"family":"Kakpovi","given":"Kodjo"},{"family":"Mijiyawa","given":"Moustafa"}],"issued":{"date-parts":[["2014"]]}}}],"schema":"https://github.com/citation-style-language/schema/raw/master/csl-citation.json"} </w:instrText>
      </w:r>
      <w:r w:rsidR="008C4B30" w:rsidRPr="00D72D39">
        <w:rPr>
          <w:sz w:val="20"/>
          <w:szCs w:val="20"/>
        </w:rPr>
        <w:fldChar w:fldCharType="separate"/>
      </w:r>
      <w:r w:rsidRPr="00D72D39">
        <w:rPr>
          <w:sz w:val="20"/>
          <w:szCs w:val="20"/>
        </w:rPr>
        <w:t>[14]</w:t>
      </w:r>
      <w:r w:rsidR="008C4B30" w:rsidRPr="00D72D39">
        <w:rPr>
          <w:sz w:val="20"/>
          <w:szCs w:val="20"/>
        </w:rPr>
        <w:fldChar w:fldCharType="end"/>
      </w:r>
      <w:r w:rsidRPr="00D72D39">
        <w:rPr>
          <w:sz w:val="20"/>
          <w:szCs w:val="20"/>
        </w:rPr>
        <w:t xml:space="preserve">. </w:t>
      </w:r>
      <w:proofErr w:type="spellStart"/>
      <w:r w:rsidRPr="00D72D39">
        <w:rPr>
          <w:sz w:val="20"/>
          <w:szCs w:val="20"/>
        </w:rPr>
        <w:t>Orock</w:t>
      </w:r>
      <w:proofErr w:type="spellEnd"/>
      <w:r w:rsidRPr="00D72D39">
        <w:rPr>
          <w:sz w:val="20"/>
          <w:szCs w:val="20"/>
        </w:rPr>
        <w:t xml:space="preserve"> et al en 2012, dans une étude à Yaoundé </w:t>
      </w:r>
      <w:r w:rsidR="008C4B30" w:rsidRPr="00D72D39">
        <w:rPr>
          <w:sz w:val="20"/>
          <w:szCs w:val="20"/>
        </w:rPr>
        <w:fldChar w:fldCharType="begin"/>
      </w:r>
      <w:r w:rsidRPr="00D72D39">
        <w:rPr>
          <w:sz w:val="20"/>
          <w:szCs w:val="20"/>
        </w:rPr>
        <w:instrText xml:space="preserve"> ADDIN ZOTERO_ITEM CSL_CITATION {"citationID":"pGTGXqx5","properties":{"formattedCitation":"[97]","plainCitation":"[97]"},"citationItems":[{"id":1503,"uris":["http://zotero.org/users/2746557/items/3P3JK5T9"],"uri":["http://zotero.org/users/2746557/items/3P3JK5T9"],"itemData":{"id":1503,"type":"article-journal","title":"Current cancer incidence and trends in Yaounde, Cameroon","container-title":"Oncology, Gastroenterology and Hepatology Reports","page":"58-63","volume":"1","issue":"1","source":"CrossRef","DOI":"10.5530/ogh.2012.1.14","ISSN":"22788921","author":[{"family":"Orock GE","given":"Enow"},{"family":"Ndom","given":"P"},{"family":"Doh","given":"As"}],"issued":{"date-parts":[["2012",7,26]]}}}],"schema":"https://github.com/citation-style-language/schema/raw/master/csl-citation.json"} </w:instrText>
      </w:r>
      <w:r w:rsidR="008C4B30" w:rsidRPr="00D72D39">
        <w:rPr>
          <w:sz w:val="20"/>
          <w:szCs w:val="20"/>
        </w:rPr>
        <w:fldChar w:fldCharType="separate"/>
      </w:r>
      <w:r w:rsidRPr="00D72D39">
        <w:rPr>
          <w:sz w:val="20"/>
          <w:szCs w:val="20"/>
        </w:rPr>
        <w:t>[15]</w:t>
      </w:r>
      <w:r w:rsidR="008C4B30" w:rsidRPr="00D72D39">
        <w:rPr>
          <w:sz w:val="20"/>
          <w:szCs w:val="20"/>
        </w:rPr>
        <w:fldChar w:fldCharType="end"/>
      </w:r>
      <w:r w:rsidRPr="00D72D39">
        <w:rPr>
          <w:sz w:val="20"/>
          <w:szCs w:val="20"/>
        </w:rPr>
        <w:t xml:space="preserve">, retrouvaient que les cancers les plus répandus étaient celui du sein (18,5%) et du col de l’utérus (13,8%). </w:t>
      </w:r>
      <w:bookmarkEnd w:id="11"/>
      <w:r w:rsidRPr="00D72D39">
        <w:rPr>
          <w:sz w:val="20"/>
          <w:szCs w:val="20"/>
        </w:rPr>
        <w:t xml:space="preserve">Dans notre étude, les antalgiques du palier 1 étaient les plus utilisés (58,6%). Le paracétamol était la molécule la plus prescrite. Parmi les </w:t>
      </w:r>
      <w:proofErr w:type="spellStart"/>
      <w:r w:rsidRPr="00D72D39">
        <w:rPr>
          <w:sz w:val="20"/>
          <w:szCs w:val="20"/>
        </w:rPr>
        <w:t>co</w:t>
      </w:r>
      <w:proofErr w:type="spellEnd"/>
      <w:r w:rsidRPr="00D72D39">
        <w:rPr>
          <w:sz w:val="20"/>
          <w:szCs w:val="20"/>
        </w:rPr>
        <w:t>-antalgiques, les antiépileptiques étaient les plus prescrits (43,1%). D’après la littérature, les antidépresseurs et les antiépileptiques (</w:t>
      </w:r>
      <w:proofErr w:type="spellStart"/>
      <w:r w:rsidRPr="00D72D39">
        <w:rPr>
          <w:sz w:val="20"/>
          <w:szCs w:val="20"/>
        </w:rPr>
        <w:t>gabapentine</w:t>
      </w:r>
      <w:proofErr w:type="spellEnd"/>
      <w:r w:rsidRPr="00D72D39">
        <w:rPr>
          <w:sz w:val="20"/>
          <w:szCs w:val="20"/>
        </w:rPr>
        <w:t xml:space="preserve"> et </w:t>
      </w:r>
      <w:proofErr w:type="spellStart"/>
      <w:r w:rsidRPr="00D72D39">
        <w:rPr>
          <w:sz w:val="20"/>
          <w:szCs w:val="20"/>
        </w:rPr>
        <w:t>prégabaline</w:t>
      </w:r>
      <w:proofErr w:type="spellEnd"/>
      <w:r w:rsidRPr="00D72D39">
        <w:rPr>
          <w:sz w:val="20"/>
          <w:szCs w:val="20"/>
        </w:rPr>
        <w:t xml:space="preserve">) constituent les traitements de référence dans les douleurs neuropathiques </w:t>
      </w:r>
      <w:r w:rsidR="008C4B30" w:rsidRPr="00D72D39">
        <w:rPr>
          <w:sz w:val="20"/>
          <w:szCs w:val="20"/>
        </w:rPr>
        <w:fldChar w:fldCharType="begin"/>
      </w:r>
      <w:r w:rsidRPr="00D72D39">
        <w:rPr>
          <w:sz w:val="20"/>
          <w:szCs w:val="20"/>
        </w:rPr>
        <w:instrText xml:space="preserve"> ADDIN ZOTERO_ITEM CSL_CITATION {"citationID":"1he5r5sho5","properties":{"formattedCitation":"[113,119]","plainCitation":"[113,119]"},"citationItems":[{"id":1057,"uris":["http://zotero.org/users/2746557/items/N38SX9PM"],"uri":["http://zotero.org/users/2746557/items/N38SX9PM"],"itemData":{"id":1057,"type":"article-journal","title":"Douleurs neuropathiques","container-title":"Neurologie. com","page":"202–205","volume":"2","issue":"8","source":"Google Scholar","author":[{"family":"Attal","given":"Nadine"}],"issued":{"date-parts":[["2010"]]}},"label":"page"},{"id":1442,"uris":["http://zotero.org/users/2746557/items/TT9X69Z5"],"uri":["http://zotero.org/users/2746557/items/TT9X69Z5"],"itemData":{"id":1442,"type":"thesis","title":"Traitement de la douleur neuropathique chez les patients présentant des neuropathies centrales ou périphériques","source":"Google Scholar","URL":"http://dspace.univ-tlemcen.dz/handle/112/7824","author":[{"family":"Oulhaci","given":"Amina"},{"family":"Benmezroua","given":"Asma"}],"issued":{"date-parts":[["2014"]]},"accessed":{"date-parts":[["2016",5,23]]}},"label":"page"}],"schema":"https://github.com/citation-style-language/schema/raw/master/csl-citation.json"} </w:instrText>
      </w:r>
      <w:r w:rsidR="008C4B30" w:rsidRPr="00D72D39">
        <w:rPr>
          <w:sz w:val="20"/>
          <w:szCs w:val="20"/>
        </w:rPr>
        <w:fldChar w:fldCharType="separate"/>
      </w:r>
      <w:r w:rsidRPr="00D72D39">
        <w:rPr>
          <w:sz w:val="20"/>
          <w:szCs w:val="20"/>
        </w:rPr>
        <w:t>[16,17]</w:t>
      </w:r>
      <w:r w:rsidR="008C4B30" w:rsidRPr="00D72D39">
        <w:rPr>
          <w:sz w:val="20"/>
          <w:szCs w:val="20"/>
        </w:rPr>
        <w:fldChar w:fldCharType="end"/>
      </w:r>
      <w:r w:rsidRPr="00D72D39">
        <w:rPr>
          <w:sz w:val="20"/>
          <w:szCs w:val="20"/>
        </w:rPr>
        <w:t xml:space="preserve">. Une étude américaine sur les habitudes de prescriptions des médecins traitant les patients lombalgiques a estimé que 35% des patients consultant un médecin généraliste recevaient comme prescription un myorelaxant </w:t>
      </w:r>
      <w:r w:rsidR="008C4B30" w:rsidRPr="00D72D39">
        <w:rPr>
          <w:sz w:val="20"/>
          <w:szCs w:val="20"/>
        </w:rPr>
        <w:fldChar w:fldCharType="begin"/>
      </w:r>
      <w:r w:rsidRPr="00D72D39">
        <w:rPr>
          <w:sz w:val="20"/>
          <w:szCs w:val="20"/>
        </w:rPr>
        <w:instrText xml:space="preserve"> ADDIN ZOTERO_ITEM CSL_CITATION {"citationID":"ipubcrH8","properties":{"formattedCitation":"[125]","plainCitation":"[125]"},"citationItems":[{"id":1518,"uris":["http://zotero.org/users/2746557/items/2MJFSVE9"],"uri":["http://zotero.org/users/2746557/items/2MJFSVE9"],"itemData":{"id":1518,"type":"article-journal","title":"Medication use for low back pain in primary care","container-title":"Spine","page":"607–614","volume":"23","issue":"5","source":"Google Scholar","author":[{"family":"Cherkin","given":"Daniel C."},{"family":"Wheeler","given":"Kimberly J."},{"family":"Barlow","given":"William"},{"family":"Deyo","given":"Richard A."}],"issued":{"date-parts":[["1998"]]}}}],"schema":"https://github.com/citation-style-language/schema/raw/master/csl-citation.json"} </w:instrText>
      </w:r>
      <w:r w:rsidR="008C4B30" w:rsidRPr="00D72D39">
        <w:rPr>
          <w:sz w:val="20"/>
          <w:szCs w:val="20"/>
        </w:rPr>
        <w:fldChar w:fldCharType="separate"/>
      </w:r>
      <w:r w:rsidRPr="00D72D39">
        <w:rPr>
          <w:sz w:val="20"/>
          <w:szCs w:val="20"/>
        </w:rPr>
        <w:t>[18]</w:t>
      </w:r>
      <w:r w:rsidR="008C4B30" w:rsidRPr="00D72D39">
        <w:rPr>
          <w:sz w:val="20"/>
          <w:szCs w:val="20"/>
        </w:rPr>
        <w:fldChar w:fldCharType="end"/>
      </w:r>
      <w:r w:rsidRPr="00D72D39">
        <w:rPr>
          <w:sz w:val="20"/>
          <w:szCs w:val="20"/>
        </w:rPr>
        <w:t xml:space="preserve">. Les médicaments pouvaient être utilisés seul ou en association. Les protocoles de prise en charge </w:t>
      </w:r>
      <w:proofErr w:type="gramStart"/>
      <w:r w:rsidRPr="00D72D39">
        <w:rPr>
          <w:sz w:val="20"/>
          <w:szCs w:val="20"/>
        </w:rPr>
        <w:t>était</w:t>
      </w:r>
      <w:proofErr w:type="gramEnd"/>
      <w:r w:rsidRPr="00D72D39">
        <w:rPr>
          <w:sz w:val="20"/>
          <w:szCs w:val="20"/>
        </w:rPr>
        <w:t xml:space="preserve"> les suivants : monothérapie, bithérapie, trithérapie et </w:t>
      </w:r>
      <w:proofErr w:type="spellStart"/>
      <w:r w:rsidRPr="00D72D39">
        <w:rPr>
          <w:sz w:val="20"/>
          <w:szCs w:val="20"/>
        </w:rPr>
        <w:t>quadritherapie</w:t>
      </w:r>
      <w:proofErr w:type="spellEnd"/>
      <w:r w:rsidRPr="00D72D39">
        <w:rPr>
          <w:sz w:val="20"/>
          <w:szCs w:val="20"/>
        </w:rPr>
        <w:t xml:space="preserve">. Le paracétamol  (56,1%) et le </w:t>
      </w:r>
      <w:proofErr w:type="spellStart"/>
      <w:r w:rsidRPr="00D72D39">
        <w:rPr>
          <w:sz w:val="20"/>
          <w:szCs w:val="20"/>
        </w:rPr>
        <w:t>tramadol</w:t>
      </w:r>
      <w:proofErr w:type="spellEnd"/>
      <w:r w:rsidRPr="00D72D39">
        <w:rPr>
          <w:sz w:val="20"/>
          <w:szCs w:val="20"/>
        </w:rPr>
        <w:t xml:space="preserve">  (39,8%) étaient les plus utilisés en monothérapie. Les bithérapies les plus utilisées étaient représentées par  les associations paracétamol + codéine (30%), paracétamol  +  AINS  (25%) et  paracétamol  +  </w:t>
      </w:r>
      <w:proofErr w:type="spellStart"/>
      <w:r w:rsidRPr="00D72D39">
        <w:rPr>
          <w:sz w:val="20"/>
          <w:szCs w:val="20"/>
        </w:rPr>
        <w:t>tramadol</w:t>
      </w:r>
      <w:proofErr w:type="spellEnd"/>
      <w:r w:rsidRPr="00D72D39">
        <w:rPr>
          <w:sz w:val="20"/>
          <w:szCs w:val="20"/>
        </w:rPr>
        <w:t xml:space="preserve">  (21,9%). </w:t>
      </w:r>
      <w:proofErr w:type="spellStart"/>
      <w:r w:rsidRPr="00D72D39">
        <w:rPr>
          <w:sz w:val="20"/>
          <w:szCs w:val="20"/>
        </w:rPr>
        <w:t>Ong</w:t>
      </w:r>
      <w:proofErr w:type="spellEnd"/>
      <w:r w:rsidRPr="00D72D39">
        <w:rPr>
          <w:sz w:val="20"/>
          <w:szCs w:val="20"/>
        </w:rPr>
        <w:t xml:space="preserve"> et al en 2010 en </w:t>
      </w:r>
      <w:proofErr w:type="spellStart"/>
      <w:r w:rsidRPr="00D72D39">
        <w:rPr>
          <w:sz w:val="20"/>
          <w:szCs w:val="20"/>
        </w:rPr>
        <w:t>Singapoure</w:t>
      </w:r>
      <w:proofErr w:type="spellEnd"/>
      <w:r w:rsidRPr="00D72D39">
        <w:rPr>
          <w:sz w:val="20"/>
          <w:szCs w:val="20"/>
        </w:rPr>
        <w:t xml:space="preserve"> dans une revue systématique de la littérature avaient analysé 21 études (1909 patients) qui ont montré un bénéfice thérapeutique de l’association paracétamol et AINS </w:t>
      </w:r>
      <w:r w:rsidR="008C4B30" w:rsidRPr="00D72D39">
        <w:rPr>
          <w:sz w:val="20"/>
          <w:szCs w:val="20"/>
        </w:rPr>
        <w:fldChar w:fldCharType="begin"/>
      </w:r>
      <w:r w:rsidRPr="00D72D39">
        <w:rPr>
          <w:sz w:val="20"/>
          <w:szCs w:val="20"/>
        </w:rPr>
        <w:instrText xml:space="preserve"> ADDIN ZOTERO_ITEM CSL_CITATION {"citationID":"AUQ3ZQYO","properties":{"formattedCitation":"[127]","plainCitation":"[127]"},"citationItems":[{"id":1660,"uris":["http://zotero.org/users/2746557/items/3JADUC67"],"uri":["http://zotero.org/users/2746557/items/3JADUC67"],"itemData":{"id":1660,"type":"article-journal","title":"Combining paracetamol (acetaminophen) with nonsteroidal antiinflammatory drugs: a qualitative systematic review of analgesic efficacy for acute postoperative pain","container-title":"Anesthesia &amp; Analgesia","page":"1170–1179","volume":"110","issue":"4","source":"Google Scholar","shortTitle":"Combining paracetamol (acetaminophen) with nonsteroidal antiinflammatory drugs","author":[{"family":"Ong","given":"Cliff KS"},{"family":"Seymour","given":"Robin A."},{"family":"Lirk","given":"Phillip"},{"family":"Merry","given":"Alan F."}],"issued":{"date-parts":[["2010"]]}}}],"schema":"https://github.com/citation-style-language/schema/raw/master/csl-citation.json"} </w:instrText>
      </w:r>
      <w:r w:rsidR="008C4B30" w:rsidRPr="00D72D39">
        <w:rPr>
          <w:sz w:val="20"/>
          <w:szCs w:val="20"/>
        </w:rPr>
        <w:fldChar w:fldCharType="separate"/>
      </w:r>
      <w:r w:rsidRPr="00D72D39">
        <w:rPr>
          <w:sz w:val="20"/>
          <w:szCs w:val="20"/>
        </w:rPr>
        <w:t>[19]</w:t>
      </w:r>
      <w:r w:rsidR="008C4B30" w:rsidRPr="00D72D39">
        <w:rPr>
          <w:sz w:val="20"/>
          <w:szCs w:val="20"/>
        </w:rPr>
        <w:fldChar w:fldCharType="end"/>
      </w:r>
      <w:r w:rsidRPr="00D72D39">
        <w:rPr>
          <w:sz w:val="20"/>
          <w:szCs w:val="20"/>
        </w:rPr>
        <w:t xml:space="preserve">. L’analgésie de l’association paracétamol + AINS était supérieure au paracétamol seul dans 85 % des études et à un AINS seul dans 64 % des études </w:t>
      </w:r>
      <w:r w:rsidR="008C4B30" w:rsidRPr="00D72D39">
        <w:rPr>
          <w:sz w:val="20"/>
          <w:szCs w:val="20"/>
        </w:rPr>
        <w:fldChar w:fldCharType="begin"/>
      </w:r>
      <w:r w:rsidRPr="00D72D39">
        <w:rPr>
          <w:sz w:val="20"/>
          <w:szCs w:val="20"/>
        </w:rPr>
        <w:instrText xml:space="preserve"> ADDIN ZOTERO_ITEM CSL_CITATION {"citationID":"J6BRI8WP","properties":{"formattedCitation":"[128]","plainCitation":"[128]"},"citationItems":[{"id":1639,"uris":["http://zotero.org/users/2746557/items/AIF58VBG"],"uri":["http://zotero.org/users/2746557/items/AIF58VBG"],"itemData":{"id":1639,"type":"chapter","title":"Les associations médicamenteuses antalgiques","container-title":"53e Congrès national d’anesthésie et de réanimation","source":"Google Scholar","author":[{"family":"Beloeil","given":"H."}],"issued":{"date-parts":[["2011"]]}}}],"schema":"https://github.com/citation-style-language/schema/raw/master/csl-citation.json"} </w:instrText>
      </w:r>
      <w:r w:rsidR="008C4B30" w:rsidRPr="00D72D39">
        <w:rPr>
          <w:sz w:val="20"/>
          <w:szCs w:val="20"/>
        </w:rPr>
        <w:fldChar w:fldCharType="separate"/>
      </w:r>
      <w:r w:rsidRPr="00D72D39">
        <w:rPr>
          <w:sz w:val="20"/>
          <w:szCs w:val="20"/>
        </w:rPr>
        <w:t>[20]</w:t>
      </w:r>
      <w:r w:rsidR="008C4B30" w:rsidRPr="00D72D39">
        <w:rPr>
          <w:sz w:val="20"/>
          <w:szCs w:val="20"/>
        </w:rPr>
        <w:fldChar w:fldCharType="end"/>
      </w:r>
      <w:r w:rsidRPr="00D72D39">
        <w:rPr>
          <w:sz w:val="20"/>
          <w:szCs w:val="20"/>
        </w:rPr>
        <w:t xml:space="preserve">. En outre, l’analgésie de l’association paracétamol + opioïdes faibles était </w:t>
      </w:r>
      <w:r w:rsidRPr="00D72D39">
        <w:rPr>
          <w:sz w:val="20"/>
          <w:szCs w:val="20"/>
        </w:rPr>
        <w:lastRenderedPageBreak/>
        <w:t xml:space="preserve">supérieure au soulagement de la douleur plus rapidement que le </w:t>
      </w:r>
      <w:proofErr w:type="spellStart"/>
      <w:r w:rsidRPr="00D72D39">
        <w:rPr>
          <w:sz w:val="20"/>
          <w:szCs w:val="20"/>
        </w:rPr>
        <w:t>tramadol</w:t>
      </w:r>
      <w:proofErr w:type="spellEnd"/>
      <w:r w:rsidRPr="00D72D39">
        <w:rPr>
          <w:sz w:val="20"/>
          <w:szCs w:val="20"/>
        </w:rPr>
        <w:t xml:space="preserve"> seul ou le paracétamol seul </w:t>
      </w:r>
      <w:r w:rsidR="008C4B30" w:rsidRPr="00D72D39">
        <w:rPr>
          <w:sz w:val="20"/>
          <w:szCs w:val="20"/>
        </w:rPr>
        <w:fldChar w:fldCharType="begin"/>
      </w:r>
      <w:r w:rsidRPr="00D72D39">
        <w:rPr>
          <w:sz w:val="20"/>
          <w:szCs w:val="20"/>
        </w:rPr>
        <w:instrText xml:space="preserve"> ADDIN ZOTERO_ITEM CSL_CITATION {"citationID":"DyleaKoS","properties":{"formattedCitation":"[130]","plainCitation":"[130]"},"citationItems":[{"id":1663,"uris":["http://zotero.org/users/2746557/items/B65M2ICN"],"uri":["http://zotero.org/users/2746557/items/B65M2ICN"],"itemData":{"id":1663,"type":"article-journal","title":"The new analgesic combination tramadol/acetaminophen","container-title":"European Journal of Anaesthesiology. Supplement","page":"13-17","volume":"28","source":"PubMed","abstract":"BACKGROUND: Combinations of analgesic drugs provide the opportunity for better efficacy with less overall morbidity than provided by single analgesic agents. This article discusses the rationale, efficacy and safety for a novel analgesic combination: tramadol and acetaminophen (paracetamol).\nMETHODS: Data supporting the rationale of combining tramadol and acetaminophen to provide pain relief will be reviewed in addition to clinical data demonstrating the efficacy and safety of this combination in acute and chronic pain states.\nRESULTS: Tramadol and acetaminophen are a rational combination product in that their mechanisms of action do not overlap and that in preclinical studies this combination acts synergistically. Also, this combination would be expected to provide more rapid pain relief than tramadol alone, and more persistent pain relief than acetaminophen alone. Moreover, each compound is broken down along separate metabolic pathways. Acute dental pain studies showed that pain relief and improvements in pain intensity associated with tramadol 75 mg plus acetaminophen 650 mg are superior to placebo, or tramadol or acetaminophen alone. This combination provided a rapid onset of action, identical to that achieved with acetaminophen alone, but the pain relief was also sustained, as for tramadol alone. Tramadol/acetaminophen also had the same adverse event profile as tramadol monotherapy. A chronic low back/osteoarthritic pain study showed that the drug combination can also be used similarly to codeine/acetaminophen combinations in treating benign chronic pain. The safety profile of the tramadol/ acetaminophen combination is at least as favourable as that of codeine/acetaminophen, and is well tolerated with long-term use.\nCONCLUSIONS: Tramadol/acetaminophen combination is a new preparation that is effective in acute or chronic moderate-to-moderately severe pain. It benefits from the complementary actions of the constituent analgesics, having the rapid onset of acetaminophen and the sustained effect of tramadol. The analgesic efficacy of this combination is comparable to that of positive controls, and its adverse event profile is in line with that of its single components.","ISSN":"0952-1941","note":"PMID: 12785457","journalAbbreviation":"Eur J Anaesthesiol Suppl","language":"eng","author":[{"family":"Schnitzer","given":"T."}],"issued":{"date-parts":[["2003"]]},"PMID":"12785457"}}],"schema":"https://github.com/citation-style-language/schema/raw/master/csl-citation.json"} </w:instrText>
      </w:r>
      <w:r w:rsidR="008C4B30" w:rsidRPr="00D72D39">
        <w:rPr>
          <w:sz w:val="20"/>
          <w:szCs w:val="20"/>
        </w:rPr>
        <w:fldChar w:fldCharType="separate"/>
      </w:r>
      <w:r w:rsidRPr="00D72D39">
        <w:rPr>
          <w:sz w:val="20"/>
          <w:szCs w:val="20"/>
        </w:rPr>
        <w:t>[21]</w:t>
      </w:r>
      <w:r w:rsidR="008C4B30" w:rsidRPr="00D72D39">
        <w:rPr>
          <w:sz w:val="20"/>
          <w:szCs w:val="20"/>
        </w:rPr>
        <w:fldChar w:fldCharType="end"/>
      </w:r>
      <w:r w:rsidRPr="00D72D39">
        <w:rPr>
          <w:sz w:val="20"/>
          <w:szCs w:val="20"/>
        </w:rPr>
        <w:t xml:space="preserve">. Très peu d’effets secondaires étaient enregistrés au cours de notre étude. Les plus représentés étaient : la constipation (42,4%) ; les vertiges (11,9%) et les nausées (10,2%). Ces résultats sont similaires à ceux de Moore et al en 2005 </w:t>
      </w:r>
      <w:r w:rsidR="008C4B30" w:rsidRPr="00D72D39">
        <w:rPr>
          <w:sz w:val="20"/>
          <w:szCs w:val="20"/>
        </w:rPr>
        <w:fldChar w:fldCharType="begin"/>
      </w:r>
      <w:r w:rsidRPr="00D72D39">
        <w:rPr>
          <w:sz w:val="20"/>
          <w:szCs w:val="20"/>
        </w:rPr>
        <w:instrText xml:space="preserve"> ADDIN ZOTERO_ITEM CSL_CITATION {"citationID":"B8dBPdVu","properties":{"formattedCitation":"[132]","plainCitation":"[132]"},"citationItems":[{"id":1580,"uris":["http://zotero.org/users/2746557/items/BKCVP6H2"],"uri":["http://zotero.org/users/2746557/items/BKCVP6H2"],"itemData":{"id":1580,"type":"article-journal","title":"Prevalence of opioid adverse events in chronic non-malignant pain: systematic review of randomised trials of oral opioids","container-title":"Arthritis Research &amp; Therapy","page":"R1046-1051","volume":"7","issue":"5","source":"PubMed","abstract":"Adverse events of opioids may restrict their use in non-cancer pain. Analysis of the incidence of common adverse events in trials conducted in non-cancer pain has usually been limited to opioids used to treat severe pain according to the WHO three-step ladder. To examine the incidence of common adverse events of opioids in non-cancer pain, a systematic review and meta-analysis of information from randomised trials of all opioids in non-cancer pain was undertaken. Studies used were published randomised trials of oral opioid in non-cancer pain, with placebo or active comparator. Thirty-four trials with 5,546 patients were included with 4,212 patients contributing some information on opioid adverse events. Most opioids used (accounting for 90% of patients) were for treating moderate rather than severe pain. Including trials without a placebo increased the amount of information available by 1.4 times. Because of clinical heterogeneity in condition, opioid, opioid dose, duration, and use of titration, only broad results could be calculated. Use of any oral opioid produced higher rates of adverse events than did placebo. Dry mouth (affecting 25% of patients), nausea (21%), and constipation (15%) were the most common adverse events. A substantial proportion of patients on opioids (22%) withdrew because of adverse events. Because most trials were short, less than four weeks, and because few titrated the dose, these results have limited applicability to longer-term use of opioids in clinical practice. Suggestions for improved studies are made.","DOI":"10.1186/ar1782","ISSN":"1478-6362","note":"PMID: 16207320\nPMCID: PMC1257433","shortTitle":"Prevalence of opioid adverse events in chronic non-malignant pain","journalAbbreviation":"Arthritis Res. Ther.","language":"eng","author":[{"family":"Moore","given":"R. Andrew"},{"family":"McQuay","given":"Henry J."}],"issued":{"date-parts":[["2005"]]},"PMID":"16207320","PMCID":"PMC1257433"}}],"schema":"https://github.com/citation-style-language/schema/raw/master/csl-citation.json"} </w:instrText>
      </w:r>
      <w:r w:rsidR="008C4B30" w:rsidRPr="00D72D39">
        <w:rPr>
          <w:sz w:val="20"/>
          <w:szCs w:val="20"/>
        </w:rPr>
        <w:fldChar w:fldCharType="separate"/>
      </w:r>
      <w:r w:rsidRPr="00D72D39">
        <w:rPr>
          <w:sz w:val="20"/>
          <w:szCs w:val="20"/>
        </w:rPr>
        <w:t>[22]</w:t>
      </w:r>
      <w:r w:rsidR="008C4B30" w:rsidRPr="00D72D39">
        <w:rPr>
          <w:sz w:val="20"/>
          <w:szCs w:val="20"/>
        </w:rPr>
        <w:fldChar w:fldCharType="end"/>
      </w:r>
      <w:r w:rsidRPr="00D72D39">
        <w:rPr>
          <w:sz w:val="20"/>
          <w:szCs w:val="20"/>
        </w:rPr>
        <w:t xml:space="preserve"> qui retrouvaient : les nausées (21%) ; et la constipation (15%). L’observance était  moyenne dans 70,4% des cas avec une moyenne de 0,76 ± 0,30 (0 - 4). Ces résultats étaient similaires à ceux de </w:t>
      </w:r>
      <w:proofErr w:type="spellStart"/>
      <w:r w:rsidRPr="00D72D39">
        <w:rPr>
          <w:sz w:val="20"/>
          <w:szCs w:val="20"/>
        </w:rPr>
        <w:t>Demonceau</w:t>
      </w:r>
      <w:proofErr w:type="spellEnd"/>
      <w:r w:rsidRPr="00D72D39">
        <w:rPr>
          <w:sz w:val="20"/>
          <w:szCs w:val="20"/>
        </w:rPr>
        <w:t xml:space="preserve"> et al en suisse en 2013, qui retrouvaient, dans une revue systématique de la littérature concernant les stratégies et l’efficacité des prescriptions à long terme, un taux moyen de l’observance de 74,3% </w:t>
      </w:r>
      <w:r w:rsidR="008C4B30" w:rsidRPr="00D72D39">
        <w:rPr>
          <w:sz w:val="20"/>
          <w:szCs w:val="20"/>
        </w:rPr>
        <w:fldChar w:fldCharType="begin"/>
      </w:r>
      <w:r w:rsidRPr="00D72D39">
        <w:rPr>
          <w:sz w:val="20"/>
          <w:szCs w:val="20"/>
        </w:rPr>
        <w:instrText xml:space="preserve"> ADDIN ZOTERO_ITEM CSL_CITATION {"citationID":"x5r5u55n","properties":{"formattedCitation":"[136]","plainCitation":"[136]"},"citationItems":[{"id":1310,"uris":["http://zotero.org/users/2746557/items/AVSKTU45"],"uri":["http://zotero.org/users/2746557/items/AVSKTU45"],"itemData":{"id":1310,"type":"article-journal","title":"Identification and Assessment of Adherence-Enhancing Interventions in Studies Assessing Medication Adherence Through Electronically Compiled Drug Dosing Histories: A Systematic Literature Review and Meta-Analysis","container-title":"Drugs","page":"545-562","volume":"73","issue":"6","source":"PubMed Central","abstract":"Background\nNon-adherence to medications is prevalent across all medical conditions that include ambulatory pharmacotherapy and is thus a major barrier to achieving the benefits of otherwise effective medicines.\n\nObjective\nThe objective of this systematic review was to identify and to compare the efficacy of strategies and components thereof that improve implementation of the prescribed drug dosing regimen and maintain long-term persistence, based on quantitative evaluation of effect sizes across the aggregated trials.\n\nData sources\nMEDLINE, EMBASE, CINAHL, the Cochrane Library, and PsycINFO were systematically searched for randomized controlled trials that tested the efficacy of adherence-enhancing strategies with self-administered medications. The searches were limited to papers in the English language and were included from database inception to 31 December 2011.\n\nStudy selection\nOur review included randomized controlled trials in which adherence was assessed by electronically compiled drug dosing histories. Five thousand four hundred studies were screened. Eligibility assessment was performed independently by two reviewers. A structured data collection sheet was developed to extract data from each study.\n\nStudy appraisal and synthesis methods\nThe adherence-enhancing components were classified in eight categories. Quality of the papers was assessed using the criteria of the Cochrane Handbook for Systematic Reviews of Interventions guidelines to assess potential bias. A combined adherence outcome was derived from the different adherence variables available in the studies by extracting from each paper the available adherence summary variables in a pre-defined order (correct dosing, taking adherence, timing adherence, percentage of adherent patients). To study the association between the adherence-enhancing components and their effect on adherence, a linear meta-regression model, based on mean adherence point estimates, and a meta-analysis were conducted.\n\nResults\nSeventy-nine clinical trials published between 1995 and December 2011 were included in the review. Patients randomized to an intervention group had an average combined adherence outcome of 74.3 %, which was 14.1 % higher than in patients randomized to the control group (60.2 %). The linear meta-regression analysis with stepwise variable selection estimated an 8.8 % increase in adherence when the intervention included feedback to the patients of their recent dosing history (EM-feedback) (p &lt; 0.01) and a 5.0 % increase in adherence when the intervention included a cognitive-educational component (p = 0.02). In addition, the effect of interventions on adherence decreased by 1.1 % each month. Sensitivity analysis by selecting only high-quality papers confirmed the robustness of the model. The random effects model in the meta-analysis, conducted on 48 studies, confirmed the above findings and showed that the improvement in adherence was 19.8 % (95 % CI 10.7–28.9 %) among patients receiving EM-feedback, almost double the improvement in adherence for studies that did not include this type of feedback [10.3 % (95 % CI 7.5–13.1 %)] (p &lt; 0.01). The improvement in adherence was 16.1 % (95 % CI 10.7–21.6 %) in studies that tested cognitive-educational components versus 10.1 % (95 % CI 6.6–13.6 %) in studies that did not include this type of intervention (p = 0.04). Among 57 studies measuring clinical outcomes, only 8 reported a significant improvement in clinical outcome.\n\nLimitations\nDespite a common measurement, the meta-analysis was limited by the heterogeneity of the pooled data and the different measures of medication adherence. The funnel plot showed a possible publication bias in studies with high variability of the intervention effect.\n\nConclusions\nNotwithstanding the statistical heterogeneity among the studies identified, and potential publication bias, the evidence from our meta-analysis suggests that EM-feedback and cognitive-educational interventions are potentially effective approaches to enhance patient adherence to medications. The limitations of this research highlight the urgent need to define guidelines and study characteristics for research protocols that can guide researchers in designing studies to assess the effects of adherence-enhancing interventions.\n\nElectronic supplementary material\nThe online version of this article (doi:10.1007/s40265-013-0041-3) contains supplementary material, which is available to authorized users.","DOI":"10.1007/s40265-013-0041-3","ISSN":"0012-6667","note":"PMID: 23588595\nPMCID: PMC3647098","shortTitle":"Identification and Assessment of Adherence-Enhancing Interventions in Studies Assessing Medication Adherence Through Electronically Compiled Drug Dosing Histories","journalAbbreviation":"Drugs","author":[{"family":"Demonceau","given":"Jenny"},{"family":"Ruppar","given":"Todd"},{"family":"Kristanto","given":"Paulus"},{"family":"Hughes","given":"Dyfrig A."},{"family":"Fargher","given":"Emily"},{"family":"Kardas","given":"Przemyslaw"},{"family":"De Geest","given":"Sabina"},{"family":"Dobbels","given":"Fabienne"},{"family":"Lewek","given":"Pawel"},{"family":"Urquhart","given":"John"},{"family":"Vrijens","given":"Bernard"}],"issued":{"date-parts":[["2013",5]]},"PMID":"23588595","PMCID":"PMC3647098"}}],"schema":"https://github.com/citation-style-language/schema/raw/master/csl-citation.json"} </w:instrText>
      </w:r>
      <w:r w:rsidR="008C4B30" w:rsidRPr="00D72D39">
        <w:rPr>
          <w:sz w:val="20"/>
          <w:szCs w:val="20"/>
        </w:rPr>
        <w:fldChar w:fldCharType="separate"/>
      </w:r>
      <w:r w:rsidRPr="00D72D39">
        <w:rPr>
          <w:sz w:val="20"/>
          <w:szCs w:val="20"/>
        </w:rPr>
        <w:t>[23]</w:t>
      </w:r>
      <w:r w:rsidR="008C4B30" w:rsidRPr="00D72D39">
        <w:rPr>
          <w:sz w:val="20"/>
          <w:szCs w:val="20"/>
        </w:rPr>
        <w:fldChar w:fldCharType="end"/>
      </w:r>
      <w:r w:rsidRPr="00D72D39">
        <w:rPr>
          <w:sz w:val="20"/>
          <w:szCs w:val="20"/>
        </w:rPr>
        <w:t xml:space="preserve">. De même, </w:t>
      </w:r>
      <w:proofErr w:type="spellStart"/>
      <w:r w:rsidRPr="00D72D39">
        <w:rPr>
          <w:sz w:val="20"/>
          <w:szCs w:val="20"/>
        </w:rPr>
        <w:t>Menghani</w:t>
      </w:r>
      <w:proofErr w:type="spellEnd"/>
      <w:r w:rsidRPr="00D72D39">
        <w:rPr>
          <w:sz w:val="20"/>
          <w:szCs w:val="20"/>
        </w:rPr>
        <w:t xml:space="preserve"> et al aux Etats-Unis en 2015, dans une étude prospective qui comparaient l’observance analgésique entre les noirs et les blancs. Ils avaient un taux d'observance qui allait de 34% à 63% </w:t>
      </w:r>
      <w:r w:rsidR="008C4B30" w:rsidRPr="00D72D39">
        <w:rPr>
          <w:sz w:val="20"/>
          <w:szCs w:val="20"/>
        </w:rPr>
        <w:fldChar w:fldCharType="begin"/>
      </w:r>
      <w:r w:rsidRPr="00D72D39">
        <w:rPr>
          <w:sz w:val="20"/>
          <w:szCs w:val="20"/>
        </w:rPr>
        <w:instrText xml:space="preserve"> ADDIN ZOTERO_ITEM CSL_CITATION {"citationID":"rysoWWI0","properties":{"formattedCitation":"[137]","plainCitation":"[137]"},"citationItems":[{"id":1313,"uris":["http://zotero.org/users/2746557/items/APNAXNZ7"],"uri":["http://zotero.org/users/2746557/items/APNAXNZ7"],"itemData":{"id":1313,"type":"article-journal","title":"Adherence to Analgesics for Cancer Pain: A Comparative Study of African Americans and Whites Using an Electronic Monitoring Device","container-title":"The Journal of Pain","page":"825-835","volume":"16","issue":"9","source":"www.jpain.org","abstract":"Despite well-documented disparities in cancer pain outcomes among African Americans, surprisingly little research exists on adherence to analgesia for cancer pain in this group. We compared analgesic adherence for cancer-related pain over a 3-month period between African Americans and whites using the Medication Event Monitoring System (MEMS). Patients (N = 207) were recruited from outpatient medical oncology clinics of an academic medical center in Philadelphia (≥18 years of age, diagnosed with solid tumors or multiple myeloma, with cancer-related pain, and at least 1 prescription of oral around-the-clock analgesic). African Americans reported significantly greater cancer pain (P &lt; .001), were less likely than whites to have a prescription of long-acting opioids (P &lt; .001), and were more likely to have a negative Pain Management Index (P &lt; .001). There were considerable differences between African Americans and whites in the overall MEMS dose adherence, ie, percentage of the total number of prescribed doses that were taken (53% vs 74%, P &lt; .001). On subanalysis, analgesic adherence rates for African Americans ranged from 34% (for weak opioids) to 63% (for long-acting opioids). Unique predictors of analgesic adherence varied by race; income levels, analgesic side effects, and fear of distracting providers predicted analgesic adherence for African Americans but not for whites.\nPerspective\nDespite evidence of disparities in cancer pain outcomes among African Americans, surprisingly little research exists on African Americans' adherence to analgesia for cancer pain. This prospective study uses objective measures to compare adherence to prescribed pain medications between African American and white patients with cancer pain.","DOI":"10.1016/j.jpain.2015.05.009","ISSN":"1526-5900, 1528-8447","shortTitle":"Adherence to Analgesics for Cancer Pain","journalAbbreviation":"The Journal of Pain","language":"English","author":[{"family":"Meghani","given":"Salimah H."},{"family":"Thompson","given":"Aleda M. L."},{"family":"Chittams","given":"Jesse"},{"family":"Bruner","given":"Deborah W."},{"family":"Riegel","given":"Barbara"}],"issued":{"date-parts":[["2015",9,1]]}}}],"schema":"https://github.com/citation-style-language/schema/raw/master/csl-citation.json"} </w:instrText>
      </w:r>
      <w:r w:rsidR="008C4B30" w:rsidRPr="00D72D39">
        <w:rPr>
          <w:sz w:val="20"/>
          <w:szCs w:val="20"/>
        </w:rPr>
        <w:fldChar w:fldCharType="separate"/>
      </w:r>
      <w:r w:rsidRPr="00D72D39">
        <w:rPr>
          <w:sz w:val="20"/>
          <w:szCs w:val="20"/>
        </w:rPr>
        <w:t>[24]</w:t>
      </w:r>
      <w:r w:rsidR="008C4B30" w:rsidRPr="00D72D39">
        <w:rPr>
          <w:sz w:val="20"/>
          <w:szCs w:val="20"/>
        </w:rPr>
        <w:fldChar w:fldCharType="end"/>
      </w:r>
      <w:r w:rsidRPr="00D72D39">
        <w:rPr>
          <w:sz w:val="20"/>
          <w:szCs w:val="20"/>
        </w:rPr>
        <w:t xml:space="preserve">. On notait une diminution progressive de l’intensité de la douleur. Ceci était lié à l’efficacité des protocoles choisis par les praticiens. </w:t>
      </w:r>
      <w:r w:rsidRPr="00D72D39">
        <w:rPr>
          <w:bCs/>
          <w:sz w:val="20"/>
          <w:szCs w:val="20"/>
        </w:rPr>
        <w:t xml:space="preserve">La satisfaction des patients était de </w:t>
      </w:r>
      <w:r w:rsidRPr="00D72D39">
        <w:rPr>
          <w:sz w:val="20"/>
          <w:szCs w:val="20"/>
        </w:rPr>
        <w:t xml:space="preserve">97,2% </w:t>
      </w:r>
      <w:r w:rsidRPr="00D72D39">
        <w:rPr>
          <w:bCs/>
          <w:sz w:val="20"/>
          <w:szCs w:val="20"/>
        </w:rPr>
        <w:t xml:space="preserve">au troisième rendez-vous. Cette forte satisfaction était également </w:t>
      </w:r>
      <w:r w:rsidRPr="00D72D39">
        <w:rPr>
          <w:bCs/>
          <w:sz w:val="20"/>
          <w:szCs w:val="20"/>
        </w:rPr>
        <w:lastRenderedPageBreak/>
        <w:t>retrouvée dans d’autres études dans la littérature internationale.</w:t>
      </w:r>
      <w:r w:rsidRPr="00D72D39">
        <w:rPr>
          <w:sz w:val="20"/>
          <w:szCs w:val="20"/>
        </w:rPr>
        <w:t xml:space="preserve"> Lim et al en 2015 qui retrouvaient en Corée du sud, un taux de satisfaction à 79,5% </w:t>
      </w:r>
      <w:r w:rsidR="008C4B30" w:rsidRPr="00D72D39">
        <w:rPr>
          <w:sz w:val="20"/>
          <w:szCs w:val="20"/>
        </w:rPr>
        <w:fldChar w:fldCharType="begin"/>
      </w:r>
      <w:r w:rsidRPr="00D72D39">
        <w:rPr>
          <w:sz w:val="20"/>
          <w:szCs w:val="20"/>
        </w:rPr>
        <w:instrText xml:space="preserve"> ADDIN ZOTERO_ITEM CSL_CITATION {"citationID":"kKexPpD8","properties":{"formattedCitation":"[138]","plainCitation":"[138]"},"citationItems":[{"id":1274,"uris":["http://zotero.org/users/2746557/items/JJQZ35DC"],"uri":["http://zotero.org/users/2746557/items/JJQZ35DC"],"itemData":{"id":1274,"type":"article-journal","title":"A satisfaction survey on cancer pain management using a self-reporting pain assessment tool","container-title":"Journal of Palliative Medicine","page":"225-231","volume":"18","issue":"3","source":"PubMed","abstract":"BACKGROUND: Pain is one of the most common and distressing symptoms in patients with cancer, with a high prevalence of 90%. Appropriate pain assessment is very important in managing cancer pain.\nOBJECTIVE: The aims of this study were to (1) evaluate patient satisfaction with pain control therapy using a self-reporting pain assessment tool, (2) explore the usefulness of a self-reporting assessment tool for patients and physicians, and (3) evaluate patient perception of pain management and opioid analgesics.\nMETHODS: We enrolled a total of 587 South Korean adult cancer patients hospitalized for five days or more. Pain assessment using a self-reporting pain assessment tool was performed by patients themselves from Day 1 to Day 5. The average pain intensity on a numeric rating scale (NRS) and the frequency of breakthrough pain between Day 1 and Day 5 were recorded with a self-reporting pain assessment tool. We evaluated patient satisfaction with pain control and the usefulness of a self-reporting pain assessment tool for patients and physicians on Day 5.\nRESULTS: Among the 587 enrolled patients, 551, excluding 36 patients who violated inclusion criteria, were analyzed. The pain satisfaction rate was 79.5%, and only 6.2% of assessed patients had a negative pain management index (PMI). However, symmetry analysis for pain intensity between patient and physician showed low agreement (kappa=0.21). The patients with dissatisfaction for cancer pain control expressed negative attitudes toward using opioid analgesics and misconceptions regarding pain management. The satisfaction for using a self-reporting pain assessment tool was 79.2% in patients and 86.4% in physicians, respectively.\nCONCLUSION: The use of a self-reporting pain assessment tool as a communication instrument provides an effective foundation for evaluating pain intensity in cancer pain management. A more individualized approach to patient education about pain management may improve patient outcome.","DOI":"10.1089/jpm.2014.0021","ISSN":"1557-7740","note":"PMID: 25650504","journalAbbreviation":"J Palliat Med","language":"eng","author":[{"family":"Lim","given":"Sung-Nam"},{"family":"Han","given":"Hye-Sook"},{"family":"Lee","given":"Ki-Hyeung"},{"family":"Lee","given":"Sang-Cheol"},{"family":"Kim","given":"JungHan"},{"family":"Yun","given":"JiNa"},{"family":"Park","given":"SongGon"},{"family":"Park","given":"MinJae"},{"family":"Choe","given":"YoonHee"},{"family":"Ryoo","given":"Hun-Mo"},{"family":"Lee","given":"KyungHee"},{"family":"Cho","given":"DoYeun"},{"family":"Zang","given":"Dae Young"},{"family":"Choi","given":"JinHo"}],"issued":{"date-parts":[["2015",3]]},"PMID":"25650504"}}],"schema":"https://github.com/citation-style-language/schema/raw/master/csl-citation.json"} </w:instrText>
      </w:r>
      <w:r w:rsidR="008C4B30" w:rsidRPr="00D72D39">
        <w:rPr>
          <w:sz w:val="20"/>
          <w:szCs w:val="20"/>
        </w:rPr>
        <w:fldChar w:fldCharType="separate"/>
      </w:r>
      <w:r w:rsidRPr="00D72D39">
        <w:rPr>
          <w:sz w:val="20"/>
          <w:szCs w:val="20"/>
        </w:rPr>
        <w:t>[25]</w:t>
      </w:r>
      <w:r w:rsidR="008C4B30" w:rsidRPr="00D72D39">
        <w:rPr>
          <w:sz w:val="20"/>
          <w:szCs w:val="20"/>
        </w:rPr>
        <w:fldChar w:fldCharType="end"/>
      </w:r>
      <w:r w:rsidRPr="00D72D39">
        <w:rPr>
          <w:sz w:val="20"/>
          <w:szCs w:val="20"/>
        </w:rPr>
        <w:t xml:space="preserve">. Kim et al en Corée du sud en 2013, retrouvaient une satisfaction de 82% </w:t>
      </w:r>
      <w:r w:rsidR="008C4B30" w:rsidRPr="00D72D39">
        <w:rPr>
          <w:sz w:val="20"/>
          <w:szCs w:val="20"/>
        </w:rPr>
        <w:fldChar w:fldCharType="begin"/>
      </w:r>
      <w:r w:rsidRPr="00D72D39">
        <w:rPr>
          <w:sz w:val="20"/>
          <w:szCs w:val="20"/>
        </w:rPr>
        <w:instrText xml:space="preserve"> ADDIN ZOTERO_ITEM CSL_CITATION {"citationID":"hwaqlNsv","properties":{"formattedCitation":"[143]","plainCitation":"[143]","dontUpdate":true},"citationItems":[{"id":1267,"uris":["http://zotero.org/users/2746557/items/FX4U57JI"],"uri":["http://zotero.org/users/2746557/items/FX4U57JI"],"itemData":{"id":1267,"type":"article-journal","title":"The Effectiveness of a Self-Reporting Bedside Pain Assessment Tool for Oncology Inpatients","container-title":"Journal of Palliative Medicine","page":"1222-1233","volume":"15","issue":"11","source":"PubMed Central","abstract":"Background\nPain is common during cancer treatment, and patient self-reporting of pain is an essential first step for ideal cancer pain management. However, many studies on cancer pain management report that, because pain may be underestimated, it is often inadequately managed.\n\nObjective\nThe aim of this study was to evaluate the effectiveness of bedside self-assessment of pain intensity for inpatients using a self-reporting pain board.\n\nMethods\nFifty consecutive inpatients admitted to the Oncology Department of Chungbuk National University Hospital were included in this observational prospective study from February 2011 to December 2011. The medical staff performed pain assessments by asking patients questions and using verbal rated scales (VRS) over 3 consecutive days. Then, for 3 additional days, patients used a self-reporting pain board attached to the bed, which had movable indicators representing 0–10 on a numeric rating scale (NRS) and the frequency of breakthrough pain.\n\nResults\nPatient reliability over the medical staff's pain assessment increased from 74% to 96% after applying the self-reporting pain board (p=0.004). The gap (mean±standard deviation [SD]) between the NRS reported by patients and the NRS recorded on the medical records decreased from 3.16±2.08 to 1.00±1.02 (p&lt;0.001), and the level of patient satisfaction with pain management increased from 54% to 82% (p=0.002).\n\nConclusion\nThis study suggests that the self-reporting bedside pain assessment tool provides a reliable and effective means of assessing pain in oncology inpatients.","DOI":"10.1089/jpm.2012.0183","ISSN":"1096-6218","note":"PMID: 22974435\nPMCID: PMC3482846","journalAbbreviation":"J Palliat Med","author":[{"family":"Kim","given":"Eun Bi"},{"family":"Han","given":"Hye-Suk"},{"family":"Chung","given":"Jung Hwa"},{"family":"Park","given":"Bo Ram"},{"family":"Lim","given":"Sung-nam"},{"family":"Yim","given":"Kyoung Hoon"},{"family":"Shin","given":"Young Duck"},{"family":"Lee","given":"Ki Hyeong"},{"family":"Kim","given":"Wun-Jae"},{"family":"Kim","given":"Seung Taik"}],"issued":{"date-parts":[["2012",11]]},"PMID":"22974435","PMCID":"PMC3482846"}}],"schema":"https://github.com/citation-style-language/schema/raw/master/csl-citation.json"} </w:instrText>
      </w:r>
      <w:r w:rsidR="008C4B30" w:rsidRPr="00D72D39">
        <w:rPr>
          <w:sz w:val="20"/>
          <w:szCs w:val="20"/>
        </w:rPr>
        <w:fldChar w:fldCharType="separate"/>
      </w:r>
      <w:r w:rsidRPr="00D72D39">
        <w:rPr>
          <w:sz w:val="20"/>
          <w:szCs w:val="20"/>
        </w:rPr>
        <w:t>[26]</w:t>
      </w:r>
      <w:r w:rsidR="008C4B30" w:rsidRPr="00D72D39">
        <w:rPr>
          <w:sz w:val="20"/>
          <w:szCs w:val="20"/>
        </w:rPr>
        <w:fldChar w:fldCharType="end"/>
      </w:r>
      <w:r w:rsidRPr="00D72D39">
        <w:rPr>
          <w:sz w:val="20"/>
          <w:szCs w:val="20"/>
        </w:rPr>
        <w:t xml:space="preserve">. </w:t>
      </w:r>
      <w:proofErr w:type="spellStart"/>
      <w:r w:rsidRPr="00D72D39">
        <w:rPr>
          <w:sz w:val="20"/>
          <w:szCs w:val="20"/>
        </w:rPr>
        <w:t>Amazian</w:t>
      </w:r>
      <w:proofErr w:type="spellEnd"/>
      <w:r w:rsidRPr="00D72D39">
        <w:rPr>
          <w:sz w:val="20"/>
          <w:szCs w:val="20"/>
        </w:rPr>
        <w:t xml:space="preserve"> et al au Maroc en 2015, retrouvaient une satisfaction de 87,1% </w:t>
      </w:r>
      <w:r w:rsidR="008C4B30" w:rsidRPr="00D72D39">
        <w:rPr>
          <w:sz w:val="20"/>
          <w:szCs w:val="20"/>
        </w:rPr>
        <w:fldChar w:fldCharType="begin"/>
      </w:r>
      <w:r w:rsidRPr="00D72D39">
        <w:rPr>
          <w:sz w:val="20"/>
          <w:szCs w:val="20"/>
        </w:rPr>
        <w:instrText xml:space="preserve"> ADDIN ZOTERO_ITEM CSL_CITATION {"citationID":"zJHyuEXa","properties":{"formattedCitation":"[141]","plainCitation":"[141]"},"citationItems":[{"id":1290,"uris":["http://zotero.org/users/2746557/items/3VUU5DF2"],"uri":["http://zotero.org/users/2746557/items/3VUU5DF2"],"itemData":{"id":1290,"type":"article-journal","title":"[Cancer patient satisfaction survey in a Moroccan university hospital]","container-title":"Santé Publique (Vandoeuvre-Lès-Nancy, France)","page":"627-632","volume":"25","issue":"5","source":"PubMed","abstract":"OBJECTIVES: Assessment of patient satisfaction helps to guide hospital strategies concerning optimal patient management. The objective of this study was to evaluate the satisfaction of cancer patients hospitalised at Fez university hospital, to study the various components of satisfaction and to integrate the patient in quality of care improvement policies.\nMETHODS: A prospective study was conducted in two voluntary wards of the hospital. An anonymous standardized questionnaire was administered to patients hospitalised for cancer surgery or treatment.\nRESULTS: 87.1% of patients reported that they were very satisfied with their hospitalisation, while 12.9% rated their stay as acceptable. 98.4% would recommend the hospital to their relatives. In contrast, 67.2% of patients surveyed considered that the cost of their stay was too expensive.\nCONCLUSION: The majority of items were declared as \"Very satisfactory\" by the patients. They represent a challenge to be maintained in the future: ward reception, comfortable accommodation, the behaviour and availability of staff, the doctor-patient relationship, respect for patient, the explanations provided concerning the health problem and treatment, psychological support and pain management. For items reported to be less satisfactory, recommendations should be implemented concerning the admissions office, administrative formalities on admission, the information provided at the time of discharge, quality of meals, development of nursing skills and dietary advice.","ISSN":"0995-3914","note":"PMID: 24418425","journalAbbreviation":"Sante Publique","language":"fre","author":[{"family":"Amazian","given":"Kamelia"},{"family":"Toughrai","given":"Imane"},{"family":"Benmansour","given":"Najib"},{"family":"Ait Laalim","given":"Said"},{"family":"El Amine El Alami","given":"Mohamed"},{"family":"Mazaz","given":"Khalid"}],"issued":{"date-parts":[["2013",10]]},"PMID":"24418425"}}],"schema":"https://github.com/citation-style-language/schema/raw/master/csl-citation.json"} </w:instrText>
      </w:r>
      <w:r w:rsidR="008C4B30" w:rsidRPr="00D72D39">
        <w:rPr>
          <w:sz w:val="20"/>
          <w:szCs w:val="20"/>
        </w:rPr>
        <w:fldChar w:fldCharType="separate"/>
      </w:r>
      <w:r w:rsidRPr="00D72D39">
        <w:rPr>
          <w:sz w:val="20"/>
          <w:szCs w:val="20"/>
        </w:rPr>
        <w:t>[27]</w:t>
      </w:r>
      <w:r w:rsidR="008C4B30" w:rsidRPr="00D72D39">
        <w:rPr>
          <w:sz w:val="20"/>
          <w:szCs w:val="20"/>
        </w:rPr>
        <w:fldChar w:fldCharType="end"/>
      </w:r>
      <w:r w:rsidRPr="00D72D39">
        <w:rPr>
          <w:sz w:val="20"/>
          <w:szCs w:val="20"/>
        </w:rPr>
        <w:t xml:space="preserve">. </w:t>
      </w:r>
      <w:proofErr w:type="spellStart"/>
      <w:r w:rsidRPr="00D72D39">
        <w:rPr>
          <w:sz w:val="20"/>
          <w:szCs w:val="20"/>
        </w:rPr>
        <w:t>Noguera</w:t>
      </w:r>
      <w:proofErr w:type="spellEnd"/>
      <w:r w:rsidRPr="00D72D39">
        <w:rPr>
          <w:sz w:val="20"/>
          <w:szCs w:val="20"/>
        </w:rPr>
        <w:t xml:space="preserve"> et al en Espagne en 2013, retrouvaient 87% </w:t>
      </w:r>
      <w:r w:rsidR="008C4B30" w:rsidRPr="00D72D39">
        <w:rPr>
          <w:sz w:val="20"/>
          <w:szCs w:val="20"/>
        </w:rPr>
        <w:fldChar w:fldCharType="begin"/>
      </w:r>
      <w:r w:rsidRPr="00D72D39">
        <w:rPr>
          <w:sz w:val="20"/>
          <w:szCs w:val="20"/>
        </w:rPr>
        <w:instrText xml:space="preserve"> ADDIN ZOTERO_ITEM CSL_CITATION {"citationID":"nNpgsNHI","properties":{"formattedCitation":"[142]","plainCitation":"[142]"},"citationItems":[{"id":1292,"uris":["http://zotero.org/users/2746557/items/HWXN76UQ"],"uri":["http://zotero.org/users/2746557/items/HWXN76UQ"],"itemData":{"id":1292,"type":"article-journal","title":"Decisional control preferences, disclosure of information preferences, and satisfaction among Hispanic patients with advanced cancer","container-title":"Journal of Pain and Symptom Management","page":"896-905","volume":"47","issue":"5","source":"PubMed","abstract":"CONTEXT: Studies to determine the decisional control preferences (DCPs) in Hispanic patients receiving palliative care are limited.\nOBJECTIVES: The aims of this study were to describe DCPs, disclosure of information, and satisfaction with decision making among Hispanics and to determine the degree of concordance between patients' DCPs and their self-reported decisions.\nMETHODS: We surveyed 387 cancer patients referred to outpatient palliative care clinics in Argentina, Chile, Guatemala, and the U.S. DCPs were measured with the Control Preference Scale, disclosure preferences with the Disclosure of Information Preferences questionnaire, and satisfaction with care with the Satisfaction with Decision Scale.\nRESULTS: In this study, 182 patients (47.6%) preferred shared decisional control, 119 (31.2%) preferred active decisional control, and 81 (21.2%) preferred a passive approach. Concerning their diagnosis and prognosis, 345 (92%) patients wanted to know their diagnosis, and 355 (94%) wanted to know their prognosis. Three hundred thirty-seven (87%) patients were satisfied with the decision-making process. DCPs were concordant with the self-reported decision-making process in 264 (69%) patients (weighted kappa = 0.55). Patients' greater satisfaction with the decision-making process was correlated with older age (P ≤ 0.001) and with a preference for enhanced diagnostic disclosure (P ≤ 0.024). Satisfaction did not correlate with concordance in the decision-making process.\nCONCLUSION: The vast majority preferred a shared or active decision-making process and wanted information about their diagnosis and prognosis. Older patients and those who wanted to know their diagnosis seemed to be more satisfied with the way treatment decisions were made.","DOI":"10.1016/j.jpainsymman.2013.06.010","ISSN":"1873-6513","note":"PMID: 24035071","journalAbbreviation":"J Pain Symptom Manage","language":"eng","author":[{"family":"Noguera","given":"Antonio"},{"family":"Yennurajalingam","given":"Sriram"},{"family":"Torres-Vigil","given":"Isabel"},{"family":"Parsons","given":"Henrique Afonseca"},{"family":"Duarte","given":"Eva Rosina"},{"family":"Palma","given":"Alejandra"},{"family":"Bunge","given":"Sofia"},{"family":"Palmer","given":"J. Lynn"},{"family":"Bruera","given":"Eduardo"}],"issued":{"date-parts":[["2014",5]]},"PMID":"24035071"}}],"schema":"https://github.com/citation-style-language/schema/raw/master/csl-citation.json"} </w:instrText>
      </w:r>
      <w:r w:rsidR="008C4B30" w:rsidRPr="00D72D39">
        <w:rPr>
          <w:sz w:val="20"/>
          <w:szCs w:val="20"/>
        </w:rPr>
        <w:fldChar w:fldCharType="separate"/>
      </w:r>
      <w:r w:rsidRPr="00D72D39">
        <w:rPr>
          <w:sz w:val="20"/>
          <w:szCs w:val="20"/>
        </w:rPr>
        <w:t>[28]</w:t>
      </w:r>
      <w:r w:rsidR="008C4B30" w:rsidRPr="00D72D39">
        <w:rPr>
          <w:sz w:val="20"/>
          <w:szCs w:val="20"/>
        </w:rPr>
        <w:fldChar w:fldCharType="end"/>
      </w:r>
      <w:r w:rsidRPr="00D72D39">
        <w:rPr>
          <w:sz w:val="20"/>
          <w:szCs w:val="20"/>
        </w:rPr>
        <w:t xml:space="preserve">. </w:t>
      </w:r>
      <w:proofErr w:type="spellStart"/>
      <w:r w:rsidRPr="00D72D39">
        <w:rPr>
          <w:sz w:val="20"/>
          <w:szCs w:val="20"/>
        </w:rPr>
        <w:t>Rau</w:t>
      </w:r>
      <w:proofErr w:type="spellEnd"/>
      <w:r w:rsidRPr="00D72D39">
        <w:rPr>
          <w:sz w:val="20"/>
          <w:szCs w:val="20"/>
        </w:rPr>
        <w:t xml:space="preserve"> et al en Thaïlande en 2015, retrouvaient 80% </w:t>
      </w:r>
      <w:r w:rsidR="008C4B30" w:rsidRPr="00D72D39">
        <w:rPr>
          <w:sz w:val="20"/>
          <w:szCs w:val="20"/>
        </w:rPr>
        <w:fldChar w:fldCharType="begin"/>
      </w:r>
      <w:r w:rsidRPr="00D72D39">
        <w:rPr>
          <w:sz w:val="20"/>
          <w:szCs w:val="20"/>
        </w:rPr>
        <w:instrText xml:space="preserve"> ADDIN ZOTERO_ITEM CSL_CITATION {"citationID":"xY67VRiE","properties":{"formattedCitation":"[143]","plainCitation":"[143]"},"citationItems":[{"id":1276,"uris":["http://zotero.org/users/2746557/items/4KE7BG6P"],"uri":["http://zotero.org/users/2746557/items/4KE7BG6P"],"itemData":{"id":1276,"type":"article-journal","title":"The impact of pain control on physical and psychiatric functions of cancer patients: a nation-wide survey in Taiwan","container-title":"Japanese Journal of Clinical Oncology","page":"1042-1049","volume":"45","issue":"11","source":"PubMed Central","abstract":"Objective\nTo investigate the prevalence of pain in cancer patients at different disease statuses, the impact of pain on physical and psychiatric functions of patients and the satisfaction of pain control of patients at outpatient clinic department in Taiwan.\n\nMethods\nShort form of the Brief Pain Inventory was used as the outcome questionnaire. Unselected patients of different cancers and different disease statuses at outpatient clinic department were included. The impacts of their current pain control on physical function, psychiatric function and the satisfaction of doctors were evaluated. Logistic regression analyses were performed to evaluate whether the interference scale performed identically in the different analgesic ladders. The dependent variables were satisfaction toward physician and treatment.\n\nResults\nA total of 14 sites enrolled 2075 patients in the study. One thousand and fifty-one patients reported pain within the last 1 week. In patients whose diseases deteriorated, &gt;60% of them need analgesics for pain control. Pain influenced physical and psychiatric functions of patients, especially in the deteriorated status. More than 80% of patients were satisfied about current pain control, satisfaction rate related to disease status, pain intensities and treatments for pain.\n\nConclusion\nOur study found that different cancers at different statuses had pain at variable severity. Pain can influence physical and psychological functions significantly. More than 75% of subjects reported satisfaction over physician and pain management in outpatient clinic department patients with cancer pain in Taiwan.","DOI":"10.1093/jjco/hyv124","ISSN":"0368-2811","note":"PMID: 26292698\nPMCID: PMC4622168","shortTitle":"The impact of pain control on physical and psychiatric functions of cancer patients","journalAbbreviation":"Jpn J Clin Oncol","author":[{"family":"Rau","given":"Kun-Ming"},{"family":"Chen","given":"Jen-Shi"},{"family":"Wu","given":"Hung-Bo"},{"family":"Lin","given":"Sheng-Fung"},{"family":"Lai","given":"Ming-Kuen"},{"family":"Chow","given":"Jyh-Ming"},{"family":"Huang","given":"Ming-Lih"},{"family":"Wang","given":"Cyuan-Jheng"},{"family":"Tai","given":"Cheng-Jeng"},{"family":"Hwang","given":"Wen-Li"},{"family":"Lu","given":"Yin-Che"},{"family":"Chan","given":"Chung-Huang"},{"family":"Hsieh","given":"Ruey Kuen"}],"issued":{"date-parts":[["2015",11]]},"PMID":"26292698","PMCID":"PMC4622168"}}],"schema":"https://github.com/citation-style-language/schema/raw/master/csl-citation.json"} </w:instrText>
      </w:r>
      <w:r w:rsidR="008C4B30" w:rsidRPr="00D72D39">
        <w:rPr>
          <w:sz w:val="20"/>
          <w:szCs w:val="20"/>
        </w:rPr>
        <w:fldChar w:fldCharType="separate"/>
      </w:r>
      <w:r w:rsidRPr="00D72D39">
        <w:rPr>
          <w:sz w:val="20"/>
          <w:szCs w:val="20"/>
        </w:rPr>
        <w:t>[29]</w:t>
      </w:r>
      <w:r w:rsidR="008C4B30" w:rsidRPr="00D72D39">
        <w:rPr>
          <w:sz w:val="20"/>
          <w:szCs w:val="20"/>
        </w:rPr>
        <w:fldChar w:fldCharType="end"/>
      </w:r>
      <w:r w:rsidRPr="00D72D39">
        <w:rPr>
          <w:sz w:val="20"/>
          <w:szCs w:val="20"/>
        </w:rPr>
        <w:t>.</w:t>
      </w:r>
    </w:p>
    <w:p w:rsidR="00A5167B" w:rsidRPr="00D72D39" w:rsidRDefault="00A5167B" w:rsidP="00D72D39">
      <w:pPr>
        <w:tabs>
          <w:tab w:val="left" w:pos="2943"/>
        </w:tabs>
        <w:jc w:val="both"/>
        <w:rPr>
          <w:sz w:val="20"/>
          <w:szCs w:val="20"/>
        </w:rPr>
      </w:pPr>
    </w:p>
    <w:p w:rsidR="00577B56" w:rsidRPr="00F814AD" w:rsidRDefault="001723C9" w:rsidP="000B24E4">
      <w:pPr>
        <w:autoSpaceDE w:val="0"/>
        <w:autoSpaceDN w:val="0"/>
        <w:adjustRightInd w:val="0"/>
        <w:jc w:val="both"/>
        <w:rPr>
          <w:b/>
          <w:color w:val="000000"/>
          <w:sz w:val="20"/>
          <w:szCs w:val="20"/>
          <w:lang w:eastAsia="fr-FR"/>
        </w:rPr>
      </w:pPr>
      <w:r w:rsidRPr="00F814AD">
        <w:rPr>
          <w:b/>
          <w:color w:val="000000"/>
          <w:sz w:val="20"/>
          <w:szCs w:val="20"/>
          <w:lang w:eastAsia="fr-FR"/>
        </w:rPr>
        <w:t>CONCLUSION</w:t>
      </w:r>
      <w:r w:rsidR="00577B56" w:rsidRPr="00F814AD">
        <w:rPr>
          <w:b/>
          <w:color w:val="000000"/>
          <w:sz w:val="20"/>
          <w:szCs w:val="20"/>
          <w:lang w:eastAsia="fr-FR"/>
        </w:rPr>
        <w:t> :</w:t>
      </w:r>
    </w:p>
    <w:p w:rsidR="00D72D39" w:rsidRPr="00EC1330" w:rsidRDefault="00D72D39" w:rsidP="00D72D39">
      <w:pPr>
        <w:jc w:val="both"/>
        <w:rPr>
          <w:rFonts w:eastAsia="Calibri"/>
          <w:sz w:val="20"/>
          <w:szCs w:val="20"/>
          <w:lang w:val="en-US" w:eastAsia="en-US"/>
        </w:rPr>
      </w:pPr>
      <w:r w:rsidRPr="00D72D39">
        <w:rPr>
          <w:rFonts w:eastAsia="Calibri"/>
          <w:sz w:val="20"/>
          <w:szCs w:val="20"/>
          <w:lang w:eastAsia="en-US"/>
        </w:rPr>
        <w:t xml:space="preserve">Les pathologies pourvoyeuses de douleur en rhumatologie étaient : l’arthrose et la hernie discale et en oncologie, elles étaient : le cancer du sein et le cancer du col de l’utérus. Les antalgiques les plus utilisés étaient ceux des paliers 1 et 2. Il s’agissait du paracétamol, des anti-inflammatoires non stéroïdiens  et du </w:t>
      </w:r>
      <w:proofErr w:type="spellStart"/>
      <w:r w:rsidRPr="00D72D39">
        <w:rPr>
          <w:rFonts w:eastAsia="Calibri"/>
          <w:sz w:val="20"/>
          <w:szCs w:val="20"/>
          <w:lang w:eastAsia="en-US"/>
        </w:rPr>
        <w:t>tramadol</w:t>
      </w:r>
      <w:proofErr w:type="spellEnd"/>
      <w:r w:rsidRPr="00D72D39">
        <w:rPr>
          <w:rFonts w:eastAsia="Calibri"/>
          <w:sz w:val="20"/>
          <w:szCs w:val="20"/>
          <w:lang w:eastAsia="en-US"/>
        </w:rPr>
        <w:t xml:space="preserve">.  La prise en charge de la douleur chronique est effective, elle fait appel aux antalgiques usuels en fonction de l’intensité de la douleur. </w:t>
      </w:r>
      <w:r w:rsidRPr="00EC1330">
        <w:rPr>
          <w:rFonts w:eastAsia="Calibri"/>
          <w:sz w:val="20"/>
          <w:szCs w:val="20"/>
          <w:lang w:val="en-US" w:eastAsia="en-US"/>
        </w:rPr>
        <w:t>Les co-</w:t>
      </w:r>
      <w:proofErr w:type="spellStart"/>
      <w:r w:rsidRPr="00EC1330">
        <w:rPr>
          <w:rFonts w:eastAsia="Calibri"/>
          <w:sz w:val="20"/>
          <w:szCs w:val="20"/>
          <w:lang w:val="en-US" w:eastAsia="en-US"/>
        </w:rPr>
        <w:t>antalgiques</w:t>
      </w:r>
      <w:proofErr w:type="spellEnd"/>
      <w:r w:rsidRPr="00EC1330">
        <w:rPr>
          <w:rFonts w:eastAsia="Calibri"/>
          <w:sz w:val="20"/>
          <w:szCs w:val="20"/>
          <w:lang w:val="en-US" w:eastAsia="en-US"/>
        </w:rPr>
        <w:t xml:space="preserve"> </w:t>
      </w:r>
      <w:proofErr w:type="spellStart"/>
      <w:r w:rsidRPr="00EC1330">
        <w:rPr>
          <w:rFonts w:eastAsia="Calibri"/>
          <w:sz w:val="20"/>
          <w:szCs w:val="20"/>
          <w:lang w:val="en-US" w:eastAsia="en-US"/>
        </w:rPr>
        <w:t>occupent</w:t>
      </w:r>
      <w:proofErr w:type="spellEnd"/>
      <w:r w:rsidRPr="00EC1330">
        <w:rPr>
          <w:rFonts w:eastAsia="Calibri"/>
          <w:sz w:val="20"/>
          <w:szCs w:val="20"/>
          <w:lang w:val="en-US" w:eastAsia="en-US"/>
        </w:rPr>
        <w:t xml:space="preserve"> </w:t>
      </w:r>
      <w:proofErr w:type="spellStart"/>
      <w:r w:rsidRPr="00EC1330">
        <w:rPr>
          <w:rFonts w:eastAsia="Calibri"/>
          <w:sz w:val="20"/>
          <w:szCs w:val="20"/>
          <w:lang w:val="en-US" w:eastAsia="en-US"/>
        </w:rPr>
        <w:t>une</w:t>
      </w:r>
      <w:proofErr w:type="spellEnd"/>
      <w:r w:rsidRPr="00EC1330">
        <w:rPr>
          <w:rFonts w:eastAsia="Calibri"/>
          <w:sz w:val="20"/>
          <w:szCs w:val="20"/>
          <w:lang w:val="en-US" w:eastAsia="en-US"/>
        </w:rPr>
        <w:t xml:space="preserve"> place non </w:t>
      </w:r>
      <w:proofErr w:type="spellStart"/>
      <w:r w:rsidRPr="00EC1330">
        <w:rPr>
          <w:rFonts w:eastAsia="Calibri"/>
          <w:sz w:val="20"/>
          <w:szCs w:val="20"/>
          <w:lang w:val="en-US" w:eastAsia="en-US"/>
        </w:rPr>
        <w:t>négligeable</w:t>
      </w:r>
      <w:proofErr w:type="spellEnd"/>
      <w:r w:rsidRPr="00EC1330">
        <w:rPr>
          <w:rFonts w:eastAsia="Calibri"/>
          <w:sz w:val="20"/>
          <w:szCs w:val="20"/>
          <w:lang w:val="en-US" w:eastAsia="en-US"/>
        </w:rPr>
        <w:t>.</w:t>
      </w:r>
    </w:p>
    <w:p w:rsidR="009766DD" w:rsidRPr="00EC1330" w:rsidRDefault="009766DD" w:rsidP="00D72D39">
      <w:pPr>
        <w:jc w:val="both"/>
        <w:rPr>
          <w:rFonts w:eastAsia="Calibri"/>
          <w:sz w:val="20"/>
          <w:szCs w:val="20"/>
          <w:lang w:val="en-US" w:eastAsia="en-US"/>
        </w:rPr>
      </w:pPr>
    </w:p>
    <w:p w:rsidR="000B24E4" w:rsidRPr="00EC1330" w:rsidRDefault="000B24E4" w:rsidP="00F814AD">
      <w:pPr>
        <w:rPr>
          <w:sz w:val="20"/>
          <w:szCs w:val="20"/>
          <w:lang w:val="en-US" w:eastAsia="fr-FR"/>
        </w:rPr>
        <w:sectPr w:rsidR="000B24E4" w:rsidRPr="00EC1330" w:rsidSect="00C73C7E">
          <w:type w:val="continuous"/>
          <w:pgSz w:w="11906" w:h="16838" w:code="9"/>
          <w:pgMar w:top="1134" w:right="851" w:bottom="1418" w:left="1134" w:header="708" w:footer="708" w:gutter="0"/>
          <w:cols w:num="2" w:space="708"/>
          <w:docGrid w:linePitch="360"/>
        </w:sectPr>
      </w:pPr>
    </w:p>
    <w:p w:rsidR="00F123A3" w:rsidRPr="00EC1330" w:rsidRDefault="00F123A3" w:rsidP="00F814AD">
      <w:pPr>
        <w:rPr>
          <w:b/>
          <w:sz w:val="20"/>
          <w:szCs w:val="20"/>
          <w:lang w:val="en-US"/>
        </w:rPr>
      </w:pPr>
    </w:p>
    <w:p w:rsidR="007035C8" w:rsidRPr="00EC1330" w:rsidRDefault="001723C9" w:rsidP="00F814AD">
      <w:pPr>
        <w:rPr>
          <w:b/>
          <w:sz w:val="20"/>
          <w:szCs w:val="20"/>
          <w:lang w:val="en-US"/>
        </w:rPr>
      </w:pPr>
      <w:r w:rsidRPr="00EC1330">
        <w:rPr>
          <w:b/>
          <w:sz w:val="20"/>
          <w:szCs w:val="20"/>
          <w:lang w:val="en-US"/>
        </w:rPr>
        <w:t>REFERENCES</w:t>
      </w:r>
      <w:r w:rsidR="00577B56" w:rsidRPr="00EC1330">
        <w:rPr>
          <w:b/>
          <w:sz w:val="20"/>
          <w:szCs w:val="20"/>
          <w:lang w:val="en-US"/>
        </w:rPr>
        <w:t>:</w:t>
      </w:r>
    </w:p>
    <w:p w:rsidR="00D72D39" w:rsidRPr="00EC1330" w:rsidRDefault="00D72D39" w:rsidP="00D72D39">
      <w:pPr>
        <w:jc w:val="both"/>
        <w:rPr>
          <w:b/>
          <w:sz w:val="20"/>
          <w:szCs w:val="20"/>
          <w:lang w:val="en-US"/>
        </w:rPr>
      </w:pPr>
    </w:p>
    <w:p w:rsidR="00D72D39" w:rsidRPr="00D72D39" w:rsidRDefault="008C4B30" w:rsidP="00D72D39">
      <w:pPr>
        <w:jc w:val="both"/>
        <w:rPr>
          <w:sz w:val="20"/>
          <w:szCs w:val="20"/>
          <w:lang w:val="en-US"/>
        </w:rPr>
      </w:pPr>
      <w:r w:rsidRPr="00D72D39">
        <w:rPr>
          <w:sz w:val="20"/>
          <w:szCs w:val="20"/>
        </w:rPr>
        <w:fldChar w:fldCharType="begin"/>
      </w:r>
      <w:r w:rsidR="00D72D39" w:rsidRPr="00D72D39">
        <w:rPr>
          <w:sz w:val="20"/>
          <w:szCs w:val="20"/>
          <w:lang w:val="en-US"/>
        </w:rPr>
        <w:instrText xml:space="preserve"> ADDIN ZOTERO_BIBL {"custom":[]} CSL_BIBLIOGRAPHY </w:instrText>
      </w:r>
      <w:r w:rsidRPr="00D72D39">
        <w:rPr>
          <w:sz w:val="20"/>
          <w:szCs w:val="20"/>
        </w:rPr>
        <w:fldChar w:fldCharType="separate"/>
      </w:r>
      <w:r w:rsidR="00D72D39" w:rsidRPr="00D72D39">
        <w:rPr>
          <w:sz w:val="20"/>
          <w:szCs w:val="20"/>
          <w:lang w:val="en-US"/>
        </w:rPr>
        <w:t xml:space="preserve"> 1. World Health Organization. A new understanding of chronic pain. In: Kaplun A, editor. Health promotion and chronic illness. Discovering a new quality of health. Copenhagen: WHO Regional Publications 1992: 141-226. </w:t>
      </w:r>
    </w:p>
    <w:p w:rsidR="00D72D39" w:rsidRPr="00D72D39" w:rsidRDefault="00D72D39" w:rsidP="00D72D39">
      <w:pPr>
        <w:jc w:val="both"/>
        <w:rPr>
          <w:sz w:val="20"/>
          <w:szCs w:val="20"/>
          <w:lang w:val="en-GB"/>
        </w:rPr>
      </w:pPr>
      <w:r w:rsidRPr="00D72D39">
        <w:rPr>
          <w:sz w:val="20"/>
          <w:szCs w:val="20"/>
          <w:lang w:val="en-US"/>
        </w:rPr>
        <w:t xml:space="preserve">2. Grond S, Zech D, Diefenbach C, Radbruch L, Lehmann KA. Assessment of cancer pain: a prospective evaluation in 2266 cancer patients referred to a pain service. </w:t>
      </w:r>
      <w:r w:rsidRPr="00D72D39">
        <w:rPr>
          <w:sz w:val="20"/>
          <w:szCs w:val="20"/>
          <w:lang w:val="en-GB"/>
        </w:rPr>
        <w:t xml:space="preserve">Pain. 1996;64(1):107–114. </w:t>
      </w:r>
    </w:p>
    <w:p w:rsidR="00D72D39" w:rsidRPr="00D72D39" w:rsidRDefault="00D72D39" w:rsidP="00D72D39">
      <w:pPr>
        <w:jc w:val="both"/>
        <w:rPr>
          <w:sz w:val="20"/>
          <w:szCs w:val="20"/>
          <w:lang w:val="en-GB"/>
        </w:rPr>
      </w:pPr>
      <w:r w:rsidRPr="00D72D39">
        <w:rPr>
          <w:sz w:val="20"/>
          <w:szCs w:val="20"/>
          <w:lang w:val="en-US"/>
        </w:rPr>
        <w:t xml:space="preserve">3. Grond S, Zech D, Diefenbach C, Radbruch L, Lehmann KA. Assessment of cancer pain: a prospective evaluation in 2266 cancer patients referred to a pain service. </w:t>
      </w:r>
      <w:r w:rsidRPr="00D72D39">
        <w:rPr>
          <w:sz w:val="20"/>
          <w:szCs w:val="20"/>
          <w:lang w:val="en-GB"/>
        </w:rPr>
        <w:t xml:space="preserve">Pain. 1996;64(1):107–114. </w:t>
      </w:r>
    </w:p>
    <w:p w:rsidR="00D72D39" w:rsidRPr="00D72D39" w:rsidRDefault="00D72D39" w:rsidP="00D72D39">
      <w:pPr>
        <w:jc w:val="both"/>
        <w:rPr>
          <w:sz w:val="20"/>
          <w:szCs w:val="20"/>
          <w:lang w:val="en-US"/>
        </w:rPr>
      </w:pPr>
      <w:r w:rsidRPr="00D72D39">
        <w:rPr>
          <w:sz w:val="20"/>
          <w:szCs w:val="20"/>
          <w:lang w:val="en-US"/>
        </w:rPr>
        <w:t>4. Helme. R.D., Gibson. S.J. The epidemiology of pain in elderly people. Clin Geriartric Med. 2001;17(3):417</w:t>
      </w:r>
      <w:r w:rsidRPr="00D72D39">
        <w:rPr>
          <w:rFonts w:ascii="Cambria Math" w:hAnsi="Cambria Math" w:cs="Cambria Math"/>
          <w:sz w:val="20"/>
          <w:szCs w:val="20"/>
          <w:lang w:val="en-US"/>
        </w:rPr>
        <w:t>‑</w:t>
      </w:r>
      <w:r w:rsidRPr="00D72D39">
        <w:rPr>
          <w:sz w:val="20"/>
          <w:szCs w:val="20"/>
          <w:lang w:val="en-US"/>
        </w:rPr>
        <w:t xml:space="preserve">31. </w:t>
      </w:r>
    </w:p>
    <w:p w:rsidR="00D72D39" w:rsidRPr="00D72D39" w:rsidRDefault="00D72D39" w:rsidP="00D72D39">
      <w:pPr>
        <w:jc w:val="both"/>
        <w:rPr>
          <w:sz w:val="20"/>
          <w:szCs w:val="20"/>
          <w:lang w:val="en-US"/>
        </w:rPr>
      </w:pPr>
      <w:r w:rsidRPr="00D72D39">
        <w:rPr>
          <w:sz w:val="20"/>
          <w:szCs w:val="20"/>
          <w:lang w:val="en-US"/>
        </w:rPr>
        <w:t xml:space="preserve">5. McBeth J, Jones K. Epidemiology of chronic musculoskeletal pain. Best Pract Res Clin Rheumatol. 2007;21(3):403–425. </w:t>
      </w:r>
    </w:p>
    <w:p w:rsidR="00D72D39" w:rsidRPr="00D72D39" w:rsidRDefault="00D72D39" w:rsidP="00D72D39">
      <w:pPr>
        <w:jc w:val="both"/>
        <w:rPr>
          <w:sz w:val="20"/>
          <w:szCs w:val="20"/>
        </w:rPr>
      </w:pPr>
      <w:r w:rsidRPr="00D72D39">
        <w:rPr>
          <w:sz w:val="20"/>
          <w:szCs w:val="20"/>
          <w:lang w:val="en-US"/>
        </w:rPr>
        <w:t xml:space="preserve">6. Harstall C, Ospina M. How prevalent is chronic pain? </w:t>
      </w:r>
      <w:r w:rsidRPr="00D72D39">
        <w:rPr>
          <w:sz w:val="20"/>
          <w:szCs w:val="20"/>
        </w:rPr>
        <w:t>Pain Clin Updat. 2003;11(2):1</w:t>
      </w:r>
      <w:r w:rsidRPr="00D72D39">
        <w:rPr>
          <w:rFonts w:ascii="Cambria Math" w:hAnsi="Cambria Math" w:cs="Cambria Math"/>
          <w:sz w:val="20"/>
          <w:szCs w:val="20"/>
        </w:rPr>
        <w:t>‑</w:t>
      </w:r>
      <w:r w:rsidRPr="00D72D39">
        <w:rPr>
          <w:sz w:val="20"/>
          <w:szCs w:val="20"/>
        </w:rPr>
        <w:t xml:space="preserve">4. </w:t>
      </w:r>
    </w:p>
    <w:p w:rsidR="00D72D39" w:rsidRPr="00D72D39" w:rsidRDefault="00D72D39" w:rsidP="00D72D39">
      <w:pPr>
        <w:jc w:val="both"/>
        <w:rPr>
          <w:sz w:val="20"/>
          <w:szCs w:val="20"/>
        </w:rPr>
      </w:pPr>
      <w:r w:rsidRPr="00D72D39">
        <w:rPr>
          <w:sz w:val="20"/>
          <w:szCs w:val="20"/>
        </w:rPr>
        <w:t>7. Baene L, Labrèze L. La douleur chronique [Internet]. 2002 [cité 10 déc 2015]. Disponible sur: http://www.caducee.net/DossierSpecialises/algologie/douleur-chronique.asp#</w:t>
      </w:r>
    </w:p>
    <w:p w:rsidR="00D72D39" w:rsidRPr="00D72D39" w:rsidRDefault="00D72D39" w:rsidP="00D72D39">
      <w:pPr>
        <w:jc w:val="both"/>
        <w:rPr>
          <w:sz w:val="20"/>
          <w:szCs w:val="20"/>
        </w:rPr>
      </w:pPr>
      <w:r w:rsidRPr="00D72D39">
        <w:rPr>
          <w:sz w:val="20"/>
          <w:szCs w:val="20"/>
        </w:rPr>
        <w:t>8. Rostaing-Rigattieri S, Guerin J. Douleurs cancéreuses : bonnes pratiques cliniques de prise en charge, gestions des opioïdes forts. Presse Médicale. mars 2014;43(3):252</w:t>
      </w:r>
      <w:r w:rsidRPr="00D72D39">
        <w:rPr>
          <w:rFonts w:ascii="Cambria Math" w:hAnsi="Cambria Math" w:cs="Cambria Math"/>
          <w:sz w:val="20"/>
          <w:szCs w:val="20"/>
        </w:rPr>
        <w:t>‑</w:t>
      </w:r>
      <w:r w:rsidRPr="00D72D39">
        <w:rPr>
          <w:sz w:val="20"/>
          <w:szCs w:val="20"/>
        </w:rPr>
        <w:t xml:space="preserve">62. </w:t>
      </w:r>
    </w:p>
    <w:p w:rsidR="00D72D39" w:rsidRPr="00911CC0" w:rsidRDefault="00D72D39" w:rsidP="00D72D39">
      <w:pPr>
        <w:jc w:val="both"/>
        <w:rPr>
          <w:sz w:val="20"/>
          <w:szCs w:val="20"/>
          <w:lang w:val="en-GB"/>
        </w:rPr>
      </w:pPr>
      <w:r w:rsidRPr="00D72D39">
        <w:rPr>
          <w:sz w:val="20"/>
          <w:szCs w:val="20"/>
        </w:rPr>
        <w:t xml:space="preserve">9. Ngandeu MS, Bitang AM, Sida B, Nko’o S, Juimo AG. Formes topographiques des arthroses des membres vues en rhumatologie à Yaoundé, Cameroun. </w:t>
      </w:r>
      <w:r w:rsidRPr="00D72D39">
        <w:rPr>
          <w:sz w:val="20"/>
          <w:szCs w:val="20"/>
          <w:lang w:val="en-GB"/>
        </w:rPr>
        <w:t>Health Sci Dis [Internet]. 28 sept 2013;10(2).</w:t>
      </w:r>
    </w:p>
    <w:p w:rsidR="00D72D39" w:rsidRPr="00D72D39" w:rsidRDefault="00D72D39" w:rsidP="00D72D39">
      <w:pPr>
        <w:jc w:val="both"/>
        <w:rPr>
          <w:sz w:val="20"/>
          <w:szCs w:val="20"/>
        </w:rPr>
      </w:pPr>
      <w:r w:rsidRPr="00D72D39">
        <w:rPr>
          <w:sz w:val="20"/>
          <w:szCs w:val="20"/>
          <w:lang w:val="en-US"/>
        </w:rPr>
        <w:t xml:space="preserve">10. Doualla MS, LumaN H, Yone EP, Balkissou AD, N BT, Motah M, et al. </w:t>
      </w:r>
      <w:r w:rsidRPr="00D72D39">
        <w:rPr>
          <w:sz w:val="20"/>
          <w:szCs w:val="20"/>
        </w:rPr>
        <w:t>Présentation clinique et radiologique de la lombalgie chronique en consultation hospitalière à Douala- Cameroun. J Afr Imag Médicale. 21 févr 2014;5(2).</w:t>
      </w:r>
    </w:p>
    <w:p w:rsidR="00D72D39" w:rsidRPr="00D72D39" w:rsidRDefault="00D72D39" w:rsidP="00D72D39">
      <w:pPr>
        <w:jc w:val="both"/>
        <w:rPr>
          <w:sz w:val="20"/>
          <w:szCs w:val="20"/>
        </w:rPr>
      </w:pPr>
      <w:r w:rsidRPr="00D72D39">
        <w:rPr>
          <w:sz w:val="20"/>
          <w:szCs w:val="20"/>
        </w:rPr>
        <w:lastRenderedPageBreak/>
        <w:t>11. Doualla Bija F, Ngandeu Singwe, Luma Namme H, Tchaleu Nguekam, Kwedi F, Kemta Lekpa F, et al. Prévalence des douleurs neuropathiques au sein d’une population de lombalgiques chroniques à Douala, Caméroun. Rev Marocaine Rhumatol. 2013;(26):26</w:t>
      </w:r>
      <w:r w:rsidRPr="00D72D39">
        <w:rPr>
          <w:rFonts w:ascii="Cambria Math" w:hAnsi="Cambria Math" w:cs="Cambria Math"/>
          <w:sz w:val="20"/>
          <w:szCs w:val="20"/>
        </w:rPr>
        <w:t>‑</w:t>
      </w:r>
      <w:r w:rsidRPr="00D72D39">
        <w:rPr>
          <w:sz w:val="20"/>
          <w:szCs w:val="20"/>
        </w:rPr>
        <w:t xml:space="preserve">30. </w:t>
      </w:r>
    </w:p>
    <w:p w:rsidR="00D72D39" w:rsidRPr="00D72D39" w:rsidRDefault="00D72D39" w:rsidP="00D72D39">
      <w:pPr>
        <w:jc w:val="both"/>
        <w:rPr>
          <w:sz w:val="20"/>
          <w:szCs w:val="20"/>
        </w:rPr>
      </w:pPr>
      <w:r w:rsidRPr="00D72D39">
        <w:rPr>
          <w:sz w:val="20"/>
          <w:szCs w:val="20"/>
        </w:rPr>
        <w:t>12. Yomi J, Atenguena E, Tabola L. Clinique et traitement de la douleur cancéreuse à l’Hôpital Général de Yaoundé. Health Sci Dis [Internet]. 2014 [cité 21 mai 2016];15(2). Disponible sur: http://www.hsd-fmsb.org/index.php/hsd/article/view/346</w:t>
      </w:r>
    </w:p>
    <w:p w:rsidR="00D72D39" w:rsidRPr="00D72D39" w:rsidRDefault="00D72D39" w:rsidP="00D72D39">
      <w:pPr>
        <w:jc w:val="both"/>
        <w:rPr>
          <w:sz w:val="20"/>
          <w:szCs w:val="20"/>
        </w:rPr>
      </w:pPr>
      <w:r w:rsidRPr="00D72D39">
        <w:rPr>
          <w:sz w:val="20"/>
          <w:szCs w:val="20"/>
        </w:rPr>
        <w:t>13. Béfa Noto-Kadou-Kaza, Sabi KA, Tsevi CM, Ramdani B, others. Douleur chronique chez l’hémodialysé au Maroc. Health Sci Dis [Internet]. 2015 [cité 7 juin 2016];16(2). Disponible sur: http://www.hsd-fmsb.org/index.php/hsd/article/view/444</w:t>
      </w:r>
    </w:p>
    <w:p w:rsidR="00D72D39" w:rsidRPr="00D72D39" w:rsidRDefault="00D72D39" w:rsidP="00D72D39">
      <w:pPr>
        <w:jc w:val="both"/>
        <w:rPr>
          <w:sz w:val="20"/>
          <w:szCs w:val="20"/>
          <w:lang w:val="en-GB"/>
        </w:rPr>
      </w:pPr>
      <w:r w:rsidRPr="00D72D39">
        <w:rPr>
          <w:sz w:val="20"/>
          <w:szCs w:val="20"/>
        </w:rPr>
        <w:t xml:space="preserve">14. Oniankitan O, Fianyo E, Lama K Agoda Koussema, Koffi-Tessio VES, Tagbor Komi C, Houzou P, et al. Facteurs de risque de la gonarthrose en consultation rhumatologique à Lomé (Togo). </w:t>
      </w:r>
      <w:r w:rsidRPr="00D72D39">
        <w:rPr>
          <w:sz w:val="20"/>
          <w:szCs w:val="20"/>
          <w:lang w:val="en-US"/>
        </w:rPr>
        <w:t xml:space="preserve">Rev Marocaine Rhumatol. </w:t>
      </w:r>
      <w:r w:rsidRPr="00D72D39">
        <w:rPr>
          <w:sz w:val="20"/>
          <w:szCs w:val="20"/>
          <w:lang w:val="en-GB"/>
        </w:rPr>
        <w:t>2014;(29):28</w:t>
      </w:r>
      <w:r w:rsidRPr="00D72D39">
        <w:rPr>
          <w:rFonts w:ascii="Cambria Math" w:hAnsi="Cambria Math" w:cs="Cambria Math"/>
          <w:sz w:val="20"/>
          <w:szCs w:val="20"/>
          <w:lang w:val="en-GB"/>
        </w:rPr>
        <w:t>‑</w:t>
      </w:r>
      <w:r w:rsidRPr="00D72D39">
        <w:rPr>
          <w:sz w:val="20"/>
          <w:szCs w:val="20"/>
          <w:lang w:val="en-GB"/>
        </w:rPr>
        <w:t xml:space="preserve">31.  </w:t>
      </w:r>
    </w:p>
    <w:p w:rsidR="00D72D39" w:rsidRPr="00D72D39" w:rsidRDefault="00D72D39" w:rsidP="00D72D39">
      <w:pPr>
        <w:jc w:val="both"/>
        <w:rPr>
          <w:sz w:val="20"/>
          <w:szCs w:val="20"/>
        </w:rPr>
      </w:pPr>
      <w:r w:rsidRPr="00D72D39">
        <w:rPr>
          <w:sz w:val="20"/>
          <w:szCs w:val="20"/>
          <w:lang w:val="en-GB"/>
        </w:rPr>
        <w:t xml:space="preserve">15. Orock GE E, Ndom P, Doh A. Current cancer incidence and trends in Yaounde, Cameroon. </w:t>
      </w:r>
      <w:r w:rsidRPr="00D72D39">
        <w:rPr>
          <w:sz w:val="20"/>
          <w:szCs w:val="20"/>
        </w:rPr>
        <w:t>Oncol Gastroenterol Hepatol Rep. 26 juill 2012;1(1): 58-63.</w:t>
      </w:r>
    </w:p>
    <w:p w:rsidR="00D72D39" w:rsidRPr="00D72D39" w:rsidRDefault="00D72D39" w:rsidP="00D72D39">
      <w:pPr>
        <w:jc w:val="both"/>
        <w:rPr>
          <w:sz w:val="20"/>
          <w:szCs w:val="20"/>
        </w:rPr>
      </w:pPr>
      <w:r w:rsidRPr="00D72D39">
        <w:rPr>
          <w:sz w:val="20"/>
          <w:szCs w:val="20"/>
        </w:rPr>
        <w:t>16. Oulhaci A, Benmezroua A. Traitement de la douleur neuropathique chez les patients présentant des neuropathies centrales ou périphériques [Internet]. 2014 [cité 23 mai 2016]. Disponible sur: http://dspace.univ-tlemcen.dz/handle/112/7824</w:t>
      </w:r>
    </w:p>
    <w:p w:rsidR="00D72D39" w:rsidRPr="00D72D39" w:rsidRDefault="00D72D39" w:rsidP="00D72D39">
      <w:pPr>
        <w:jc w:val="both"/>
        <w:rPr>
          <w:sz w:val="20"/>
          <w:szCs w:val="20"/>
        </w:rPr>
      </w:pPr>
      <w:r w:rsidRPr="00D72D39">
        <w:rPr>
          <w:sz w:val="20"/>
          <w:szCs w:val="20"/>
        </w:rPr>
        <w:t xml:space="preserve">17. Attal N. Douleurs neuropathiques. Neurol Com. 2010;2(8):202–205. </w:t>
      </w:r>
    </w:p>
    <w:p w:rsidR="00D72D39" w:rsidRPr="00D72D39" w:rsidRDefault="00D72D39" w:rsidP="00D72D39">
      <w:pPr>
        <w:jc w:val="both"/>
        <w:rPr>
          <w:sz w:val="20"/>
          <w:szCs w:val="20"/>
          <w:lang w:val="en-US"/>
        </w:rPr>
      </w:pPr>
      <w:r w:rsidRPr="00D72D39">
        <w:rPr>
          <w:sz w:val="20"/>
          <w:szCs w:val="20"/>
          <w:lang w:val="en-US"/>
        </w:rPr>
        <w:t xml:space="preserve">18. Cherkin DC, Wheeler KJ, Barlow W, Deyo RA. Medication use for low back pain in primary care. Spine. 1998;23(5):607–614. </w:t>
      </w:r>
    </w:p>
    <w:p w:rsidR="00D72D39" w:rsidRPr="00D72D39" w:rsidRDefault="00D72D39" w:rsidP="00D72D39">
      <w:pPr>
        <w:jc w:val="both"/>
        <w:rPr>
          <w:sz w:val="20"/>
          <w:szCs w:val="20"/>
        </w:rPr>
      </w:pPr>
      <w:r w:rsidRPr="00D72D39">
        <w:rPr>
          <w:sz w:val="20"/>
          <w:szCs w:val="20"/>
          <w:lang w:val="en-US"/>
        </w:rPr>
        <w:t xml:space="preserve">19. Ong CK, Seymour RA, Lirk P, Merry AF. Combining paracetamol (acetaminophen) with nonsteroidal antiinflammatory drugs: a qualitative systematic review of analgesic efficacy for acute postoperative pain. </w:t>
      </w:r>
      <w:r w:rsidRPr="00D72D39">
        <w:rPr>
          <w:sz w:val="20"/>
          <w:szCs w:val="20"/>
        </w:rPr>
        <w:t xml:space="preserve">Anesth Analg. 2010;110(4):1170–1179. </w:t>
      </w:r>
    </w:p>
    <w:p w:rsidR="00D72D39" w:rsidRPr="00D72D39" w:rsidRDefault="00D72D39" w:rsidP="00D72D39">
      <w:pPr>
        <w:jc w:val="both"/>
        <w:rPr>
          <w:sz w:val="20"/>
          <w:szCs w:val="20"/>
          <w:lang w:val="en-US"/>
        </w:rPr>
      </w:pPr>
      <w:r w:rsidRPr="00D72D39">
        <w:rPr>
          <w:sz w:val="20"/>
          <w:szCs w:val="20"/>
        </w:rPr>
        <w:lastRenderedPageBreak/>
        <w:t xml:space="preserve">20. Beloeil H. Les associations médicamenteuses antalgiques. 53e Congrès national d’anesthésie et de réanimation. </w:t>
      </w:r>
      <w:r w:rsidRPr="00D72D39">
        <w:rPr>
          <w:sz w:val="20"/>
          <w:szCs w:val="20"/>
          <w:lang w:val="en-US"/>
        </w:rPr>
        <w:t xml:space="preserve">2011. </w:t>
      </w:r>
    </w:p>
    <w:p w:rsidR="00D72D39" w:rsidRPr="00D72D39" w:rsidRDefault="00D72D39" w:rsidP="00D72D39">
      <w:pPr>
        <w:jc w:val="both"/>
        <w:rPr>
          <w:sz w:val="20"/>
          <w:szCs w:val="20"/>
          <w:lang w:val="en-GB"/>
        </w:rPr>
      </w:pPr>
      <w:r w:rsidRPr="00D72D39">
        <w:rPr>
          <w:sz w:val="20"/>
          <w:szCs w:val="20"/>
          <w:lang w:val="en-US"/>
        </w:rPr>
        <w:t xml:space="preserve">21. Schnitzer T. The new analgesic combination tramadol/acetaminophen. </w:t>
      </w:r>
      <w:r w:rsidRPr="00D72D39">
        <w:rPr>
          <w:sz w:val="20"/>
          <w:szCs w:val="20"/>
          <w:lang w:val="en-GB"/>
        </w:rPr>
        <w:t>Eur J Anaesthesiol Suppl. 2003;28:13</w:t>
      </w:r>
      <w:r w:rsidRPr="00D72D39">
        <w:rPr>
          <w:rFonts w:ascii="Cambria Math" w:hAnsi="Cambria Math" w:cs="Cambria Math"/>
          <w:sz w:val="20"/>
          <w:szCs w:val="20"/>
          <w:lang w:val="en-GB"/>
        </w:rPr>
        <w:t>‑</w:t>
      </w:r>
      <w:r w:rsidRPr="00D72D39">
        <w:rPr>
          <w:sz w:val="20"/>
          <w:szCs w:val="20"/>
          <w:lang w:val="en-GB"/>
        </w:rPr>
        <w:t xml:space="preserve">7. </w:t>
      </w:r>
    </w:p>
    <w:p w:rsidR="00D72D39" w:rsidRPr="00D72D39" w:rsidRDefault="00D72D39" w:rsidP="00D72D39">
      <w:pPr>
        <w:jc w:val="both"/>
        <w:rPr>
          <w:sz w:val="20"/>
          <w:szCs w:val="20"/>
          <w:lang w:val="en-US"/>
        </w:rPr>
      </w:pPr>
      <w:r w:rsidRPr="00D72D39">
        <w:rPr>
          <w:sz w:val="20"/>
          <w:szCs w:val="20"/>
          <w:lang w:val="en-US"/>
        </w:rPr>
        <w:t xml:space="preserve">22. Moore RA, McQuay HJ. Prevalence of opioid adverse events in chronic non-malignant pain: systematic review of randomised trials of oral opioids. Arthritis Res Ther. 2005;7(5):R1046-1051. </w:t>
      </w:r>
    </w:p>
    <w:p w:rsidR="00911CC0" w:rsidRDefault="00D72D39" w:rsidP="00D72D39">
      <w:pPr>
        <w:jc w:val="both"/>
        <w:rPr>
          <w:sz w:val="20"/>
          <w:szCs w:val="20"/>
          <w:lang w:val="en-US"/>
        </w:rPr>
      </w:pPr>
      <w:r w:rsidRPr="00D72D39">
        <w:rPr>
          <w:sz w:val="20"/>
          <w:szCs w:val="20"/>
          <w:lang w:val="en-US"/>
        </w:rPr>
        <w:t>23. Demonceau J, Ruppar T, Kristanto P, Hughes DA, Fargher E, Kardas P, et al. Identification and Assessment of Adherence-Enhancing Interventions in Studies Assessing Medication Adherence Through Electronically Compiled Drug Dosing Histories: A Systematic Literature Review and Meta-Analysis. Drugs. mai 2013;73(6):545</w:t>
      </w:r>
      <w:r w:rsidRPr="00D72D39">
        <w:rPr>
          <w:rFonts w:ascii="Cambria Math" w:hAnsi="Cambria Math" w:cs="Cambria Math"/>
          <w:sz w:val="20"/>
          <w:szCs w:val="20"/>
          <w:lang w:val="en-US"/>
        </w:rPr>
        <w:t>‑</w:t>
      </w:r>
      <w:r w:rsidRPr="00D72D39">
        <w:rPr>
          <w:sz w:val="20"/>
          <w:szCs w:val="20"/>
          <w:lang w:val="en-US"/>
        </w:rPr>
        <w:t xml:space="preserve">62. </w:t>
      </w:r>
    </w:p>
    <w:p w:rsidR="00835EED" w:rsidRPr="00D72D39" w:rsidRDefault="00D72D39" w:rsidP="00D72D39">
      <w:pPr>
        <w:jc w:val="both"/>
        <w:rPr>
          <w:sz w:val="20"/>
          <w:szCs w:val="20"/>
          <w:lang w:val="en-US"/>
        </w:rPr>
      </w:pPr>
      <w:r w:rsidRPr="00D72D39">
        <w:rPr>
          <w:sz w:val="20"/>
          <w:szCs w:val="20"/>
          <w:lang w:val="en-US"/>
        </w:rPr>
        <w:t>24. Meghani SH, Thompson AML, Chittams J, Bruner DW, Riegel B. Adherence to Analgesics for Cancer Pain: A Comparative Study of African Americans and Whites Using an Electronic Monitoring Device. J Pain. 1 sept 2015;16(9):825</w:t>
      </w:r>
      <w:r w:rsidRPr="00D72D39">
        <w:rPr>
          <w:rFonts w:ascii="Cambria Math" w:hAnsi="Cambria Math" w:cs="Cambria Math"/>
          <w:sz w:val="20"/>
          <w:szCs w:val="20"/>
          <w:lang w:val="en-US"/>
        </w:rPr>
        <w:t>‑</w:t>
      </w:r>
      <w:r w:rsidRPr="00D72D39">
        <w:rPr>
          <w:sz w:val="20"/>
          <w:szCs w:val="20"/>
          <w:lang w:val="en-US"/>
        </w:rPr>
        <w:t xml:space="preserve">35. </w:t>
      </w:r>
    </w:p>
    <w:p w:rsidR="00D72D39" w:rsidRDefault="00D72D39" w:rsidP="00D72D39">
      <w:pPr>
        <w:jc w:val="both"/>
        <w:rPr>
          <w:sz w:val="20"/>
          <w:szCs w:val="20"/>
        </w:rPr>
      </w:pPr>
      <w:r w:rsidRPr="00D72D39">
        <w:rPr>
          <w:sz w:val="20"/>
          <w:szCs w:val="20"/>
          <w:lang w:val="en-US"/>
        </w:rPr>
        <w:t xml:space="preserve">25. Lim S-N, Han H-S, Lee K-H, Lee S-C, Kim J, Yun J, et al. A satisfaction survey on cancer pain management using a self-reporting pain assessment tool. </w:t>
      </w:r>
      <w:r w:rsidRPr="00D72D39">
        <w:rPr>
          <w:sz w:val="20"/>
          <w:szCs w:val="20"/>
        </w:rPr>
        <w:t>J Palliat Med. mars 2015;18(3):225</w:t>
      </w:r>
      <w:r w:rsidRPr="00D72D39">
        <w:rPr>
          <w:rFonts w:ascii="Cambria Math" w:hAnsi="Cambria Math" w:cs="Cambria Math"/>
          <w:sz w:val="20"/>
          <w:szCs w:val="20"/>
        </w:rPr>
        <w:t>‑</w:t>
      </w:r>
      <w:r w:rsidRPr="00D72D39">
        <w:rPr>
          <w:sz w:val="20"/>
          <w:szCs w:val="20"/>
        </w:rPr>
        <w:t xml:space="preserve">31. </w:t>
      </w: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Default="00A5167B" w:rsidP="00D72D39">
      <w:pPr>
        <w:jc w:val="both"/>
        <w:rPr>
          <w:sz w:val="20"/>
          <w:szCs w:val="20"/>
        </w:rPr>
      </w:pPr>
    </w:p>
    <w:p w:rsidR="00A5167B" w:rsidRPr="00D72D39" w:rsidRDefault="00A5167B" w:rsidP="00D72D39">
      <w:pPr>
        <w:jc w:val="both"/>
        <w:rPr>
          <w:sz w:val="20"/>
          <w:szCs w:val="20"/>
        </w:rPr>
      </w:pPr>
    </w:p>
    <w:p w:rsidR="00D72D39" w:rsidRPr="00D72D39" w:rsidRDefault="00D72D39" w:rsidP="00D72D39">
      <w:pPr>
        <w:jc w:val="both"/>
        <w:rPr>
          <w:sz w:val="20"/>
          <w:szCs w:val="20"/>
          <w:lang w:val="en-US"/>
        </w:rPr>
      </w:pPr>
      <w:r w:rsidRPr="00D72D39">
        <w:rPr>
          <w:sz w:val="20"/>
          <w:szCs w:val="20"/>
        </w:rPr>
        <w:lastRenderedPageBreak/>
        <w:t xml:space="preserve">26. Noguera A, Yennurajalingam S, Torres-Vigil I, Parsons HA, Duarte ER, Palma A, et al. </w:t>
      </w:r>
      <w:r w:rsidRPr="00D72D39">
        <w:rPr>
          <w:sz w:val="20"/>
          <w:szCs w:val="20"/>
          <w:lang w:val="en-US"/>
        </w:rPr>
        <w:t>Decisional control preferences, disclosure of information preferences, and satisfaction among Hispanic patients with advanced cancer. J Pain Symptom Manage. mai 2014;47(5):896</w:t>
      </w:r>
      <w:r w:rsidRPr="00D72D39">
        <w:rPr>
          <w:rFonts w:ascii="Cambria Math" w:hAnsi="Cambria Math" w:cs="Cambria Math"/>
          <w:sz w:val="20"/>
          <w:szCs w:val="20"/>
          <w:lang w:val="en-US"/>
        </w:rPr>
        <w:t>‑</w:t>
      </w:r>
      <w:r w:rsidRPr="00D72D39">
        <w:rPr>
          <w:sz w:val="20"/>
          <w:szCs w:val="20"/>
          <w:lang w:val="en-US"/>
        </w:rPr>
        <w:t xml:space="preserve">905. </w:t>
      </w:r>
    </w:p>
    <w:p w:rsidR="00D72D39" w:rsidRPr="00D72D39" w:rsidRDefault="00D72D39" w:rsidP="00D72D39">
      <w:pPr>
        <w:jc w:val="both"/>
        <w:rPr>
          <w:sz w:val="20"/>
          <w:szCs w:val="20"/>
        </w:rPr>
      </w:pPr>
      <w:r w:rsidRPr="00D72D39">
        <w:rPr>
          <w:sz w:val="20"/>
          <w:szCs w:val="20"/>
          <w:lang w:val="en-US"/>
        </w:rPr>
        <w:t xml:space="preserve">27. Amazian K, Toughrai I, Benmansour N, Ait Laalim S, El Amine El Alami M, Mazaz K. [Cancer patient satisfaction survey in a Moroccan university hospital]. </w:t>
      </w:r>
      <w:r w:rsidRPr="00D72D39">
        <w:rPr>
          <w:sz w:val="20"/>
          <w:szCs w:val="20"/>
        </w:rPr>
        <w:t>Santé Publique Vandoeuvre-Lès-Nancy Fr. oct 2013;25(5):627</w:t>
      </w:r>
      <w:r w:rsidRPr="00D72D39">
        <w:rPr>
          <w:rFonts w:ascii="Cambria Math" w:hAnsi="Cambria Math" w:cs="Cambria Math"/>
          <w:sz w:val="20"/>
          <w:szCs w:val="20"/>
        </w:rPr>
        <w:t>‑</w:t>
      </w:r>
      <w:r w:rsidRPr="00D72D39">
        <w:rPr>
          <w:sz w:val="20"/>
          <w:szCs w:val="20"/>
        </w:rPr>
        <w:t xml:space="preserve">32. </w:t>
      </w:r>
    </w:p>
    <w:p w:rsidR="00D72D39" w:rsidRPr="00D72D39" w:rsidRDefault="00D72D39" w:rsidP="00D72D39">
      <w:pPr>
        <w:jc w:val="both"/>
        <w:rPr>
          <w:sz w:val="20"/>
          <w:szCs w:val="20"/>
          <w:lang w:val="en-US"/>
        </w:rPr>
      </w:pPr>
      <w:r w:rsidRPr="00D72D39">
        <w:rPr>
          <w:sz w:val="20"/>
          <w:szCs w:val="20"/>
        </w:rPr>
        <w:t xml:space="preserve">28. Noguera A, Yennurajalingam S, Torres-Vigil I, Parsons HA, Duarte ER, Palma A, et al. </w:t>
      </w:r>
      <w:r w:rsidRPr="00D72D39">
        <w:rPr>
          <w:sz w:val="20"/>
          <w:szCs w:val="20"/>
          <w:lang w:val="en-US"/>
        </w:rPr>
        <w:t>Decisional control preferences, disclosure of information preferences, and satisfaction among Hispanic patients with advanced cancer. J Pain Symptom Manage. mai 2014;47(5):896</w:t>
      </w:r>
      <w:r w:rsidRPr="00D72D39">
        <w:rPr>
          <w:rFonts w:ascii="Cambria Math" w:hAnsi="Cambria Math" w:cs="Cambria Math"/>
          <w:sz w:val="20"/>
          <w:szCs w:val="20"/>
          <w:lang w:val="en-US"/>
        </w:rPr>
        <w:t>‑</w:t>
      </w:r>
      <w:r w:rsidRPr="00D72D39">
        <w:rPr>
          <w:sz w:val="20"/>
          <w:szCs w:val="20"/>
          <w:lang w:val="en-US"/>
        </w:rPr>
        <w:t>905.</w:t>
      </w:r>
    </w:p>
    <w:p w:rsidR="00D72D39" w:rsidRPr="00D72D39" w:rsidRDefault="00D72D39" w:rsidP="00D72D39">
      <w:pPr>
        <w:jc w:val="both"/>
        <w:rPr>
          <w:sz w:val="20"/>
          <w:szCs w:val="20"/>
        </w:rPr>
      </w:pPr>
      <w:r w:rsidRPr="00D72D39">
        <w:rPr>
          <w:sz w:val="20"/>
          <w:szCs w:val="20"/>
          <w:lang w:val="en-US"/>
        </w:rPr>
        <w:t xml:space="preserve">29. Rau K-M, Chen J-S, Wu H-B, Lin S-F, Lai M-K, Chow J-M, et al. The impact of pain control on physical and psychiatric functions of cancer patients: a nation-wide survey in Taiwan. </w:t>
      </w:r>
      <w:r w:rsidRPr="00D72D39">
        <w:rPr>
          <w:sz w:val="20"/>
          <w:szCs w:val="20"/>
        </w:rPr>
        <w:t>Jpn J Clin Oncol. nov 2015;45(11):1042</w:t>
      </w:r>
      <w:r w:rsidRPr="00D72D39">
        <w:rPr>
          <w:rFonts w:ascii="Cambria Math" w:hAnsi="Cambria Math" w:cs="Cambria Math"/>
          <w:sz w:val="20"/>
          <w:szCs w:val="20"/>
        </w:rPr>
        <w:t>‑</w:t>
      </w:r>
      <w:r w:rsidRPr="00D72D39">
        <w:rPr>
          <w:sz w:val="20"/>
          <w:szCs w:val="20"/>
        </w:rPr>
        <w:t xml:space="preserve">9. </w:t>
      </w:r>
    </w:p>
    <w:p w:rsidR="007035C8" w:rsidRDefault="008C4B30" w:rsidP="00D72D39">
      <w:pPr>
        <w:jc w:val="both"/>
        <w:rPr>
          <w:sz w:val="20"/>
          <w:szCs w:val="20"/>
        </w:rPr>
      </w:pPr>
      <w:r w:rsidRPr="00D72D39">
        <w:rPr>
          <w:sz w:val="20"/>
          <w:szCs w:val="20"/>
        </w:rPr>
        <w:fldChar w:fldCharType="end"/>
      </w:r>
    </w:p>
    <w:p w:rsidR="009766DD" w:rsidRPr="00D72D39" w:rsidRDefault="009766DD" w:rsidP="00D72D39">
      <w:pPr>
        <w:jc w:val="both"/>
        <w:rPr>
          <w:sz w:val="20"/>
          <w:szCs w:val="20"/>
        </w:rPr>
      </w:pPr>
    </w:p>
    <w:sectPr w:rsidR="009766DD" w:rsidRPr="00D72D39" w:rsidSect="00C73C7E">
      <w:type w:val="continuous"/>
      <w:pgSz w:w="11906" w:h="16838" w:code="9"/>
      <w:pgMar w:top="1134" w:right="851" w:bottom="1418"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A514E"/>
    <w:multiLevelType w:val="hybridMultilevel"/>
    <w:tmpl w:val="E90ADE1E"/>
    <w:lvl w:ilvl="0" w:tplc="FFEC9538">
      <w:start w:val="10"/>
      <w:numFmt w:val="bullet"/>
      <w:lvlText w:val="-"/>
      <w:lvlJc w:val="left"/>
      <w:pPr>
        <w:ind w:left="765" w:hanging="360"/>
      </w:pPr>
      <w:rPr>
        <w:rFonts w:ascii="Calibri" w:eastAsia="Calibri" w:hAnsi="Calibri" w:cs="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577B56"/>
    <w:rsid w:val="000236DA"/>
    <w:rsid w:val="00081012"/>
    <w:rsid w:val="00081B46"/>
    <w:rsid w:val="00091970"/>
    <w:rsid w:val="000A16B6"/>
    <w:rsid w:val="000A16F6"/>
    <w:rsid w:val="000A530F"/>
    <w:rsid w:val="000B24E4"/>
    <w:rsid w:val="000D2460"/>
    <w:rsid w:val="00104E43"/>
    <w:rsid w:val="00112FB5"/>
    <w:rsid w:val="001130DB"/>
    <w:rsid w:val="00131084"/>
    <w:rsid w:val="001345B4"/>
    <w:rsid w:val="001463A9"/>
    <w:rsid w:val="001559E2"/>
    <w:rsid w:val="001673C8"/>
    <w:rsid w:val="001723C9"/>
    <w:rsid w:val="001D6DA0"/>
    <w:rsid w:val="002010A6"/>
    <w:rsid w:val="00204F4D"/>
    <w:rsid w:val="00261344"/>
    <w:rsid w:val="00270CE9"/>
    <w:rsid w:val="0027135A"/>
    <w:rsid w:val="002A1A24"/>
    <w:rsid w:val="002D0C2A"/>
    <w:rsid w:val="00312FDF"/>
    <w:rsid w:val="00320276"/>
    <w:rsid w:val="003263DD"/>
    <w:rsid w:val="00334BAE"/>
    <w:rsid w:val="00361EE4"/>
    <w:rsid w:val="00374BAE"/>
    <w:rsid w:val="00381AD9"/>
    <w:rsid w:val="003E549E"/>
    <w:rsid w:val="003F796A"/>
    <w:rsid w:val="004014FC"/>
    <w:rsid w:val="0040565C"/>
    <w:rsid w:val="00415BC0"/>
    <w:rsid w:val="00435408"/>
    <w:rsid w:val="004504F5"/>
    <w:rsid w:val="00457CD3"/>
    <w:rsid w:val="00472720"/>
    <w:rsid w:val="00482C14"/>
    <w:rsid w:val="00485EEE"/>
    <w:rsid w:val="004A1330"/>
    <w:rsid w:val="004B6AE0"/>
    <w:rsid w:val="004E0EC1"/>
    <w:rsid w:val="004F551C"/>
    <w:rsid w:val="00524B82"/>
    <w:rsid w:val="00554414"/>
    <w:rsid w:val="005743F4"/>
    <w:rsid w:val="00577B56"/>
    <w:rsid w:val="0058558E"/>
    <w:rsid w:val="005B67E6"/>
    <w:rsid w:val="005B752A"/>
    <w:rsid w:val="005E16E5"/>
    <w:rsid w:val="005E728C"/>
    <w:rsid w:val="005F4843"/>
    <w:rsid w:val="00621662"/>
    <w:rsid w:val="006318BE"/>
    <w:rsid w:val="006354BC"/>
    <w:rsid w:val="006428B7"/>
    <w:rsid w:val="00665B2E"/>
    <w:rsid w:val="006678CD"/>
    <w:rsid w:val="00677DB3"/>
    <w:rsid w:val="00683C9F"/>
    <w:rsid w:val="006854A8"/>
    <w:rsid w:val="006A5D80"/>
    <w:rsid w:val="006E2CE3"/>
    <w:rsid w:val="006E5A42"/>
    <w:rsid w:val="006F3F7A"/>
    <w:rsid w:val="006F4CCC"/>
    <w:rsid w:val="006F6A5E"/>
    <w:rsid w:val="007035C8"/>
    <w:rsid w:val="00713083"/>
    <w:rsid w:val="0071491A"/>
    <w:rsid w:val="00732418"/>
    <w:rsid w:val="00733B6A"/>
    <w:rsid w:val="00760FFD"/>
    <w:rsid w:val="007A26F0"/>
    <w:rsid w:val="007D4687"/>
    <w:rsid w:val="007D591B"/>
    <w:rsid w:val="00812379"/>
    <w:rsid w:val="00817B96"/>
    <w:rsid w:val="00835EED"/>
    <w:rsid w:val="00881946"/>
    <w:rsid w:val="00882E07"/>
    <w:rsid w:val="008A119E"/>
    <w:rsid w:val="008C13F6"/>
    <w:rsid w:val="008C4B30"/>
    <w:rsid w:val="008E1A2B"/>
    <w:rsid w:val="00911CC0"/>
    <w:rsid w:val="00937CBA"/>
    <w:rsid w:val="00940E2B"/>
    <w:rsid w:val="009604CA"/>
    <w:rsid w:val="00975620"/>
    <w:rsid w:val="009766DD"/>
    <w:rsid w:val="00977A35"/>
    <w:rsid w:val="00981B33"/>
    <w:rsid w:val="00982169"/>
    <w:rsid w:val="00990D99"/>
    <w:rsid w:val="009B20A4"/>
    <w:rsid w:val="009D497C"/>
    <w:rsid w:val="00A27146"/>
    <w:rsid w:val="00A36DFB"/>
    <w:rsid w:val="00A5167B"/>
    <w:rsid w:val="00A61090"/>
    <w:rsid w:val="00A75D4C"/>
    <w:rsid w:val="00A944A1"/>
    <w:rsid w:val="00A96595"/>
    <w:rsid w:val="00AB1805"/>
    <w:rsid w:val="00AD11AE"/>
    <w:rsid w:val="00AD4519"/>
    <w:rsid w:val="00AE0260"/>
    <w:rsid w:val="00AE691F"/>
    <w:rsid w:val="00AF0BB1"/>
    <w:rsid w:val="00B029BC"/>
    <w:rsid w:val="00B12121"/>
    <w:rsid w:val="00B14523"/>
    <w:rsid w:val="00B1730D"/>
    <w:rsid w:val="00B443EE"/>
    <w:rsid w:val="00B65850"/>
    <w:rsid w:val="00B75DE5"/>
    <w:rsid w:val="00BB2455"/>
    <w:rsid w:val="00C076B0"/>
    <w:rsid w:val="00C11AD0"/>
    <w:rsid w:val="00C43911"/>
    <w:rsid w:val="00C44F0E"/>
    <w:rsid w:val="00C72BE8"/>
    <w:rsid w:val="00C73C7E"/>
    <w:rsid w:val="00C966D6"/>
    <w:rsid w:val="00C978BA"/>
    <w:rsid w:val="00C97BEA"/>
    <w:rsid w:val="00CA3729"/>
    <w:rsid w:val="00CA65DD"/>
    <w:rsid w:val="00D05ED1"/>
    <w:rsid w:val="00D12333"/>
    <w:rsid w:val="00D26664"/>
    <w:rsid w:val="00D27E04"/>
    <w:rsid w:val="00D36367"/>
    <w:rsid w:val="00D414D5"/>
    <w:rsid w:val="00D42C85"/>
    <w:rsid w:val="00D460DB"/>
    <w:rsid w:val="00D565FF"/>
    <w:rsid w:val="00D65B3D"/>
    <w:rsid w:val="00D723CA"/>
    <w:rsid w:val="00D72D39"/>
    <w:rsid w:val="00DA1331"/>
    <w:rsid w:val="00DB2943"/>
    <w:rsid w:val="00DF5BE2"/>
    <w:rsid w:val="00E077D8"/>
    <w:rsid w:val="00E10BDD"/>
    <w:rsid w:val="00E10D65"/>
    <w:rsid w:val="00E167B0"/>
    <w:rsid w:val="00E26575"/>
    <w:rsid w:val="00E52354"/>
    <w:rsid w:val="00E977BD"/>
    <w:rsid w:val="00EC1330"/>
    <w:rsid w:val="00EC1B0C"/>
    <w:rsid w:val="00EC677A"/>
    <w:rsid w:val="00EE785F"/>
    <w:rsid w:val="00EF67CA"/>
    <w:rsid w:val="00F074A2"/>
    <w:rsid w:val="00F123A3"/>
    <w:rsid w:val="00F370EF"/>
    <w:rsid w:val="00F543A6"/>
    <w:rsid w:val="00F5736F"/>
    <w:rsid w:val="00F73941"/>
    <w:rsid w:val="00F753BE"/>
    <w:rsid w:val="00F814AD"/>
    <w:rsid w:val="00FD1693"/>
    <w:rsid w:val="00FD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CC553A7-C8AF-448B-B82E-AC86F3AB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B56"/>
    <w:pPr>
      <w:spacing w:after="0" w:line="240" w:lineRule="auto"/>
    </w:pPr>
    <w:rPr>
      <w:rFonts w:ascii="Times New Roman" w:eastAsia="MS Mincho" w:hAnsi="Times New Roman" w:cs="Times New Roman"/>
      <w:sz w:val="24"/>
      <w:szCs w:val="24"/>
      <w:lang w:eastAsia="ja-JP"/>
    </w:rPr>
  </w:style>
  <w:style w:type="paragraph" w:styleId="Titre1">
    <w:name w:val="heading 1"/>
    <w:basedOn w:val="Normal"/>
    <w:next w:val="Normal"/>
    <w:link w:val="Titre1Car"/>
    <w:uiPriority w:val="9"/>
    <w:qFormat/>
    <w:rsid w:val="00524B82"/>
    <w:pPr>
      <w:keepNext/>
      <w:keepLines/>
      <w:spacing w:before="480" w:line="360" w:lineRule="auto"/>
      <w:jc w:val="center"/>
      <w:outlineLvl w:val="0"/>
    </w:pPr>
    <w:rPr>
      <w:rFonts w:eastAsia="Times New Roman"/>
      <w:b/>
      <w:bCs/>
      <w:caps/>
      <w:sz w:val="28"/>
      <w:szCs w:val="28"/>
      <w:lang w:eastAsia="en-US"/>
    </w:rPr>
  </w:style>
  <w:style w:type="paragraph" w:styleId="Titre2">
    <w:name w:val="heading 2"/>
    <w:basedOn w:val="Sous-titre"/>
    <w:next w:val="Normal"/>
    <w:link w:val="Titre2Car"/>
    <w:autoRedefine/>
    <w:uiPriority w:val="9"/>
    <w:unhideWhenUsed/>
    <w:qFormat/>
    <w:rsid w:val="00524B82"/>
    <w:pPr>
      <w:keepNext/>
      <w:keepLines/>
      <w:numPr>
        <w:ilvl w:val="1"/>
      </w:numPr>
      <w:spacing w:before="40" w:after="0" w:line="360" w:lineRule="auto"/>
      <w:jc w:val="both"/>
      <w:outlineLvl w:val="1"/>
    </w:pPr>
    <w:rPr>
      <w:rFonts w:ascii="Times New Roman" w:eastAsia="Times New Roman" w:hAnsi="Times New Roman" w:cs="Times New Roman"/>
      <w:b/>
      <w:i w:val="0"/>
      <w:iCs w:val="0"/>
      <w:color w:val="auto"/>
      <w:spacing w:val="0"/>
      <w:lang w:val="fr-FR" w:eastAsia="fr-FR" w:bidi="ar-SA"/>
    </w:rPr>
  </w:style>
  <w:style w:type="paragraph" w:styleId="Titre3">
    <w:name w:val="heading 3"/>
    <w:basedOn w:val="Normal"/>
    <w:next w:val="Normal"/>
    <w:link w:val="Titre3Car"/>
    <w:autoRedefine/>
    <w:uiPriority w:val="9"/>
    <w:unhideWhenUsed/>
    <w:qFormat/>
    <w:rsid w:val="00524B82"/>
    <w:pPr>
      <w:keepNext/>
      <w:keepLines/>
      <w:spacing w:before="200" w:after="240" w:line="360" w:lineRule="auto"/>
      <w:outlineLvl w:val="2"/>
    </w:pPr>
    <w:rPr>
      <w:rFonts w:eastAsia="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577B56"/>
    <w:pPr>
      <w:autoSpaceDE w:val="0"/>
      <w:autoSpaceDN w:val="0"/>
      <w:adjustRightInd w:val="0"/>
      <w:spacing w:after="0" w:line="240" w:lineRule="auto"/>
    </w:pPr>
    <w:rPr>
      <w:rFonts w:ascii="Times New Roman" w:eastAsia="MS Mincho" w:hAnsi="Times New Roman" w:cs="Times New Roman"/>
      <w:color w:val="000000"/>
      <w:sz w:val="24"/>
      <w:szCs w:val="24"/>
      <w:lang w:eastAsia="fr-FR"/>
    </w:rPr>
  </w:style>
  <w:style w:type="character" w:customStyle="1" w:styleId="A2">
    <w:name w:val="A2"/>
    <w:uiPriority w:val="99"/>
    <w:rsid w:val="00577B56"/>
    <w:rPr>
      <w:color w:val="000000"/>
      <w:sz w:val="22"/>
      <w:szCs w:val="22"/>
    </w:rPr>
  </w:style>
  <w:style w:type="paragraph" w:customStyle="1" w:styleId="Pa2">
    <w:name w:val="Pa2"/>
    <w:basedOn w:val="Default"/>
    <w:next w:val="Default"/>
    <w:uiPriority w:val="99"/>
    <w:rsid w:val="00577B56"/>
    <w:pPr>
      <w:spacing w:line="241" w:lineRule="atLeast"/>
    </w:pPr>
    <w:rPr>
      <w:rFonts w:ascii="Arial" w:hAnsi="Arial" w:cs="Arial"/>
      <w:color w:val="auto"/>
    </w:rPr>
  </w:style>
  <w:style w:type="character" w:customStyle="1" w:styleId="A0">
    <w:name w:val="A0"/>
    <w:uiPriority w:val="99"/>
    <w:rsid w:val="00577B56"/>
    <w:rPr>
      <w:color w:val="000000"/>
      <w:sz w:val="20"/>
      <w:szCs w:val="20"/>
    </w:rPr>
  </w:style>
  <w:style w:type="table" w:styleId="Grilledutableau">
    <w:name w:val="Table Grid"/>
    <w:basedOn w:val="TableauNormal"/>
    <w:rsid w:val="00577B56"/>
    <w:pPr>
      <w:spacing w:after="0" w:line="240" w:lineRule="auto"/>
    </w:pPr>
    <w:rPr>
      <w:rFonts w:ascii="Times New Roman" w:eastAsia="MS Mincho"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57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77B56"/>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F753BE"/>
    <w:rPr>
      <w:rFonts w:ascii="Tahoma" w:hAnsi="Tahoma" w:cs="Tahoma"/>
      <w:sz w:val="16"/>
      <w:szCs w:val="16"/>
    </w:rPr>
  </w:style>
  <w:style w:type="character" w:customStyle="1" w:styleId="TextedebullesCar">
    <w:name w:val="Texte de bulles Car"/>
    <w:basedOn w:val="Policepardfaut"/>
    <w:link w:val="Textedebulles"/>
    <w:uiPriority w:val="99"/>
    <w:semiHidden/>
    <w:rsid w:val="00F753BE"/>
    <w:rPr>
      <w:rFonts w:ascii="Tahoma" w:eastAsia="MS Mincho" w:hAnsi="Tahoma" w:cs="Tahoma"/>
      <w:sz w:val="16"/>
      <w:szCs w:val="16"/>
      <w:lang w:eastAsia="ja-JP"/>
    </w:rPr>
  </w:style>
  <w:style w:type="paragraph" w:styleId="Bibliographie">
    <w:name w:val="Bibliography"/>
    <w:basedOn w:val="Normal"/>
    <w:next w:val="Normal"/>
    <w:uiPriority w:val="37"/>
    <w:unhideWhenUsed/>
    <w:rsid w:val="00AD11AE"/>
    <w:pPr>
      <w:tabs>
        <w:tab w:val="left" w:pos="504"/>
      </w:tabs>
      <w:spacing w:after="240"/>
      <w:ind w:left="504" w:hanging="504"/>
    </w:pPr>
  </w:style>
  <w:style w:type="character" w:customStyle="1" w:styleId="A1">
    <w:name w:val="A1"/>
    <w:uiPriority w:val="99"/>
    <w:rsid w:val="00AD11AE"/>
    <w:rPr>
      <w:rFonts w:cs="Bookman Old Style"/>
      <w:color w:val="000000"/>
      <w:sz w:val="18"/>
      <w:szCs w:val="18"/>
    </w:rPr>
  </w:style>
  <w:style w:type="character" w:customStyle="1" w:styleId="A3">
    <w:name w:val="A3"/>
    <w:uiPriority w:val="99"/>
    <w:rsid w:val="00AD11AE"/>
    <w:rPr>
      <w:rFonts w:cs="Bookman Old Style"/>
      <w:color w:val="000000"/>
      <w:sz w:val="10"/>
      <w:szCs w:val="10"/>
    </w:rPr>
  </w:style>
  <w:style w:type="character" w:styleId="Lienhypertexte">
    <w:name w:val="Hyperlink"/>
    <w:basedOn w:val="Policepardfaut"/>
    <w:uiPriority w:val="99"/>
    <w:unhideWhenUsed/>
    <w:rsid w:val="00F370EF"/>
    <w:rPr>
      <w:color w:val="0000FF" w:themeColor="hyperlink"/>
      <w:u w:val="single"/>
    </w:rPr>
  </w:style>
  <w:style w:type="paragraph" w:styleId="Titre">
    <w:name w:val="Title"/>
    <w:basedOn w:val="Normal"/>
    <w:next w:val="Normal"/>
    <w:link w:val="TitreCar"/>
    <w:uiPriority w:val="10"/>
    <w:qFormat/>
    <w:rsid w:val="007D59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D591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7D591B"/>
    <w:p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Sous-titreCar">
    <w:name w:val="Sous-titre Car"/>
    <w:basedOn w:val="Policepardfaut"/>
    <w:link w:val="Sous-titre"/>
    <w:uiPriority w:val="11"/>
    <w:rsid w:val="007D591B"/>
    <w:rPr>
      <w:rFonts w:asciiTheme="majorHAnsi" w:eastAsiaTheme="majorEastAsia" w:hAnsiTheme="majorHAnsi" w:cstheme="majorBidi"/>
      <w:i/>
      <w:iCs/>
      <w:color w:val="4F81BD" w:themeColor="accent1"/>
      <w:spacing w:val="15"/>
      <w:sz w:val="24"/>
      <w:szCs w:val="24"/>
      <w:lang w:val="en-US" w:bidi="en-US"/>
    </w:rPr>
  </w:style>
  <w:style w:type="table" w:customStyle="1" w:styleId="Tramemoyenne1-Accent11">
    <w:name w:val="Trame moyenne 1 - Accent 11"/>
    <w:basedOn w:val="TableauNormal"/>
    <w:uiPriority w:val="63"/>
    <w:rsid w:val="00AB180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emoyenne1-Accent11">
    <w:name w:val="Liste moyenne 1 - Accent 11"/>
    <w:basedOn w:val="TableauNormal"/>
    <w:uiPriority w:val="65"/>
    <w:rsid w:val="00AB1805"/>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Titre1Car">
    <w:name w:val="Titre 1 Car"/>
    <w:basedOn w:val="Policepardfaut"/>
    <w:link w:val="Titre1"/>
    <w:uiPriority w:val="9"/>
    <w:rsid w:val="00524B82"/>
    <w:rPr>
      <w:rFonts w:ascii="Times New Roman" w:eastAsia="Times New Roman" w:hAnsi="Times New Roman" w:cs="Times New Roman"/>
      <w:b/>
      <w:bCs/>
      <w:caps/>
      <w:sz w:val="28"/>
      <w:szCs w:val="28"/>
    </w:rPr>
  </w:style>
  <w:style w:type="character" w:customStyle="1" w:styleId="Titre2Car">
    <w:name w:val="Titre 2 Car"/>
    <w:basedOn w:val="Policepardfaut"/>
    <w:link w:val="Titre2"/>
    <w:uiPriority w:val="9"/>
    <w:rsid w:val="00524B82"/>
    <w:rPr>
      <w:rFonts w:ascii="Times New Roman" w:eastAsia="Times New Roman" w:hAnsi="Times New Roman" w:cs="Times New Roman"/>
      <w:b/>
      <w:sz w:val="24"/>
      <w:szCs w:val="24"/>
      <w:lang w:eastAsia="fr-FR"/>
    </w:rPr>
  </w:style>
  <w:style w:type="character" w:customStyle="1" w:styleId="Titre3Car">
    <w:name w:val="Titre 3 Car"/>
    <w:basedOn w:val="Policepardfaut"/>
    <w:link w:val="Titre3"/>
    <w:uiPriority w:val="9"/>
    <w:rsid w:val="00524B82"/>
    <w:rPr>
      <w:rFonts w:ascii="Times New Roman" w:eastAsia="Times New Roman" w:hAnsi="Times New Roman" w:cs="Times New Roman"/>
      <w:b/>
      <w:sz w:val="24"/>
      <w:szCs w:val="24"/>
      <w:lang w:eastAsia="fr-FR"/>
    </w:rPr>
  </w:style>
  <w:style w:type="paragraph" w:styleId="Sansinterligne">
    <w:name w:val="No Spacing"/>
    <w:link w:val="SansinterligneCar"/>
    <w:uiPriority w:val="1"/>
    <w:qFormat/>
    <w:rsid w:val="00524B82"/>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524B82"/>
    <w:rPr>
      <w:rFonts w:ascii="Calibri" w:eastAsia="Times New Roman" w:hAnsi="Calibri" w:cs="Times New Roman"/>
    </w:rPr>
  </w:style>
  <w:style w:type="paragraph" w:styleId="Paragraphedeliste">
    <w:name w:val="List Paragraph"/>
    <w:basedOn w:val="Normal"/>
    <w:link w:val="ParagraphedelisteCar"/>
    <w:uiPriority w:val="34"/>
    <w:qFormat/>
    <w:rsid w:val="00104E43"/>
    <w:pPr>
      <w:spacing w:after="200" w:line="360" w:lineRule="auto"/>
      <w:ind w:left="720"/>
      <w:contextualSpacing/>
      <w:jc w:val="both"/>
    </w:pPr>
    <w:rPr>
      <w:rFonts w:eastAsia="Calibri"/>
      <w:szCs w:val="22"/>
      <w:lang w:eastAsia="en-US"/>
    </w:rPr>
  </w:style>
  <w:style w:type="character" w:customStyle="1" w:styleId="ParagraphedelisteCar">
    <w:name w:val="Paragraphe de liste Car"/>
    <w:link w:val="Paragraphedeliste"/>
    <w:uiPriority w:val="34"/>
    <w:rsid w:val="00104E43"/>
    <w:rPr>
      <w:rFonts w:ascii="Times New Roman" w:eastAsia="Calibri" w:hAnsi="Times New Roman" w:cs="Times New Roman"/>
      <w:sz w:val="24"/>
    </w:rPr>
  </w:style>
  <w:style w:type="paragraph" w:styleId="Lgende">
    <w:name w:val="caption"/>
    <w:basedOn w:val="Normal"/>
    <w:next w:val="Normal"/>
    <w:uiPriority w:val="35"/>
    <w:unhideWhenUsed/>
    <w:qFormat/>
    <w:rsid w:val="001D6DA0"/>
    <w:pPr>
      <w:spacing w:after="200"/>
      <w:jc w:val="both"/>
    </w:pPr>
    <w:rPr>
      <w:rFonts w:eastAsia="Calibri"/>
      <w:i/>
      <w:iCs/>
      <w:color w:val="44546A"/>
      <w:sz w:val="18"/>
      <w:szCs w:val="18"/>
      <w:lang w:eastAsia="en-US"/>
    </w:rPr>
  </w:style>
  <w:style w:type="table" w:customStyle="1" w:styleId="Tramemoyenne1-Accent12">
    <w:name w:val="Trame moyenne 1 - Accent 12"/>
    <w:basedOn w:val="TableauNormal"/>
    <w:uiPriority w:val="63"/>
    <w:rsid w:val="00882E0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5B752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rodbeng@yah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J:\7&#232;me%20ann&#233;e%20FMSB%20%202015-2016\Donn&#233;es%20sur%20Excel\Classeurgaston8.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J:\7&#232;me%20ann&#233;e%20FMSB%20%202015-2016\Donn&#233;es%20sur%20Excel\Classeurgaston8.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25"/>
          <c:dLbls>
            <c:dLbl>
              <c:idx val="0"/>
              <c:layout>
                <c:manualLayout>
                  <c:x val="0.128959208223972"/>
                  <c:y val="2.430555555555557E-2"/>
                </c:manualLayout>
              </c:layout>
              <c:tx>
                <c:rich>
                  <a:bodyPr/>
                  <a:lstStyle/>
                  <a:p>
                    <a:pPr>
                      <a:defRPr/>
                    </a:pPr>
                    <a:r>
                      <a:rPr lang="en-US" sz="1000"/>
                      <a:t>Douleur légère 1,5%</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0.21750284339457571"/>
                  <c:y val="-4.8078521434820713E-2"/>
                </c:manualLayout>
              </c:layout>
              <c:tx>
                <c:rich>
                  <a:bodyPr/>
                  <a:lstStyle/>
                  <a:p>
                    <a:pPr>
                      <a:defRPr/>
                    </a:pPr>
                    <a:r>
                      <a:rPr lang="en-US" sz="1000"/>
                      <a:t>Douleur modérée 94,7%</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0.15859831583552092"/>
                  <c:y val="2.430555555555557E-2"/>
                </c:manualLayout>
              </c:layout>
              <c:tx>
                <c:rich>
                  <a:bodyPr/>
                  <a:lstStyle/>
                  <a:p>
                    <a:pPr>
                      <a:defRPr/>
                    </a:pPr>
                    <a:r>
                      <a:rPr lang="en-US" sz="1000"/>
                      <a:t>Douleur sévère 3,8%</a:t>
                    </a:r>
                  </a:p>
                </c:rich>
              </c:tx>
              <c:spPr/>
              <c:dLblPos val="bestFit"/>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'Intensité doul en fn echel'!$J$8:$J$10</c:f>
              <c:strCache>
                <c:ptCount val="3"/>
                <c:pt idx="0">
                  <c:v>Douleur légère</c:v>
                </c:pt>
                <c:pt idx="1">
                  <c:v>Douleur modérée</c:v>
                </c:pt>
                <c:pt idx="2">
                  <c:v>Douleur sévère</c:v>
                </c:pt>
              </c:strCache>
            </c:strRef>
          </c:cat>
          <c:val>
            <c:numRef>
              <c:f>'Intensité doul en fn echel'!$L$8:$L$10</c:f>
              <c:numCache>
                <c:formatCode>0.00%</c:formatCode>
                <c:ptCount val="3"/>
                <c:pt idx="0">
                  <c:v>1.4999999999999998E-2</c:v>
                </c:pt>
                <c:pt idx="1">
                  <c:v>0.94699999999999995</c:v>
                </c:pt>
                <c:pt idx="2">
                  <c:v>3.8000000000000013E-2</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txPr>
    <a:bodyPr/>
    <a:lstStyle/>
    <a:p>
      <a:pPr>
        <a:defRPr sz="1200">
          <a:latin typeface="Times New Roman" panose="02020603050405020304" pitchFamily="18" charset="0"/>
          <a:cs typeface="Times New Roman" panose="02020603050405020304" pitchFamily="18" charset="0"/>
        </a:defRPr>
      </a:pPr>
      <a:endParaRPr lang="fr-F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cat>
            <c:strRef>
              <c:f>'Suivie de l''intensité'!$B$51:$B$54</c:f>
              <c:strCache>
                <c:ptCount val="4"/>
                <c:pt idx="0">
                  <c:v>Consultation initiale</c:v>
                </c:pt>
                <c:pt idx="1">
                  <c:v>Suivi 1</c:v>
                </c:pt>
                <c:pt idx="2">
                  <c:v>Suivi 2</c:v>
                </c:pt>
                <c:pt idx="3">
                  <c:v>Suivi 3</c:v>
                </c:pt>
              </c:strCache>
            </c:strRef>
          </c:cat>
          <c:val>
            <c:numRef>
              <c:f>'Suivie de l''intensité'!$C$51:$C$54</c:f>
              <c:numCache>
                <c:formatCode>General</c:formatCode>
                <c:ptCount val="4"/>
                <c:pt idx="0">
                  <c:v>5.0495000000000001</c:v>
                </c:pt>
                <c:pt idx="1">
                  <c:v>3.9586999999999981</c:v>
                </c:pt>
                <c:pt idx="2">
                  <c:v>2.9141999999999997</c:v>
                </c:pt>
                <c:pt idx="3">
                  <c:v>2.6286999999999998</c:v>
                </c:pt>
              </c:numCache>
            </c:numRef>
          </c:val>
          <c:smooth val="0"/>
        </c:ser>
        <c:dLbls>
          <c:showLegendKey val="0"/>
          <c:showVal val="0"/>
          <c:showCatName val="0"/>
          <c:showSerName val="0"/>
          <c:showPercent val="0"/>
          <c:showBubbleSize val="0"/>
        </c:dLbls>
        <c:marker val="1"/>
        <c:smooth val="0"/>
        <c:axId val="-521777392"/>
        <c:axId val="-521781744"/>
      </c:lineChart>
      <c:catAx>
        <c:axId val="-521777392"/>
        <c:scaling>
          <c:orientation val="minMax"/>
        </c:scaling>
        <c:delete val="0"/>
        <c:axPos val="b"/>
        <c:numFmt formatCode="General" sourceLinked="1"/>
        <c:majorTickMark val="out"/>
        <c:minorTickMark val="none"/>
        <c:tickLblPos val="nextTo"/>
        <c:crossAx val="-521781744"/>
        <c:crosses val="autoZero"/>
        <c:auto val="1"/>
        <c:lblAlgn val="ctr"/>
        <c:lblOffset val="100"/>
        <c:noMultiLvlLbl val="0"/>
      </c:catAx>
      <c:valAx>
        <c:axId val="-521781744"/>
        <c:scaling>
          <c:orientation val="minMax"/>
        </c:scaling>
        <c:delete val="0"/>
        <c:axPos val="l"/>
        <c:majorGridlines/>
        <c:title>
          <c:tx>
            <c:rich>
              <a:bodyPr rot="0" vert="horz"/>
              <a:lstStyle/>
              <a:p>
                <a:pPr>
                  <a:defRPr/>
                </a:pPr>
                <a:r>
                  <a:rPr lang="fr-FR"/>
                  <a:t>Moyenne EVA/EN</a:t>
                </a:r>
              </a:p>
            </c:rich>
          </c:tx>
          <c:layout>
            <c:manualLayout>
              <c:xMode val="edge"/>
              <c:yMode val="edge"/>
              <c:x val="3.3240353932438564E-2"/>
              <c:y val="0.36053890602077782"/>
            </c:manualLayout>
          </c:layout>
          <c:overlay val="0"/>
        </c:title>
        <c:numFmt formatCode="General" sourceLinked="1"/>
        <c:majorTickMark val="out"/>
        <c:minorTickMark val="none"/>
        <c:tickLblPos val="nextTo"/>
        <c:crossAx val="-521777392"/>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fr-FR"/>
    </a:p>
  </c:tx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28876-11F6-4FA2-A778-2792AA83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11379</Words>
  <Characters>62585</Characters>
  <Application>Microsoft Office Word</Application>
  <DocSecurity>0</DocSecurity>
  <Lines>521</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Ambroise</cp:lastModifiedBy>
  <cp:revision>28</cp:revision>
  <dcterms:created xsi:type="dcterms:W3CDTF">2018-09-20T07:17:00Z</dcterms:created>
  <dcterms:modified xsi:type="dcterms:W3CDTF">2019-08-02T09:32:00Z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id="y1EbyVTH"/&gt;&lt;style id="http://www.zotero.org/styles/vancouver" locale="fr-FR" hasBibliography="1" bibliographyStyleHasBeenSet="1"/&gt;&lt;prefs&gt;&lt;pref name="fieldType" value="Field"/&gt;&lt;/prefs&gt;&lt;/data&gt;</vt:lpwstr>
  </property>
</Properties>
</file>