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C7E" w:rsidRPr="00C73C7E" w:rsidRDefault="000D7F7F" w:rsidP="00A27146">
      <w:pPr>
        <w:spacing w:after="120"/>
        <w:jc w:val="both"/>
        <w:rPr>
          <w:noProof/>
          <w:szCs w:val="20"/>
        </w:rPr>
      </w:pPr>
      <w:r>
        <w:rPr>
          <w:noProof/>
          <w:szCs w:val="20"/>
        </w:rPr>
        <w:t>Profil phosphocalcique des patients hémodialysés</w:t>
      </w:r>
      <w:r w:rsidR="004B6AE0">
        <w:rPr>
          <w:noProof/>
          <w:szCs w:val="20"/>
        </w:rPr>
        <w:tab/>
      </w:r>
      <w:r w:rsidR="004B6AE0">
        <w:rPr>
          <w:noProof/>
          <w:szCs w:val="20"/>
        </w:rPr>
        <w:tab/>
      </w:r>
      <w:r w:rsidR="004B6AE0">
        <w:rPr>
          <w:noProof/>
          <w:szCs w:val="20"/>
        </w:rPr>
        <w:tab/>
      </w:r>
      <w:r w:rsidR="004B6AE0">
        <w:rPr>
          <w:noProof/>
          <w:szCs w:val="20"/>
        </w:rPr>
        <w:tab/>
      </w:r>
      <w:r w:rsidR="004B6AE0">
        <w:rPr>
          <w:noProof/>
          <w:szCs w:val="20"/>
        </w:rPr>
        <w:tab/>
      </w:r>
      <w:r w:rsidR="004B6AE0">
        <w:rPr>
          <w:noProof/>
          <w:szCs w:val="20"/>
        </w:rPr>
        <w:tab/>
      </w:r>
      <w:r>
        <w:rPr>
          <w:noProof/>
          <w:szCs w:val="20"/>
        </w:rPr>
        <w:t>Samaké</w:t>
      </w:r>
      <w:r w:rsidR="00C73C7E" w:rsidRPr="00C73C7E">
        <w:rPr>
          <w:noProof/>
          <w:szCs w:val="20"/>
        </w:rPr>
        <w:t xml:space="preserve"> et al</w:t>
      </w:r>
    </w:p>
    <w:p w:rsidR="00C73C7E" w:rsidRDefault="00C73C7E" w:rsidP="004B6AE0">
      <w:pPr>
        <w:spacing w:before="120" w:after="120"/>
        <w:jc w:val="both"/>
        <w:rPr>
          <w:b/>
          <w:noProof/>
          <w:szCs w:val="20"/>
        </w:rPr>
      </w:pPr>
      <w:r>
        <w:rPr>
          <w:b/>
          <w:noProof/>
          <w:szCs w:val="20"/>
        </w:rPr>
        <w:t>_________________________________________________________________________________</w:t>
      </w:r>
    </w:p>
    <w:p w:rsidR="007D591B" w:rsidRPr="007D591B" w:rsidRDefault="007D591B" w:rsidP="00A27146">
      <w:pPr>
        <w:spacing w:after="120"/>
        <w:jc w:val="both"/>
        <w:rPr>
          <w:b/>
          <w:bCs/>
          <w:sz w:val="20"/>
          <w:szCs w:val="20"/>
        </w:rPr>
      </w:pPr>
      <w:r>
        <w:rPr>
          <w:noProof/>
          <w:lang w:eastAsia="fr-FR"/>
        </w:rPr>
        <w:drawing>
          <wp:anchor distT="0" distB="0" distL="114300" distR="114300" simplePos="0" relativeHeight="251660288" behindDoc="1" locked="0" layoutInCell="1" allowOverlap="1">
            <wp:simplePos x="0" y="0"/>
            <wp:positionH relativeFrom="column">
              <wp:posOffset>-46990</wp:posOffset>
            </wp:positionH>
            <wp:positionV relativeFrom="paragraph">
              <wp:posOffset>-46990</wp:posOffset>
            </wp:positionV>
            <wp:extent cx="6296025" cy="631190"/>
            <wp:effectExtent l="0" t="0" r="9525" b="0"/>
            <wp:wrapTight wrapText="bothSides">
              <wp:wrapPolygon edited="0">
                <wp:start x="0" y="0"/>
                <wp:lineTo x="0" y="20861"/>
                <wp:lineTo x="21567" y="20861"/>
                <wp:lineTo x="21567" y="0"/>
                <wp:lineTo x="0" y="0"/>
              </wp:wrapPolygon>
            </wp:wrapTight>
            <wp:docPr id="2" name="Image 1" descr="Home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omepage Header"/>
                    <pic:cNvPicPr>
                      <a:picLocks noChangeAspect="1" noChangeArrowheads="1"/>
                    </pic:cNvPicPr>
                  </pic:nvPicPr>
                  <pic:blipFill>
                    <a:blip r:embed="rId6" cstate="print">
                      <a:extLst>
                        <a:ext uri="{28A0092B-C50C-407E-A947-70E740481C1C}">
                          <a14:useLocalDpi xmlns:a14="http://schemas.microsoft.com/office/drawing/2010/main" val="0"/>
                        </a:ext>
                      </a:extLst>
                    </a:blip>
                    <a:srcRect t="4517" b="12903"/>
                    <a:stretch>
                      <a:fillRect/>
                    </a:stretch>
                  </pic:blipFill>
                  <pic:spPr bwMode="auto">
                    <a:xfrm>
                      <a:off x="0" y="0"/>
                      <a:ext cx="6296025" cy="631190"/>
                    </a:xfrm>
                    <a:prstGeom prst="rect">
                      <a:avLst/>
                    </a:prstGeom>
                    <a:noFill/>
                  </pic:spPr>
                </pic:pic>
              </a:graphicData>
            </a:graphic>
          </wp:anchor>
        </w:drawing>
      </w:r>
      <w:r>
        <w:rPr>
          <w:b/>
          <w:noProof/>
          <w:szCs w:val="20"/>
        </w:rPr>
        <w:t>Article original</w:t>
      </w:r>
    </w:p>
    <w:p w:rsidR="000D7F7F" w:rsidRPr="000D7F7F" w:rsidRDefault="000D7F7F" w:rsidP="000D7F7F">
      <w:pPr>
        <w:jc w:val="center"/>
        <w:rPr>
          <w:b/>
          <w:sz w:val="32"/>
          <w:szCs w:val="32"/>
        </w:rPr>
      </w:pPr>
      <w:r>
        <w:rPr>
          <w:b/>
          <w:sz w:val="32"/>
          <w:szCs w:val="32"/>
        </w:rPr>
        <w:t>Profil Phosphocalcique des Patients Hémodialysés C</w:t>
      </w:r>
      <w:r w:rsidRPr="000D7F7F">
        <w:rPr>
          <w:b/>
          <w:sz w:val="32"/>
          <w:szCs w:val="32"/>
        </w:rPr>
        <w:t>hroniques</w:t>
      </w:r>
      <w:r>
        <w:rPr>
          <w:b/>
          <w:sz w:val="32"/>
          <w:szCs w:val="32"/>
        </w:rPr>
        <w:t xml:space="preserve"> dans le S</w:t>
      </w:r>
      <w:r w:rsidRPr="000D7F7F">
        <w:rPr>
          <w:b/>
          <w:sz w:val="32"/>
          <w:szCs w:val="32"/>
        </w:rPr>
        <w:t xml:space="preserve">ervice </w:t>
      </w:r>
      <w:r>
        <w:rPr>
          <w:b/>
          <w:sz w:val="32"/>
          <w:szCs w:val="32"/>
        </w:rPr>
        <w:t>de Néphrologie et d’H</w:t>
      </w:r>
      <w:r w:rsidRPr="000D7F7F">
        <w:rPr>
          <w:b/>
          <w:sz w:val="32"/>
          <w:szCs w:val="32"/>
        </w:rPr>
        <w:t>émodialyse du CHU du Point G.</w:t>
      </w:r>
    </w:p>
    <w:p w:rsidR="000D7F7F" w:rsidRPr="000D7F7F" w:rsidRDefault="000D7F7F" w:rsidP="000D7F7F">
      <w:pPr>
        <w:pStyle w:val="NormalWeb"/>
        <w:spacing w:before="0" w:beforeAutospacing="0" w:after="0" w:afterAutospacing="0"/>
        <w:jc w:val="center"/>
        <w:rPr>
          <w:color w:val="4F81BD" w:themeColor="accent1"/>
          <w:sz w:val="28"/>
          <w:szCs w:val="28"/>
        </w:rPr>
      </w:pPr>
      <w:r>
        <w:rPr>
          <w:b/>
          <w:color w:val="4F81BD" w:themeColor="accent1"/>
          <w:sz w:val="28"/>
          <w:szCs w:val="28"/>
          <w:shd w:val="clear" w:color="auto" w:fill="FFFFFF"/>
        </w:rPr>
        <w:t xml:space="preserve">Calcium and Phosphate Profile of Chronic </w:t>
      </w:r>
      <w:proofErr w:type="spellStart"/>
      <w:r>
        <w:rPr>
          <w:b/>
          <w:color w:val="4F81BD" w:themeColor="accent1"/>
          <w:sz w:val="28"/>
          <w:szCs w:val="28"/>
          <w:shd w:val="clear" w:color="auto" w:fill="FFFFFF"/>
        </w:rPr>
        <w:t>Hemodialysis</w:t>
      </w:r>
      <w:proofErr w:type="spellEnd"/>
      <w:r>
        <w:rPr>
          <w:b/>
          <w:color w:val="4F81BD" w:themeColor="accent1"/>
          <w:sz w:val="28"/>
          <w:szCs w:val="28"/>
          <w:shd w:val="clear" w:color="auto" w:fill="FFFFFF"/>
        </w:rPr>
        <w:t xml:space="preserve"> P</w:t>
      </w:r>
      <w:r w:rsidRPr="000D7F7F">
        <w:rPr>
          <w:b/>
          <w:color w:val="4F81BD" w:themeColor="accent1"/>
          <w:sz w:val="28"/>
          <w:szCs w:val="28"/>
          <w:shd w:val="clear" w:color="auto" w:fill="FFFFFF"/>
        </w:rPr>
        <w:t xml:space="preserve">atients in the Nephrology and </w:t>
      </w:r>
      <w:proofErr w:type="spellStart"/>
      <w:r w:rsidRPr="000D7F7F">
        <w:rPr>
          <w:b/>
          <w:color w:val="4F81BD" w:themeColor="accent1"/>
          <w:sz w:val="28"/>
          <w:szCs w:val="28"/>
          <w:shd w:val="clear" w:color="auto" w:fill="FFFFFF"/>
        </w:rPr>
        <w:t>Hemodialysis</w:t>
      </w:r>
      <w:proofErr w:type="spellEnd"/>
      <w:r w:rsidRPr="000D7F7F">
        <w:rPr>
          <w:b/>
          <w:color w:val="4F81BD" w:themeColor="accent1"/>
          <w:sz w:val="28"/>
          <w:szCs w:val="28"/>
          <w:shd w:val="clear" w:color="auto" w:fill="FFFFFF"/>
        </w:rPr>
        <w:t xml:space="preserve"> Department of the Point G UHC</w:t>
      </w:r>
      <w:r w:rsidRPr="000D7F7F">
        <w:rPr>
          <w:color w:val="4F81BD" w:themeColor="accent1"/>
          <w:sz w:val="28"/>
          <w:szCs w:val="28"/>
          <w:shd w:val="clear" w:color="auto" w:fill="FFFFFF"/>
        </w:rPr>
        <w:t>.</w:t>
      </w:r>
    </w:p>
    <w:p w:rsidR="000D7F7F" w:rsidRPr="000D7F7F" w:rsidRDefault="000D7F7F" w:rsidP="000D7F7F">
      <w:pPr>
        <w:jc w:val="center"/>
        <w:rPr>
          <w:lang w:val="en-US"/>
        </w:rPr>
      </w:pPr>
      <w:r w:rsidRPr="000D7F7F">
        <w:rPr>
          <w:lang w:val="en-US"/>
        </w:rPr>
        <w:t>M Samaké</w:t>
      </w:r>
      <w:r w:rsidRPr="000D7F7F">
        <w:rPr>
          <w:vertAlign w:val="superscript"/>
          <w:lang w:val="en-US"/>
        </w:rPr>
        <w:t>1</w:t>
      </w:r>
      <w:r w:rsidRPr="000D7F7F">
        <w:rPr>
          <w:lang w:val="en-US"/>
        </w:rPr>
        <w:t xml:space="preserve">, </w:t>
      </w:r>
      <w:proofErr w:type="spellStart"/>
      <w:r w:rsidRPr="000D7F7F">
        <w:rPr>
          <w:lang w:val="en-US"/>
        </w:rPr>
        <w:t>Kodio</w:t>
      </w:r>
      <w:proofErr w:type="spellEnd"/>
      <w:r w:rsidRPr="000D7F7F">
        <w:rPr>
          <w:lang w:val="en-US"/>
        </w:rPr>
        <w:t xml:space="preserve"> A</w:t>
      </w:r>
      <w:r w:rsidRPr="000D7F7F">
        <w:rPr>
          <w:vertAlign w:val="superscript"/>
          <w:lang w:val="en-US"/>
        </w:rPr>
        <w:t>2</w:t>
      </w:r>
      <w:r w:rsidRPr="000D7F7F">
        <w:rPr>
          <w:vertAlign w:val="subscript"/>
          <w:lang w:val="en-US"/>
        </w:rPr>
        <w:t xml:space="preserve">, </w:t>
      </w:r>
      <w:r w:rsidRPr="000D7F7F">
        <w:rPr>
          <w:lang w:val="en-US"/>
        </w:rPr>
        <w:t>H Yattara</w:t>
      </w:r>
      <w:r w:rsidRPr="000D7F7F">
        <w:rPr>
          <w:vertAlign w:val="superscript"/>
          <w:lang w:val="en-US"/>
        </w:rPr>
        <w:t>2</w:t>
      </w:r>
      <w:r w:rsidRPr="000D7F7F">
        <w:rPr>
          <w:vertAlign w:val="subscript"/>
          <w:lang w:val="en-US"/>
        </w:rPr>
        <w:t xml:space="preserve">, </w:t>
      </w:r>
      <w:r w:rsidRPr="000D7F7F">
        <w:rPr>
          <w:lang w:val="en-US"/>
        </w:rPr>
        <w:t>M Coulibaly</w:t>
      </w:r>
      <w:r w:rsidRPr="000D7F7F">
        <w:rPr>
          <w:vertAlign w:val="superscript"/>
          <w:lang w:val="en-US"/>
        </w:rPr>
        <w:t>3</w:t>
      </w:r>
      <w:r w:rsidRPr="000D7F7F">
        <w:rPr>
          <w:lang w:val="en-US"/>
        </w:rPr>
        <w:t>, S SY</w:t>
      </w:r>
      <w:r w:rsidRPr="000D7F7F">
        <w:rPr>
          <w:vertAlign w:val="superscript"/>
          <w:lang w:val="en-US"/>
        </w:rPr>
        <w:t>2</w:t>
      </w:r>
      <w:r w:rsidRPr="000D7F7F">
        <w:rPr>
          <w:lang w:val="en-US"/>
        </w:rPr>
        <w:t>, AS Fofana</w:t>
      </w:r>
      <w:r w:rsidRPr="000D7F7F">
        <w:rPr>
          <w:vertAlign w:val="superscript"/>
          <w:lang w:val="en-US"/>
        </w:rPr>
        <w:t>2</w:t>
      </w:r>
      <w:r w:rsidRPr="000D7F7F">
        <w:rPr>
          <w:lang w:val="en-US"/>
        </w:rPr>
        <w:t>, D Diallo</w:t>
      </w:r>
      <w:r w:rsidRPr="000D7F7F">
        <w:rPr>
          <w:vertAlign w:val="superscript"/>
          <w:lang w:val="en-US"/>
        </w:rPr>
        <w:t>2</w:t>
      </w:r>
      <w:r w:rsidRPr="000D7F7F">
        <w:rPr>
          <w:lang w:val="en-US"/>
        </w:rPr>
        <w:t>, SDB Coulibaly</w:t>
      </w:r>
      <w:r w:rsidRPr="000D7F7F">
        <w:rPr>
          <w:vertAlign w:val="superscript"/>
          <w:lang w:val="en-US"/>
        </w:rPr>
        <w:t>2</w:t>
      </w:r>
      <w:r w:rsidRPr="000D7F7F">
        <w:rPr>
          <w:lang w:val="en-US"/>
        </w:rPr>
        <w:t>, M Tangara</w:t>
      </w:r>
      <w:r w:rsidRPr="000D7F7F">
        <w:rPr>
          <w:vertAlign w:val="superscript"/>
          <w:lang w:val="en-US"/>
        </w:rPr>
        <w:t>2</w:t>
      </w:r>
      <w:r w:rsidRPr="000D7F7F">
        <w:rPr>
          <w:lang w:val="en-US"/>
        </w:rPr>
        <w:t>, K Djiguiba</w:t>
      </w:r>
      <w:r w:rsidRPr="000D7F7F">
        <w:rPr>
          <w:vertAlign w:val="superscript"/>
          <w:lang w:val="en-US"/>
        </w:rPr>
        <w:t>4</w:t>
      </w:r>
      <w:r w:rsidRPr="000D7F7F">
        <w:rPr>
          <w:lang w:val="en-US"/>
        </w:rPr>
        <w:t>, D Maiga</w:t>
      </w:r>
      <w:r w:rsidRPr="000D7F7F">
        <w:rPr>
          <w:vertAlign w:val="superscript"/>
          <w:lang w:val="en-US"/>
        </w:rPr>
        <w:t>5</w:t>
      </w:r>
      <w:r w:rsidRPr="000D7F7F">
        <w:rPr>
          <w:lang w:val="en-US"/>
        </w:rPr>
        <w:t>, AM Dolo</w:t>
      </w:r>
      <w:r w:rsidRPr="000D7F7F">
        <w:rPr>
          <w:vertAlign w:val="superscript"/>
          <w:lang w:val="en-US"/>
        </w:rPr>
        <w:t>5</w:t>
      </w:r>
      <w:r w:rsidRPr="000D7F7F">
        <w:rPr>
          <w:lang w:val="en-US"/>
        </w:rPr>
        <w:t>, S Fongoro</w:t>
      </w:r>
      <w:r w:rsidRPr="000D7F7F">
        <w:rPr>
          <w:vertAlign w:val="superscript"/>
          <w:lang w:val="en-US"/>
        </w:rPr>
        <w:t>2</w:t>
      </w:r>
    </w:p>
    <w:p w:rsidR="007D591B" w:rsidRPr="006E5A42" w:rsidRDefault="007D591B" w:rsidP="007D591B">
      <w:pPr>
        <w:jc w:val="center"/>
        <w:rPr>
          <w:bCs/>
          <w:lang w:val="en-US" w:bidi="en-US"/>
        </w:rPr>
      </w:pPr>
    </w:p>
    <w:tbl>
      <w:tblPr>
        <w:tblW w:w="10173" w:type="dxa"/>
        <w:tblLook w:val="04A0" w:firstRow="1" w:lastRow="0" w:firstColumn="1" w:lastColumn="0" w:noHBand="0" w:noVBand="1"/>
      </w:tblPr>
      <w:tblGrid>
        <w:gridCol w:w="3227"/>
        <w:gridCol w:w="6946"/>
      </w:tblGrid>
      <w:tr w:rsidR="007D591B" w:rsidTr="000B24E4">
        <w:trPr>
          <w:trHeight w:val="98"/>
        </w:trPr>
        <w:tc>
          <w:tcPr>
            <w:tcW w:w="3227" w:type="dxa"/>
            <w:vMerge w:val="restart"/>
            <w:shd w:val="clear" w:color="auto" w:fill="D3DFEE"/>
            <w:hideMark/>
          </w:tcPr>
          <w:p w:rsidR="007D591B" w:rsidRPr="006E5A42" w:rsidRDefault="008C5456" w:rsidP="00B029BC">
            <w:pPr>
              <w:rPr>
                <w:b/>
                <w:bCs/>
                <w:color w:val="365F91"/>
                <w:sz w:val="18"/>
                <w:szCs w:val="18"/>
                <w:vertAlign w:val="superscript"/>
                <w:lang w:val="en-US"/>
              </w:rPr>
            </w:pPr>
            <w:r>
              <w:rPr>
                <w:noProof/>
                <w:sz w:val="22"/>
                <w:szCs w:val="22"/>
              </w:rPr>
              <w:pict>
                <v:shapetype id="_x0000_t202" coordsize="21600,21600" o:spt="202" path="m,l,21600r21600,l21600,xe">
                  <v:stroke joinstyle="miter"/>
                  <v:path gradientshapeok="t" o:connecttype="rect"/>
                </v:shapetype>
                <v:shape id="Zone de texte 9" o:spid="_x0000_s1026" type="#_x0000_t202" style="position:absolute;margin-left:.35pt;margin-top:9.65pt;width:151.15pt;height:439.2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" stroked="f">
                  <v:textbox style="mso-next-textbox:#Zone de texte 9">
                    <w:txbxContent>
                      <w:p w:rsidR="000D7F7F" w:rsidRPr="0098145B" w:rsidRDefault="000D7F7F" w:rsidP="000D7F7F">
                        <w:pPr>
                          <w:pStyle w:val="Paragraphedeliste"/>
                          <w:numPr>
                            <w:ilvl w:val="0"/>
                            <w:numId w:val="1"/>
                          </w:numPr>
                          <w:spacing w:after="0" w:line="240" w:lineRule="auto"/>
                          <w:rPr>
                            <w:rFonts w:ascii="Times New Roman" w:hAnsi="Times New Roman"/>
                            <w:sz w:val="18"/>
                            <w:szCs w:val="18"/>
                            <w:lang w:val="fr-BE"/>
                          </w:rPr>
                        </w:pPr>
                        <w:r w:rsidRPr="0098145B">
                          <w:rPr>
                            <w:rFonts w:ascii="Times New Roman" w:hAnsi="Times New Roman"/>
                            <w:sz w:val="18"/>
                            <w:szCs w:val="18"/>
                            <w:lang w:val="fr-BE"/>
                          </w:rPr>
                          <w:t xml:space="preserve">Unité de Néphrologie de l’hôpital </w:t>
                        </w:r>
                        <w:proofErr w:type="spellStart"/>
                        <w:r w:rsidRPr="0098145B">
                          <w:rPr>
                            <w:rFonts w:ascii="Times New Roman" w:hAnsi="Times New Roman"/>
                            <w:sz w:val="18"/>
                            <w:szCs w:val="18"/>
                            <w:lang w:val="fr-BE"/>
                          </w:rPr>
                          <w:t>Fousseyni</w:t>
                        </w:r>
                        <w:proofErr w:type="spellEnd"/>
                        <w:r w:rsidRPr="0098145B">
                          <w:rPr>
                            <w:rFonts w:ascii="Times New Roman" w:hAnsi="Times New Roman"/>
                            <w:sz w:val="18"/>
                            <w:szCs w:val="18"/>
                            <w:lang w:val="fr-BE"/>
                          </w:rPr>
                          <w:t xml:space="preserve"> Dao- Kayes </w:t>
                        </w:r>
                      </w:p>
                      <w:p w:rsidR="000D7F7F" w:rsidRPr="0098145B" w:rsidRDefault="000D7F7F" w:rsidP="000D7F7F">
                        <w:pPr>
                          <w:pStyle w:val="Paragraphedeliste"/>
                          <w:numPr>
                            <w:ilvl w:val="0"/>
                            <w:numId w:val="1"/>
                          </w:numPr>
                          <w:spacing w:after="0" w:line="240" w:lineRule="auto"/>
                          <w:rPr>
                            <w:rFonts w:ascii="Times New Roman" w:hAnsi="Times New Roman"/>
                            <w:sz w:val="18"/>
                            <w:szCs w:val="18"/>
                            <w:lang w:val="fr-BE"/>
                          </w:rPr>
                        </w:pPr>
                        <w:r w:rsidRPr="0098145B">
                          <w:rPr>
                            <w:rFonts w:ascii="Times New Roman" w:hAnsi="Times New Roman"/>
                            <w:sz w:val="18"/>
                            <w:szCs w:val="18"/>
                            <w:lang w:val="fr-BE"/>
                          </w:rPr>
                          <w:t>Service de Néphrologie et d’Hémodialyse du CHU Point G</w:t>
                        </w:r>
                      </w:p>
                      <w:p w:rsidR="000D7F7F" w:rsidRPr="0098145B" w:rsidRDefault="000D7F7F" w:rsidP="000D7F7F">
                        <w:pPr>
                          <w:pStyle w:val="Paragraphedeliste"/>
                          <w:numPr>
                            <w:ilvl w:val="0"/>
                            <w:numId w:val="1"/>
                          </w:numPr>
                          <w:spacing w:after="0" w:line="240" w:lineRule="auto"/>
                          <w:rPr>
                            <w:rFonts w:ascii="Times New Roman" w:hAnsi="Times New Roman"/>
                            <w:sz w:val="18"/>
                            <w:szCs w:val="18"/>
                            <w:lang w:val="fr-BE"/>
                          </w:rPr>
                        </w:pPr>
                        <w:r w:rsidRPr="0098145B">
                          <w:rPr>
                            <w:rFonts w:ascii="Times New Roman" w:hAnsi="Times New Roman"/>
                            <w:sz w:val="18"/>
                            <w:szCs w:val="18"/>
                            <w:lang w:val="fr-BE"/>
                          </w:rPr>
                          <w:t xml:space="preserve">Unité de néphrologie de l’hôpital Mali </w:t>
                        </w:r>
                        <w:proofErr w:type="spellStart"/>
                        <w:r w:rsidRPr="0098145B">
                          <w:rPr>
                            <w:rFonts w:ascii="Times New Roman" w:hAnsi="Times New Roman"/>
                            <w:sz w:val="18"/>
                            <w:szCs w:val="18"/>
                            <w:lang w:val="fr-BE"/>
                          </w:rPr>
                          <w:t>Gavardo</w:t>
                        </w:r>
                        <w:proofErr w:type="spellEnd"/>
                      </w:p>
                      <w:p w:rsidR="000D7F7F" w:rsidRPr="0098145B" w:rsidRDefault="000D7F7F" w:rsidP="000D7F7F">
                        <w:pPr>
                          <w:pStyle w:val="Paragraphedeliste"/>
                          <w:numPr>
                            <w:ilvl w:val="0"/>
                            <w:numId w:val="1"/>
                          </w:numPr>
                          <w:spacing w:after="0" w:line="240" w:lineRule="auto"/>
                          <w:rPr>
                            <w:rFonts w:ascii="Times New Roman" w:hAnsi="Times New Roman"/>
                            <w:sz w:val="18"/>
                            <w:szCs w:val="18"/>
                            <w:lang w:val="fr-BE"/>
                          </w:rPr>
                        </w:pPr>
                        <w:r w:rsidRPr="0098145B">
                          <w:rPr>
                            <w:rFonts w:ascii="Times New Roman" w:hAnsi="Times New Roman"/>
                            <w:sz w:val="18"/>
                            <w:szCs w:val="18"/>
                            <w:lang w:val="fr-BE"/>
                          </w:rPr>
                          <w:t>Unité de Néphrologie de l’hôpital Mère-Enfant Le Luxembourg</w:t>
                        </w:r>
                      </w:p>
                      <w:p w:rsidR="000D7F7F" w:rsidRPr="0098145B" w:rsidRDefault="000D7F7F" w:rsidP="000D7F7F">
                        <w:pPr>
                          <w:pStyle w:val="Paragraphedeliste"/>
                          <w:numPr>
                            <w:ilvl w:val="0"/>
                            <w:numId w:val="1"/>
                          </w:numPr>
                          <w:spacing w:after="0" w:line="240" w:lineRule="auto"/>
                          <w:rPr>
                            <w:rFonts w:ascii="Times New Roman" w:hAnsi="Times New Roman"/>
                            <w:sz w:val="18"/>
                            <w:szCs w:val="18"/>
                            <w:lang w:val="fr-BE"/>
                          </w:rPr>
                        </w:pPr>
                        <w:r w:rsidRPr="0098145B">
                          <w:rPr>
                            <w:rFonts w:ascii="Times New Roman" w:hAnsi="Times New Roman"/>
                            <w:sz w:val="18"/>
                            <w:szCs w:val="18"/>
                            <w:lang w:val="fr-BE"/>
                          </w:rPr>
                          <w:t>Unité de Néphrologie de Sikasso</w:t>
                        </w:r>
                      </w:p>
                      <w:p w:rsidR="00B029BC" w:rsidRDefault="00B029BC" w:rsidP="007D591B">
                        <w:pPr>
                          <w:rPr>
                            <w:b/>
                            <w:color w:val="000000"/>
                            <w:sz w:val="18"/>
                            <w:szCs w:val="20"/>
                          </w:rPr>
                        </w:pPr>
                        <w:r>
                          <w:rPr>
                            <w:b/>
                            <w:color w:val="000000"/>
                            <w:sz w:val="18"/>
                            <w:szCs w:val="20"/>
                          </w:rPr>
                          <w:t>Auteur correspondant :</w:t>
                        </w:r>
                      </w:p>
                      <w:p w:rsidR="00FB727C" w:rsidRDefault="00FB727C" w:rsidP="006E5A42">
                        <w:pPr>
                          <w:autoSpaceDE w:val="0"/>
                          <w:autoSpaceDN w:val="0"/>
                          <w:adjustRightInd w:val="0"/>
                          <w:ind w:right="-709"/>
                          <w:jc w:val="both"/>
                          <w:rPr>
                            <w:rFonts w:eastAsia="SimSun"/>
                            <w:color w:val="000000"/>
                            <w:sz w:val="20"/>
                            <w:szCs w:val="20"/>
                            <w:lang w:val="fr-BE" w:eastAsia="zh-CN" w:bidi="en-US"/>
                          </w:rPr>
                        </w:pPr>
                        <w:r>
                          <w:rPr>
                            <w:rFonts w:eastAsia="SimSun"/>
                            <w:color w:val="000000"/>
                            <w:sz w:val="20"/>
                            <w:szCs w:val="20"/>
                            <w:lang w:val="fr-BE" w:eastAsia="zh-CN" w:bidi="en-US"/>
                          </w:rPr>
                          <w:t xml:space="preserve">M </w:t>
                        </w:r>
                        <w:proofErr w:type="spellStart"/>
                        <w:r>
                          <w:rPr>
                            <w:rFonts w:eastAsia="SimSun"/>
                            <w:color w:val="000000"/>
                            <w:sz w:val="20"/>
                            <w:szCs w:val="20"/>
                            <w:lang w:val="fr-BE" w:eastAsia="zh-CN" w:bidi="en-US"/>
                          </w:rPr>
                          <w:t>Samaké</w:t>
                        </w:r>
                        <w:proofErr w:type="spellEnd"/>
                        <w:r>
                          <w:rPr>
                            <w:rFonts w:eastAsia="SimSun"/>
                            <w:color w:val="000000"/>
                            <w:sz w:val="20"/>
                            <w:szCs w:val="20"/>
                            <w:lang w:val="fr-BE" w:eastAsia="zh-CN" w:bidi="en-US"/>
                          </w:rPr>
                          <w:t xml:space="preserve">, Unité de Néphrologie, </w:t>
                        </w:r>
                      </w:p>
                      <w:p w:rsidR="00B029BC" w:rsidRPr="00F814AD" w:rsidRDefault="00FB727C" w:rsidP="006E5A42">
                        <w:pPr>
                          <w:autoSpaceDE w:val="0"/>
                          <w:autoSpaceDN w:val="0"/>
                          <w:adjustRightInd w:val="0"/>
                          <w:ind w:right="-709"/>
                          <w:jc w:val="both"/>
                          <w:rPr>
                            <w:rFonts w:eastAsia="SimSun"/>
                            <w:color w:val="000000"/>
                            <w:sz w:val="20"/>
                            <w:szCs w:val="20"/>
                            <w:lang w:val="fr-BE" w:eastAsia="zh-CN" w:bidi="en-US"/>
                          </w:rPr>
                        </w:pPr>
                        <w:r>
                          <w:rPr>
                            <w:rFonts w:eastAsia="SimSun"/>
                            <w:color w:val="000000"/>
                            <w:sz w:val="20"/>
                            <w:szCs w:val="20"/>
                            <w:lang w:val="fr-BE" w:eastAsia="zh-CN" w:bidi="en-US"/>
                          </w:rPr>
                          <w:t xml:space="preserve">Hôpital </w:t>
                        </w:r>
                        <w:proofErr w:type="spellStart"/>
                        <w:r>
                          <w:rPr>
                            <w:rFonts w:eastAsia="SimSun"/>
                            <w:color w:val="000000"/>
                            <w:sz w:val="20"/>
                            <w:szCs w:val="20"/>
                            <w:lang w:val="fr-BE" w:eastAsia="zh-CN" w:bidi="en-US"/>
                          </w:rPr>
                          <w:t>Fousseyni</w:t>
                        </w:r>
                        <w:proofErr w:type="spellEnd"/>
                        <w:r>
                          <w:rPr>
                            <w:rFonts w:eastAsia="SimSun"/>
                            <w:color w:val="000000"/>
                            <w:sz w:val="20"/>
                            <w:szCs w:val="20"/>
                            <w:lang w:val="fr-BE" w:eastAsia="zh-CN" w:bidi="en-US"/>
                          </w:rPr>
                          <w:t xml:space="preserve"> Dao-Kayes </w:t>
                        </w:r>
                      </w:p>
                      <w:p w:rsidR="000D7F7F" w:rsidRPr="0098145B" w:rsidRDefault="00B029BC" w:rsidP="000D7F7F">
                        <w:pPr>
                          <w:jc w:val="both"/>
                          <w:rPr>
                            <w:b/>
                            <w:sz w:val="18"/>
                            <w:szCs w:val="18"/>
                            <w:u w:val="single"/>
                          </w:rPr>
                        </w:pPr>
                        <w:r w:rsidRPr="004B6AE0">
                          <w:rPr>
                            <w:rFonts w:eastAsia="SimSun"/>
                            <w:b/>
                            <w:color w:val="000000"/>
                            <w:sz w:val="20"/>
                            <w:szCs w:val="20"/>
                            <w:lang w:val="fr-BE" w:eastAsia="zh-CN" w:bidi="en-US"/>
                          </w:rPr>
                          <w:t>Email</w:t>
                        </w:r>
                        <w:r>
                          <w:rPr>
                            <w:rFonts w:eastAsia="SimSun"/>
                            <w:color w:val="000000"/>
                            <w:sz w:val="20"/>
                            <w:szCs w:val="20"/>
                            <w:lang w:val="fr-BE" w:eastAsia="zh-CN" w:bidi="en-US"/>
                          </w:rPr>
                          <w:t> :</w:t>
                        </w:r>
                        <w:r w:rsidR="00FB727C">
                          <w:rPr>
                            <w:sz w:val="18"/>
                            <w:szCs w:val="18"/>
                          </w:rPr>
                          <w:t xml:space="preserve"> </w:t>
                        </w:r>
                        <w:r w:rsidR="000D7F7F" w:rsidRPr="0098145B">
                          <w:rPr>
                            <w:i/>
                            <w:sz w:val="18"/>
                            <w:szCs w:val="18"/>
                          </w:rPr>
                          <w:t>samake_magara@yahoo.fr</w:t>
                        </w:r>
                        <w:r w:rsidR="000D7F7F" w:rsidRPr="0098145B">
                          <w:rPr>
                            <w:b/>
                            <w:sz w:val="18"/>
                            <w:szCs w:val="18"/>
                            <w:u w:val="single"/>
                          </w:rPr>
                          <w:t xml:space="preserve"> </w:t>
                        </w:r>
                      </w:p>
                      <w:p w:rsidR="000D7F7F" w:rsidRPr="0098145B" w:rsidRDefault="000D7F7F" w:rsidP="000D7F7F">
                        <w:pPr>
                          <w:pStyle w:val="Paragraphedeliste"/>
                          <w:spacing w:after="0" w:line="240" w:lineRule="auto"/>
                          <w:ind w:left="0"/>
                          <w:jc w:val="both"/>
                          <w:rPr>
                            <w:rFonts w:ascii="Times New Roman" w:hAnsi="Times New Roman"/>
                            <w:sz w:val="18"/>
                            <w:szCs w:val="18"/>
                            <w:lang w:val="fr-BE"/>
                          </w:rPr>
                        </w:pPr>
                        <w:r w:rsidRPr="0098145B">
                          <w:rPr>
                            <w:rFonts w:ascii="Times New Roman" w:hAnsi="Times New Roman"/>
                            <w:sz w:val="18"/>
                            <w:szCs w:val="18"/>
                            <w:lang w:val="fr-BE"/>
                          </w:rPr>
                          <w:t>Tel : (00223)78769897/67106961</w:t>
                        </w:r>
                      </w:p>
                      <w:p w:rsidR="00B029BC" w:rsidRPr="00F814AD" w:rsidRDefault="00B029BC" w:rsidP="006E5A42">
                        <w:pPr>
                          <w:rPr>
                            <w:b/>
                            <w:sz w:val="20"/>
                            <w:szCs w:val="20"/>
                            <w:lang w:eastAsia="fr-FR"/>
                          </w:rPr>
                        </w:pPr>
                      </w:p>
                      <w:p w:rsidR="00FB727C" w:rsidRPr="0098145B" w:rsidRDefault="00B029BC" w:rsidP="00FB727C">
                        <w:pPr>
                          <w:jc w:val="both"/>
                          <w:rPr>
                            <w:sz w:val="18"/>
                            <w:szCs w:val="18"/>
                          </w:rPr>
                        </w:pPr>
                        <w:r>
                          <w:rPr>
                            <w:b/>
                            <w:bCs/>
                            <w:iCs/>
                            <w:sz w:val="18"/>
                            <w:szCs w:val="18"/>
                          </w:rPr>
                          <w:t>Mots clés : </w:t>
                        </w:r>
                        <w:r w:rsidR="00FB727C" w:rsidRPr="00FB727C">
                          <w:rPr>
                            <w:bCs/>
                            <w:iCs/>
                            <w:sz w:val="18"/>
                            <w:szCs w:val="18"/>
                          </w:rPr>
                          <w:t>P</w:t>
                        </w:r>
                        <w:r w:rsidR="00FB727C" w:rsidRPr="00FB727C">
                          <w:rPr>
                            <w:sz w:val="18"/>
                            <w:szCs w:val="18"/>
                          </w:rPr>
                          <w:t>rofil</w:t>
                        </w:r>
                        <w:r w:rsidR="00FB727C" w:rsidRPr="0098145B">
                          <w:rPr>
                            <w:sz w:val="18"/>
                            <w:szCs w:val="18"/>
                          </w:rPr>
                          <w:t xml:space="preserve"> </w:t>
                        </w:r>
                        <w:proofErr w:type="spellStart"/>
                        <w:r w:rsidR="00FB727C" w:rsidRPr="0098145B">
                          <w:rPr>
                            <w:sz w:val="18"/>
                            <w:szCs w:val="18"/>
                          </w:rPr>
                          <w:t>phospho-calcique</w:t>
                        </w:r>
                        <w:proofErr w:type="spellEnd"/>
                        <w:r w:rsidR="00FB727C" w:rsidRPr="0098145B">
                          <w:rPr>
                            <w:sz w:val="18"/>
                            <w:szCs w:val="18"/>
                          </w:rPr>
                          <w:t>, hémodialyse chronique, CHU point G/Mali.</w:t>
                        </w:r>
                      </w:p>
                      <w:p w:rsidR="00B029BC" w:rsidRDefault="00B029BC" w:rsidP="007D591B">
                        <w:pPr>
                          <w:jc w:val="both"/>
                          <w:rPr>
                            <w:sz w:val="18"/>
                            <w:szCs w:val="18"/>
                          </w:rPr>
                        </w:pPr>
                      </w:p>
                      <w:p w:rsidR="00B029BC" w:rsidRPr="006E5A42" w:rsidRDefault="00B029BC" w:rsidP="007D591B">
                        <w:pPr>
                          <w:rPr>
                            <w:sz w:val="18"/>
                            <w:szCs w:val="20"/>
                            <w:lang w:val="en-US"/>
                          </w:rPr>
                        </w:pPr>
                        <w:r w:rsidRPr="006E5A42">
                          <w:rPr>
                            <w:b/>
                            <w:bCs/>
                            <w:iCs/>
                            <w:sz w:val="18"/>
                            <w:szCs w:val="20"/>
                            <w:lang w:val="en-US"/>
                          </w:rPr>
                          <w:t>Keywords</w:t>
                        </w:r>
                        <w:r>
                          <w:rPr>
                            <w:b/>
                            <w:bCs/>
                            <w:i/>
                            <w:iCs/>
                            <w:sz w:val="18"/>
                            <w:szCs w:val="20"/>
                            <w:lang w:val="en-US"/>
                          </w:rPr>
                          <w:t xml:space="preserve">: </w:t>
                        </w:r>
                        <w:r w:rsidR="00FB727C">
                          <w:rPr>
                            <w:color w:val="212121"/>
                            <w:sz w:val="18"/>
                            <w:szCs w:val="18"/>
                          </w:rPr>
                          <w:t>P</w:t>
                        </w:r>
                        <w:r w:rsidR="00FB727C" w:rsidRPr="0098145B">
                          <w:rPr>
                            <w:color w:val="212121"/>
                            <w:sz w:val="18"/>
                            <w:szCs w:val="18"/>
                          </w:rPr>
                          <w:t xml:space="preserve">hosphate-calcium profile, </w:t>
                        </w:r>
                        <w:proofErr w:type="spellStart"/>
                        <w:r w:rsidR="00FB727C" w:rsidRPr="0098145B">
                          <w:rPr>
                            <w:color w:val="212121"/>
                            <w:sz w:val="18"/>
                            <w:szCs w:val="18"/>
                          </w:rPr>
                          <w:t>chronic</w:t>
                        </w:r>
                        <w:proofErr w:type="spellEnd"/>
                        <w:r w:rsidR="00FB727C" w:rsidRPr="0098145B">
                          <w:rPr>
                            <w:color w:val="212121"/>
                            <w:sz w:val="18"/>
                            <w:szCs w:val="18"/>
                          </w:rPr>
                          <w:t xml:space="preserve"> </w:t>
                        </w:r>
                        <w:proofErr w:type="spellStart"/>
                        <w:r w:rsidR="00FB727C" w:rsidRPr="0098145B">
                          <w:rPr>
                            <w:color w:val="212121"/>
                            <w:sz w:val="18"/>
                            <w:szCs w:val="18"/>
                          </w:rPr>
                          <w:t>hemodialysis</w:t>
                        </w:r>
                        <w:proofErr w:type="spellEnd"/>
                        <w:r w:rsidR="00FB727C" w:rsidRPr="0098145B">
                          <w:rPr>
                            <w:color w:val="212121"/>
                            <w:sz w:val="18"/>
                            <w:szCs w:val="18"/>
                          </w:rPr>
                          <w:t>, Point G-Mali \CHU. Bamako, Mali</w:t>
                        </w:r>
                      </w:p>
                    </w:txbxContent>
                  </v:textbox>
                </v:shape>
              </w:pict>
            </w:r>
          </w:p>
        </w:tc>
        <w:tc>
          <w:tcPr>
            <w:tcW w:w="6946" w:type="dxa"/>
            <w:shd w:val="clear" w:color="auto" w:fill="D3DFEE"/>
            <w:hideMark/>
          </w:tcPr>
          <w:p w:rsidR="007D591B" w:rsidRDefault="007D591B" w:rsidP="00B029BC">
            <w:pPr>
              <w:spacing w:after="120"/>
              <w:jc w:val="center"/>
              <w:rPr>
                <w:b/>
                <w:bCs/>
                <w:iCs/>
                <w:sz w:val="18"/>
                <w:szCs w:val="20"/>
              </w:rPr>
            </w:pPr>
            <w:r>
              <w:rPr>
                <w:b/>
                <w:bCs/>
                <w:iCs/>
                <w:sz w:val="18"/>
                <w:szCs w:val="20"/>
              </w:rPr>
              <w:t>RÉSUMÉ</w:t>
            </w:r>
          </w:p>
        </w:tc>
      </w:tr>
      <w:tr w:rsidR="007D591B" w:rsidRPr="00FB727C" w:rsidTr="000B24E4">
        <w:trPr>
          <w:trHeight w:val="742"/>
        </w:trPr>
        <w:tc>
          <w:tcPr>
            <w:tcW w:w="3227" w:type="dxa"/>
            <w:vMerge/>
            <w:vAlign w:val="center"/>
            <w:hideMark/>
          </w:tcPr>
          <w:p w:rsidR="007D591B" w:rsidRDefault="007D591B" w:rsidP="00B029BC">
            <w:pPr>
              <w:rPr>
                <w:b/>
                <w:bCs/>
                <w:color w:val="365F91"/>
                <w:sz w:val="18"/>
                <w:szCs w:val="18"/>
                <w:vertAlign w:val="superscript"/>
              </w:rPr>
            </w:pPr>
          </w:p>
        </w:tc>
        <w:tc>
          <w:tcPr>
            <w:tcW w:w="6946" w:type="dxa"/>
            <w:hideMark/>
          </w:tcPr>
          <w:p w:rsidR="007D591B" w:rsidRPr="00FB727C" w:rsidRDefault="00FB727C" w:rsidP="00FB727C">
            <w:pPr>
              <w:jc w:val="both"/>
              <w:rPr>
                <w:sz w:val="18"/>
                <w:szCs w:val="18"/>
              </w:rPr>
            </w:pPr>
            <w:r w:rsidRPr="0098145B">
              <w:rPr>
                <w:b/>
                <w:sz w:val="18"/>
                <w:szCs w:val="18"/>
              </w:rPr>
              <w:t>INTRODUCTION </w:t>
            </w:r>
            <w:r w:rsidRPr="0098145B">
              <w:rPr>
                <w:sz w:val="18"/>
                <w:szCs w:val="18"/>
              </w:rPr>
              <w:t>: Les troubles phosphocalciques sont fréquents en hémodialyse chronique. Leurs conséquences justifient une prévention et un traitement adaptés aux recommandations des sociétés savantes. Ces troubles commencent à s’installer dès que le débit de filtration glomérulaire devient inférieur à 60 ml/min/1,73m</w:t>
            </w:r>
            <w:r w:rsidRPr="0098145B">
              <w:rPr>
                <w:sz w:val="18"/>
                <w:szCs w:val="18"/>
                <w:vertAlign w:val="superscript"/>
              </w:rPr>
              <w:t>2</w:t>
            </w:r>
            <w:r w:rsidRPr="0098145B">
              <w:rPr>
                <w:sz w:val="18"/>
                <w:szCs w:val="18"/>
              </w:rPr>
              <w:t xml:space="preserve"> et sont regroupés sous le nom d’hyperparathyroïdie secondaire et d’</w:t>
            </w:r>
            <w:proofErr w:type="spellStart"/>
            <w:r w:rsidRPr="0098145B">
              <w:rPr>
                <w:sz w:val="18"/>
                <w:szCs w:val="18"/>
              </w:rPr>
              <w:t>ostéodystrophie</w:t>
            </w:r>
            <w:proofErr w:type="spellEnd"/>
            <w:r w:rsidRPr="0098145B">
              <w:rPr>
                <w:sz w:val="18"/>
                <w:szCs w:val="18"/>
              </w:rPr>
              <w:t xml:space="preserve"> rénale (ODR). Ils se caractérisent par des altérations structurelles de l’os et les calcifications extra- squelettiques qui se développent chez l’insuffisant rénal (IR). Ces troubles entrainent une augmentation de la </w:t>
            </w:r>
            <w:proofErr w:type="spellStart"/>
            <w:r w:rsidRPr="0098145B">
              <w:rPr>
                <w:sz w:val="18"/>
                <w:szCs w:val="18"/>
              </w:rPr>
              <w:t>morbi</w:t>
            </w:r>
            <w:proofErr w:type="spellEnd"/>
            <w:r w:rsidRPr="0098145B">
              <w:rPr>
                <w:sz w:val="18"/>
                <w:szCs w:val="18"/>
              </w:rPr>
              <w:t>-mortalité cardio-vasculaire du patient insuffisant rénal et dialysé.</w:t>
            </w:r>
            <w:r>
              <w:rPr>
                <w:sz w:val="18"/>
                <w:szCs w:val="18"/>
              </w:rPr>
              <w:t xml:space="preserve"> </w:t>
            </w:r>
            <w:r w:rsidRPr="0098145B">
              <w:rPr>
                <w:b/>
                <w:sz w:val="18"/>
                <w:szCs w:val="18"/>
              </w:rPr>
              <w:t xml:space="preserve">OBJECTIFS : </w:t>
            </w:r>
            <w:r w:rsidRPr="0098145B">
              <w:rPr>
                <w:sz w:val="18"/>
                <w:szCs w:val="18"/>
              </w:rPr>
              <w:t>Etudier l’état phosphocalcique des patients hémodialysés chroniques dans le service de néphrologie et d’hémodialyse du CHU du Point G</w:t>
            </w:r>
            <w:r>
              <w:rPr>
                <w:sz w:val="18"/>
                <w:szCs w:val="18"/>
              </w:rPr>
              <w:t xml:space="preserve">. </w:t>
            </w:r>
            <w:r w:rsidRPr="0098145B">
              <w:rPr>
                <w:b/>
                <w:sz w:val="18"/>
                <w:szCs w:val="18"/>
              </w:rPr>
              <w:t xml:space="preserve">METHODOLOGIE : </w:t>
            </w:r>
            <w:r w:rsidRPr="0098145B">
              <w:rPr>
                <w:sz w:val="18"/>
                <w:szCs w:val="18"/>
              </w:rPr>
              <w:t xml:space="preserve">Etude transversale rétrospective allant du 01 Janvier 2015 au 31 juillet 2015 dans le service de néphrologie et d’hémodialyse du CHU Point G incluant </w:t>
            </w:r>
            <w:proofErr w:type="spellStart"/>
            <w:r w:rsidRPr="0098145B">
              <w:rPr>
                <w:sz w:val="18"/>
                <w:szCs w:val="18"/>
              </w:rPr>
              <w:t>tout</w:t>
            </w:r>
            <w:proofErr w:type="spellEnd"/>
            <w:r w:rsidRPr="0098145B">
              <w:rPr>
                <w:sz w:val="18"/>
                <w:szCs w:val="18"/>
              </w:rPr>
              <w:t xml:space="preserve"> les patients en hémodialyse chronique depuis au moins six (06) mois ayant réalisé la calcémie, </w:t>
            </w:r>
            <w:proofErr w:type="spellStart"/>
            <w:r w:rsidRPr="0098145B">
              <w:rPr>
                <w:sz w:val="18"/>
                <w:szCs w:val="18"/>
              </w:rPr>
              <w:t>phosphatémie</w:t>
            </w:r>
            <w:proofErr w:type="spellEnd"/>
            <w:r w:rsidRPr="0098145B">
              <w:rPr>
                <w:sz w:val="18"/>
                <w:szCs w:val="18"/>
              </w:rPr>
              <w:t>, parathormone (PTH) intacte, Vitamine D (Vit D).</w:t>
            </w:r>
            <w:r>
              <w:rPr>
                <w:sz w:val="18"/>
                <w:szCs w:val="18"/>
              </w:rPr>
              <w:t xml:space="preserve"> </w:t>
            </w:r>
            <w:r>
              <w:rPr>
                <w:b/>
                <w:sz w:val="18"/>
                <w:szCs w:val="18"/>
              </w:rPr>
              <w:t>RE</w:t>
            </w:r>
            <w:r w:rsidRPr="0098145B">
              <w:rPr>
                <w:b/>
                <w:sz w:val="18"/>
                <w:szCs w:val="18"/>
              </w:rPr>
              <w:t>SULTATS </w:t>
            </w:r>
            <w:r w:rsidRPr="0098145B">
              <w:rPr>
                <w:sz w:val="18"/>
                <w:szCs w:val="18"/>
              </w:rPr>
              <w:t xml:space="preserve">: Nous avons colligé 102 patients sur les 230 patients en hémodialyse chronique. L’âge moyen était de 48,92 ans, avec des extrêmes de 22 ans et 84 ans. La tranche d’âge 30- 50 ans était la plus représentée soit 51 %. Cinq virgule neuf pourcent des patients avaient les trois principaux paramètres (une calcémie, une </w:t>
            </w:r>
            <w:proofErr w:type="spellStart"/>
            <w:r w:rsidRPr="0098145B">
              <w:rPr>
                <w:sz w:val="18"/>
                <w:szCs w:val="18"/>
              </w:rPr>
              <w:t>phosphatémie</w:t>
            </w:r>
            <w:proofErr w:type="spellEnd"/>
            <w:r w:rsidRPr="0098145B">
              <w:rPr>
                <w:sz w:val="18"/>
                <w:szCs w:val="18"/>
              </w:rPr>
              <w:t xml:space="preserve">, une PTH intacte), dans les limites de KDIGO 2009. </w:t>
            </w:r>
          </w:p>
        </w:tc>
      </w:tr>
      <w:tr w:rsidR="007D591B" w:rsidTr="000B24E4">
        <w:trPr>
          <w:trHeight w:val="237"/>
        </w:trPr>
        <w:tc>
          <w:tcPr>
            <w:tcW w:w="3227" w:type="dxa"/>
            <w:vMerge w:val="restart"/>
            <w:shd w:val="clear" w:color="auto" w:fill="D3DFEE"/>
          </w:tcPr>
          <w:p w:rsidR="007D591B" w:rsidRPr="00FB727C" w:rsidRDefault="007D591B" w:rsidP="00B029BC">
            <w:pPr>
              <w:rPr>
                <w:b/>
                <w:bCs/>
                <w:color w:val="365F91"/>
                <w:sz w:val="18"/>
                <w:szCs w:val="18"/>
                <w:vertAlign w:val="superscript"/>
              </w:rPr>
            </w:pPr>
          </w:p>
        </w:tc>
        <w:tc>
          <w:tcPr>
            <w:tcW w:w="6946" w:type="dxa"/>
            <w:shd w:val="clear" w:color="auto" w:fill="D3DFEE"/>
            <w:hideMark/>
          </w:tcPr>
          <w:p w:rsidR="007D591B" w:rsidRDefault="007D591B" w:rsidP="000A16F6">
            <w:pPr>
              <w:jc w:val="center"/>
              <w:rPr>
                <w:bCs/>
                <w:iCs/>
                <w:sz w:val="18"/>
                <w:szCs w:val="20"/>
              </w:rPr>
            </w:pPr>
            <w:r>
              <w:rPr>
                <w:b/>
                <w:bCs/>
                <w:iCs/>
                <w:sz w:val="18"/>
                <w:szCs w:val="20"/>
              </w:rPr>
              <w:t>ABSTRACT</w:t>
            </w:r>
          </w:p>
        </w:tc>
      </w:tr>
      <w:tr w:rsidR="007D591B" w:rsidRPr="000D7F7F" w:rsidTr="000B24E4">
        <w:tc>
          <w:tcPr>
            <w:tcW w:w="3227" w:type="dxa"/>
            <w:vMerge/>
            <w:vAlign w:val="center"/>
            <w:hideMark/>
          </w:tcPr>
          <w:p w:rsidR="007D591B" w:rsidRDefault="007D591B" w:rsidP="00B029BC">
            <w:pPr>
              <w:rPr>
                <w:b/>
                <w:bCs/>
                <w:color w:val="365F91"/>
                <w:sz w:val="18"/>
                <w:szCs w:val="18"/>
                <w:vertAlign w:val="superscript"/>
              </w:rPr>
            </w:pPr>
          </w:p>
        </w:tc>
        <w:tc>
          <w:tcPr>
            <w:tcW w:w="6946" w:type="dxa"/>
            <w:hideMark/>
          </w:tcPr>
          <w:p w:rsidR="00FB727C" w:rsidRDefault="00FB727C" w:rsidP="00FB727C">
            <w:pPr>
              <w:pStyle w:val="PrformatHTML"/>
              <w:shd w:val="clear" w:color="auto" w:fill="FFFFFF"/>
              <w:jc w:val="both"/>
              <w:rPr>
                <w:rFonts w:ascii="Times New Roman" w:hAnsi="Times New Roman" w:cs="Times New Roman"/>
                <w:color w:val="212121"/>
                <w:sz w:val="18"/>
                <w:szCs w:val="18"/>
                <w:lang w:val="en-US"/>
              </w:rPr>
            </w:pPr>
            <w:r w:rsidRPr="00FB727C">
              <w:rPr>
                <w:rFonts w:ascii="Times New Roman" w:hAnsi="Times New Roman" w:cs="Times New Roman"/>
                <w:b/>
                <w:color w:val="212121"/>
                <w:sz w:val="18"/>
                <w:szCs w:val="18"/>
                <w:lang w:val="en-US"/>
              </w:rPr>
              <w:t>INTRODUCTION:</w:t>
            </w:r>
            <w:r w:rsidRPr="00FB727C">
              <w:rPr>
                <w:rFonts w:ascii="Times New Roman" w:hAnsi="Times New Roman" w:cs="Times New Roman"/>
                <w:color w:val="212121"/>
                <w:sz w:val="18"/>
                <w:szCs w:val="18"/>
                <w:lang w:val="en-US"/>
              </w:rPr>
              <w:t xml:space="preserve"> Calcium and phosphate disorders are common in chronic hemodialysis. Their consequences determine prevention and treatment adapted to the recommendations of high educated societies. These disorders begin to develop as soon as the glomerular filtration rate falls below 60 ml / min / 1.73m2 and are grouped under the name of secondary hyperparathyroidism and renal </w:t>
            </w:r>
            <w:proofErr w:type="spellStart"/>
            <w:r w:rsidRPr="00FB727C">
              <w:rPr>
                <w:rFonts w:ascii="Times New Roman" w:hAnsi="Times New Roman" w:cs="Times New Roman"/>
                <w:color w:val="212121"/>
                <w:sz w:val="18"/>
                <w:szCs w:val="18"/>
                <w:lang w:val="en-US"/>
              </w:rPr>
              <w:t>osteodystrophy</w:t>
            </w:r>
            <w:proofErr w:type="spellEnd"/>
            <w:r w:rsidRPr="00FB727C">
              <w:rPr>
                <w:rFonts w:ascii="Times New Roman" w:hAnsi="Times New Roman" w:cs="Times New Roman"/>
                <w:color w:val="212121"/>
                <w:sz w:val="18"/>
                <w:szCs w:val="18"/>
                <w:lang w:val="en-US"/>
              </w:rPr>
              <w:t xml:space="preserve"> (ROD).</w:t>
            </w:r>
            <w:r w:rsidRPr="00FB727C">
              <w:rPr>
                <w:rFonts w:ascii="Times New Roman" w:hAnsi="Times New Roman" w:cs="Times New Roman"/>
                <w:color w:val="212121"/>
                <w:sz w:val="18"/>
                <w:szCs w:val="18"/>
                <w:shd w:val="clear" w:color="auto" w:fill="FFFFFF"/>
                <w:lang w:val="en-US"/>
              </w:rPr>
              <w:t>It is characterized by the structural alters of bones and the extra-</w:t>
            </w:r>
            <w:proofErr w:type="spellStart"/>
            <w:r w:rsidRPr="00FB727C">
              <w:rPr>
                <w:rFonts w:ascii="Times New Roman" w:hAnsi="Times New Roman" w:cs="Times New Roman"/>
                <w:color w:val="212121"/>
                <w:sz w:val="18"/>
                <w:szCs w:val="18"/>
                <w:shd w:val="clear" w:color="auto" w:fill="FFFFFF"/>
                <w:lang w:val="en-US"/>
              </w:rPr>
              <w:t>squeletal</w:t>
            </w:r>
            <w:proofErr w:type="spellEnd"/>
            <w:r w:rsidRPr="00FB727C">
              <w:rPr>
                <w:rFonts w:ascii="Times New Roman" w:hAnsi="Times New Roman" w:cs="Times New Roman"/>
                <w:color w:val="212121"/>
                <w:sz w:val="18"/>
                <w:szCs w:val="18"/>
                <w:shd w:val="clear" w:color="auto" w:fill="FFFFFF"/>
                <w:lang w:val="en-US"/>
              </w:rPr>
              <w:t xml:space="preserve"> calcifications that develop in renal insufficiency (IR). These troubles lead to an increase in the cardio-</w:t>
            </w:r>
            <w:proofErr w:type="spellStart"/>
            <w:r w:rsidRPr="00FB727C">
              <w:rPr>
                <w:rFonts w:ascii="Times New Roman" w:hAnsi="Times New Roman" w:cs="Times New Roman"/>
                <w:color w:val="212121"/>
                <w:sz w:val="18"/>
                <w:szCs w:val="18"/>
                <w:shd w:val="clear" w:color="auto" w:fill="FFFFFF"/>
                <w:lang w:val="en-US"/>
              </w:rPr>
              <w:t>vasculary</w:t>
            </w:r>
            <w:proofErr w:type="spellEnd"/>
            <w:r w:rsidRPr="00FB727C">
              <w:rPr>
                <w:rFonts w:ascii="Times New Roman" w:hAnsi="Times New Roman" w:cs="Times New Roman"/>
                <w:color w:val="212121"/>
                <w:sz w:val="18"/>
                <w:szCs w:val="18"/>
                <w:shd w:val="clear" w:color="auto" w:fill="FFFFFF"/>
                <w:lang w:val="en-US"/>
              </w:rPr>
              <w:t xml:space="preserve"> morbidity-mortality of the renal deficiency of the </w:t>
            </w:r>
            <w:proofErr w:type="spellStart"/>
            <w:r w:rsidRPr="00FB727C">
              <w:rPr>
                <w:rFonts w:ascii="Times New Roman" w:hAnsi="Times New Roman" w:cs="Times New Roman"/>
                <w:color w:val="212121"/>
                <w:sz w:val="18"/>
                <w:szCs w:val="18"/>
                <w:shd w:val="clear" w:color="auto" w:fill="FFFFFF"/>
                <w:lang w:val="en-US"/>
              </w:rPr>
              <w:t>dialysed</w:t>
            </w:r>
            <w:proofErr w:type="spellEnd"/>
            <w:r w:rsidRPr="00FB727C">
              <w:rPr>
                <w:rFonts w:ascii="Times New Roman" w:hAnsi="Times New Roman" w:cs="Times New Roman"/>
                <w:color w:val="212121"/>
                <w:sz w:val="18"/>
                <w:szCs w:val="18"/>
                <w:shd w:val="clear" w:color="auto" w:fill="FFFFFF"/>
                <w:lang w:val="en-US"/>
              </w:rPr>
              <w:t xml:space="preserve"> patient. </w:t>
            </w:r>
            <w:r w:rsidRPr="00FB727C">
              <w:rPr>
                <w:rFonts w:ascii="Times New Roman" w:hAnsi="Times New Roman" w:cs="Times New Roman"/>
                <w:b/>
                <w:color w:val="212121"/>
                <w:sz w:val="18"/>
                <w:szCs w:val="18"/>
                <w:lang w:val="en-US"/>
              </w:rPr>
              <w:t>OBJECTIVES:</w:t>
            </w:r>
            <w:r w:rsidRPr="00FB727C">
              <w:rPr>
                <w:rFonts w:ascii="Times New Roman" w:hAnsi="Times New Roman" w:cs="Times New Roman"/>
                <w:color w:val="212121"/>
                <w:sz w:val="18"/>
                <w:szCs w:val="18"/>
                <w:lang w:val="en-US"/>
              </w:rPr>
              <w:t xml:space="preserve"> To study the calcium and phosphate state chronic hemodialysis patients in the nephrology and hemodialysis unit of the Point G. CHU. </w:t>
            </w:r>
            <w:r w:rsidRPr="00FB727C">
              <w:rPr>
                <w:rFonts w:ascii="Times New Roman" w:hAnsi="Times New Roman" w:cs="Times New Roman"/>
                <w:b/>
                <w:color w:val="212121"/>
                <w:sz w:val="18"/>
                <w:szCs w:val="18"/>
                <w:lang w:val="en-US"/>
              </w:rPr>
              <w:t>METHODOLOGY</w:t>
            </w:r>
            <w:r w:rsidRPr="00FB727C">
              <w:rPr>
                <w:rFonts w:ascii="Times New Roman" w:hAnsi="Times New Roman" w:cs="Times New Roman"/>
                <w:color w:val="212121"/>
                <w:sz w:val="18"/>
                <w:szCs w:val="18"/>
                <w:lang w:val="en-US"/>
              </w:rPr>
              <w:t xml:space="preserve">: Retrospective cross-sectional study from January 1st, 2015 to July 31st, 2015 in the nephrology and hemodialysis department of the CHU Point G, including all patients in chronic hemodialysis for at least six (6) months who have achieved serum calcium, phosphate level, THA intact, D. Vitamin . </w:t>
            </w:r>
            <w:r w:rsidRPr="00FB727C">
              <w:rPr>
                <w:rFonts w:ascii="Times New Roman" w:hAnsi="Times New Roman" w:cs="Times New Roman"/>
                <w:b/>
                <w:color w:val="212121"/>
                <w:sz w:val="18"/>
                <w:szCs w:val="18"/>
                <w:lang w:val="en-US"/>
              </w:rPr>
              <w:t>RESULTS:</w:t>
            </w:r>
            <w:r w:rsidRPr="00FB727C">
              <w:rPr>
                <w:rFonts w:ascii="Times New Roman" w:hAnsi="Times New Roman" w:cs="Times New Roman"/>
                <w:color w:val="212121"/>
                <w:sz w:val="18"/>
                <w:szCs w:val="18"/>
                <w:lang w:val="en-US"/>
              </w:rPr>
              <w:t xml:space="preserve"> We collected 102 patients out of 230 patients on chronic hemodialysis. The average age was 48.92 years, with extremes of 22 years and 84 years. The 30-50 age group was the most represented about 51%. Five point nine percent of the patients had the three main parameters (serum calcium, low phosphate level, PTH intact), within the limits of KDIGO 2009.</w:t>
            </w:r>
          </w:p>
          <w:p w:rsidR="00FB727C" w:rsidRDefault="00FB727C" w:rsidP="00FB727C">
            <w:pPr>
              <w:pStyle w:val="PrformatHTML"/>
              <w:shd w:val="clear" w:color="auto" w:fill="FFFFFF"/>
              <w:jc w:val="both"/>
              <w:rPr>
                <w:rFonts w:ascii="Times New Roman" w:hAnsi="Times New Roman" w:cs="Times New Roman"/>
                <w:color w:val="212121"/>
                <w:sz w:val="18"/>
                <w:szCs w:val="18"/>
                <w:lang w:val="en-US"/>
              </w:rPr>
            </w:pPr>
          </w:p>
          <w:p w:rsidR="00FB727C" w:rsidRDefault="00FB727C" w:rsidP="00FB727C">
            <w:pPr>
              <w:pStyle w:val="PrformatHTML"/>
              <w:shd w:val="clear" w:color="auto" w:fill="FFFFFF"/>
              <w:jc w:val="both"/>
              <w:rPr>
                <w:rFonts w:ascii="Times New Roman" w:hAnsi="Times New Roman" w:cs="Times New Roman"/>
                <w:color w:val="212121"/>
                <w:sz w:val="18"/>
                <w:szCs w:val="18"/>
                <w:lang w:val="en-US"/>
              </w:rPr>
            </w:pPr>
          </w:p>
          <w:p w:rsidR="00FB727C" w:rsidRDefault="00FB727C" w:rsidP="00FB727C">
            <w:pPr>
              <w:pStyle w:val="PrformatHTML"/>
              <w:shd w:val="clear" w:color="auto" w:fill="FFFFFF"/>
              <w:jc w:val="both"/>
              <w:rPr>
                <w:rFonts w:ascii="Times New Roman" w:hAnsi="Times New Roman" w:cs="Times New Roman"/>
                <w:color w:val="212121"/>
                <w:sz w:val="18"/>
                <w:szCs w:val="18"/>
                <w:lang w:val="en-US"/>
              </w:rPr>
            </w:pPr>
          </w:p>
          <w:p w:rsidR="00FB727C" w:rsidRDefault="00FB727C" w:rsidP="00FB727C">
            <w:pPr>
              <w:pStyle w:val="PrformatHTML"/>
              <w:shd w:val="clear" w:color="auto" w:fill="FFFFFF"/>
              <w:jc w:val="both"/>
              <w:rPr>
                <w:rFonts w:ascii="Times New Roman" w:hAnsi="Times New Roman" w:cs="Times New Roman"/>
                <w:color w:val="212121"/>
                <w:sz w:val="18"/>
                <w:szCs w:val="18"/>
                <w:lang w:val="en-US"/>
              </w:rPr>
            </w:pPr>
          </w:p>
          <w:p w:rsidR="00FB727C" w:rsidRDefault="00FB727C" w:rsidP="00FB727C">
            <w:pPr>
              <w:pStyle w:val="PrformatHTML"/>
              <w:shd w:val="clear" w:color="auto" w:fill="FFFFFF"/>
              <w:jc w:val="both"/>
              <w:rPr>
                <w:rFonts w:ascii="Times New Roman" w:hAnsi="Times New Roman" w:cs="Times New Roman"/>
                <w:color w:val="212121"/>
                <w:sz w:val="18"/>
                <w:szCs w:val="18"/>
                <w:lang w:val="en-US"/>
              </w:rPr>
            </w:pPr>
          </w:p>
          <w:p w:rsidR="00FB727C" w:rsidRDefault="00FB727C" w:rsidP="00FB727C">
            <w:pPr>
              <w:pStyle w:val="PrformatHTML"/>
              <w:shd w:val="clear" w:color="auto" w:fill="FFFFFF"/>
              <w:jc w:val="both"/>
              <w:rPr>
                <w:rFonts w:ascii="Times New Roman" w:hAnsi="Times New Roman" w:cs="Times New Roman"/>
                <w:color w:val="212121"/>
                <w:sz w:val="18"/>
                <w:szCs w:val="18"/>
                <w:lang w:val="en-US"/>
              </w:rPr>
            </w:pPr>
          </w:p>
          <w:p w:rsidR="00FB727C" w:rsidRPr="00FB727C" w:rsidRDefault="00FB727C" w:rsidP="00FB727C">
            <w:pPr>
              <w:pStyle w:val="PrformatHTML"/>
              <w:shd w:val="clear" w:color="auto" w:fill="FFFFFF"/>
              <w:jc w:val="both"/>
              <w:rPr>
                <w:rFonts w:ascii="Times New Roman" w:hAnsi="Times New Roman" w:cs="Times New Roman"/>
                <w:color w:val="212121"/>
                <w:sz w:val="18"/>
                <w:szCs w:val="18"/>
                <w:lang w:val="en-US"/>
              </w:rPr>
            </w:pPr>
          </w:p>
          <w:p w:rsidR="007D591B" w:rsidRPr="00870CAE" w:rsidRDefault="007D591B" w:rsidP="000A16F6">
            <w:pPr>
              <w:jc w:val="both"/>
              <w:rPr>
                <w:sz w:val="18"/>
                <w:szCs w:val="18"/>
                <w:lang w:val="en-US"/>
              </w:rPr>
            </w:pPr>
          </w:p>
        </w:tc>
      </w:tr>
    </w:tbl>
    <w:p w:rsidR="00C11AD0" w:rsidRDefault="00C11AD0" w:rsidP="007D591B">
      <w:pPr>
        <w:jc w:val="both"/>
        <w:rPr>
          <w:rFonts w:eastAsia="Times New Roman"/>
          <w:b/>
          <w:bCs/>
          <w:sz w:val="20"/>
          <w:szCs w:val="20"/>
          <w:lang w:val="en-US"/>
        </w:rPr>
        <w:sectPr w:rsidR="00C11AD0" w:rsidSect="00F814AD">
          <w:pgSz w:w="11906" w:h="16838" w:code="9"/>
          <w:pgMar w:top="1134" w:right="851" w:bottom="1418" w:left="1134" w:header="708" w:footer="708" w:gutter="0"/>
          <w:cols w:space="708"/>
          <w:docGrid w:linePitch="360"/>
        </w:sectPr>
      </w:pPr>
    </w:p>
    <w:p w:rsidR="000B24E4" w:rsidRDefault="000B24E4" w:rsidP="007D591B">
      <w:pPr>
        <w:jc w:val="both"/>
        <w:rPr>
          <w:rFonts w:eastAsia="Times New Roman"/>
          <w:b/>
          <w:bCs/>
          <w:sz w:val="20"/>
          <w:szCs w:val="20"/>
          <w:lang w:val="en-US"/>
        </w:rPr>
        <w:sectPr w:rsidR="000B24E4" w:rsidSect="00C11AD0">
          <w:type w:val="continuous"/>
          <w:pgSz w:w="11906" w:h="16838" w:code="9"/>
          <w:pgMar w:top="1134" w:right="851" w:bottom="1418" w:left="1134" w:header="708" w:footer="708" w:gutter="0"/>
          <w:cols w:space="708"/>
          <w:docGrid w:linePitch="360"/>
        </w:sectPr>
      </w:pPr>
    </w:p>
    <w:p w:rsidR="00577B56" w:rsidRPr="00F814AD" w:rsidRDefault="001723C9" w:rsidP="000B24E4">
      <w:pPr>
        <w:jc w:val="both"/>
        <w:rPr>
          <w:sz w:val="20"/>
          <w:szCs w:val="20"/>
        </w:rPr>
      </w:pPr>
      <w:r w:rsidRPr="00F814AD">
        <w:rPr>
          <w:b/>
          <w:bCs/>
          <w:color w:val="000000"/>
          <w:sz w:val="20"/>
          <w:szCs w:val="20"/>
          <w:lang w:eastAsia="fr-FR"/>
        </w:rPr>
        <w:lastRenderedPageBreak/>
        <w:t>INTRODUCTION</w:t>
      </w:r>
      <w:r w:rsidR="00577B56" w:rsidRPr="00F814AD">
        <w:rPr>
          <w:b/>
          <w:bCs/>
          <w:color w:val="000000"/>
          <w:sz w:val="20"/>
          <w:szCs w:val="20"/>
          <w:lang w:eastAsia="fr-FR"/>
        </w:rPr>
        <w:t> :</w:t>
      </w:r>
    </w:p>
    <w:p w:rsidR="00FB727C" w:rsidRPr="0098145B" w:rsidRDefault="00FB727C" w:rsidP="00FB727C">
      <w:pPr>
        <w:jc w:val="both"/>
        <w:rPr>
          <w:sz w:val="18"/>
          <w:szCs w:val="18"/>
        </w:rPr>
      </w:pPr>
      <w:r w:rsidRPr="0098145B">
        <w:rPr>
          <w:sz w:val="18"/>
          <w:szCs w:val="18"/>
        </w:rPr>
        <w:t>Les troubles phosphocalciques sont fréquents en hémodialyse chronique. Leurs conséquences justifient une prévention et un traitement adaptés aux recommandations des sociétés savantes [1]. Ces troubles commencent à s’installer dès que le débit de filtration glomérulaire devient inférieur à 60 ml/min/1,73m</w:t>
      </w:r>
      <w:r w:rsidRPr="0098145B">
        <w:rPr>
          <w:sz w:val="18"/>
          <w:szCs w:val="18"/>
          <w:vertAlign w:val="superscript"/>
        </w:rPr>
        <w:t>2</w:t>
      </w:r>
      <w:r w:rsidRPr="0098145B">
        <w:rPr>
          <w:sz w:val="18"/>
          <w:szCs w:val="18"/>
        </w:rPr>
        <w:t xml:space="preserve"> et sont regroupés sous le nom d’hyperparathyroïdie secondaire et d’</w:t>
      </w:r>
      <w:proofErr w:type="spellStart"/>
      <w:r w:rsidRPr="0098145B">
        <w:rPr>
          <w:sz w:val="18"/>
          <w:szCs w:val="18"/>
        </w:rPr>
        <w:t>ostéodystrophie</w:t>
      </w:r>
      <w:proofErr w:type="spellEnd"/>
      <w:r w:rsidRPr="0098145B">
        <w:rPr>
          <w:sz w:val="18"/>
          <w:szCs w:val="18"/>
        </w:rPr>
        <w:t xml:space="preserve"> rénale (ODR). Ils se caractérisent par des altérations structurelles de l’os et les calcifications extra-squelettiques qui se développent en insuffisant rénal (IR). Le rein est en effet, avec le tissu osseux et l’intestin, est l’un des principaux organes impliqué dans l’homéostasie du phosphate et du calcium. Ces trois organes agissent de concert pour réguler la calcémie et la </w:t>
      </w:r>
      <w:proofErr w:type="spellStart"/>
      <w:r w:rsidRPr="0098145B">
        <w:rPr>
          <w:sz w:val="18"/>
          <w:szCs w:val="18"/>
        </w:rPr>
        <w:t>phosphatémie</w:t>
      </w:r>
      <w:proofErr w:type="spellEnd"/>
      <w:r w:rsidRPr="0098145B">
        <w:rPr>
          <w:sz w:val="18"/>
          <w:szCs w:val="18"/>
        </w:rPr>
        <w:t xml:space="preserve"> et ainsi maintenir constant le pool de calcium et de phosphates dans les liquides extracellulaires et la teneur phosphocalcique du squelette. Ces troubles </w:t>
      </w:r>
      <w:proofErr w:type="spellStart"/>
      <w:r w:rsidRPr="0098145B">
        <w:rPr>
          <w:sz w:val="18"/>
          <w:szCs w:val="18"/>
        </w:rPr>
        <w:t>minéralo</w:t>
      </w:r>
      <w:proofErr w:type="spellEnd"/>
      <w:r w:rsidRPr="0098145B">
        <w:rPr>
          <w:sz w:val="18"/>
          <w:szCs w:val="18"/>
        </w:rPr>
        <w:t xml:space="preserve">-osseux (TMO) entrainent une augmentation de la </w:t>
      </w:r>
      <w:proofErr w:type="spellStart"/>
      <w:r w:rsidRPr="0098145B">
        <w:rPr>
          <w:sz w:val="18"/>
          <w:szCs w:val="18"/>
        </w:rPr>
        <w:t>morbi</w:t>
      </w:r>
      <w:proofErr w:type="spellEnd"/>
      <w:r w:rsidRPr="0098145B">
        <w:rPr>
          <w:sz w:val="18"/>
          <w:szCs w:val="18"/>
        </w:rPr>
        <w:t>-mortalité cardio-vasculaire du patient insuffisant rénal et dialysé [2].</w:t>
      </w:r>
      <w:r>
        <w:rPr>
          <w:sz w:val="18"/>
          <w:szCs w:val="18"/>
        </w:rPr>
        <w:t xml:space="preserve"> </w:t>
      </w:r>
      <w:r w:rsidRPr="0098145B">
        <w:rPr>
          <w:sz w:val="18"/>
          <w:szCs w:val="18"/>
        </w:rPr>
        <w:t>L’objectif de ce travail était d’étudier l’état phosphocalcique des patients hémodialysés chroniques dans le service de néphrologie et d’hémodialyse du CHU Point G.</w:t>
      </w:r>
    </w:p>
    <w:p w:rsidR="00577B56" w:rsidRPr="00F814AD" w:rsidRDefault="001723C9" w:rsidP="000B24E4">
      <w:pPr>
        <w:jc w:val="both"/>
        <w:rPr>
          <w:b/>
          <w:sz w:val="20"/>
          <w:szCs w:val="20"/>
        </w:rPr>
      </w:pPr>
      <w:r w:rsidRPr="00F814AD">
        <w:rPr>
          <w:b/>
          <w:sz w:val="20"/>
          <w:szCs w:val="20"/>
        </w:rPr>
        <w:t>MATERIELS ET METHODES</w:t>
      </w:r>
    </w:p>
    <w:p w:rsidR="003A4D51" w:rsidRPr="0098145B" w:rsidRDefault="003A4D51" w:rsidP="003A4D51">
      <w:pPr>
        <w:autoSpaceDE w:val="0"/>
        <w:autoSpaceDN w:val="0"/>
        <w:adjustRightInd w:val="0"/>
        <w:jc w:val="both"/>
        <w:rPr>
          <w:sz w:val="18"/>
          <w:szCs w:val="18"/>
        </w:rPr>
      </w:pPr>
      <w:r w:rsidRPr="0098145B">
        <w:rPr>
          <w:sz w:val="18"/>
          <w:szCs w:val="18"/>
        </w:rPr>
        <w:t>Il s’agissait d’une étude transversale rétrospective allant du 1</w:t>
      </w:r>
      <w:r w:rsidRPr="0098145B">
        <w:rPr>
          <w:sz w:val="18"/>
          <w:szCs w:val="18"/>
          <w:vertAlign w:val="superscript"/>
        </w:rPr>
        <w:t>er</w:t>
      </w:r>
      <w:r w:rsidRPr="0098145B">
        <w:rPr>
          <w:sz w:val="18"/>
          <w:szCs w:val="18"/>
        </w:rPr>
        <w:t xml:space="preserve"> Janvier 2015 au 31 juillet 2015 réalisée dans le service de Néphrologie et d’hémodialyse du CHU du Point G à Bamako/Mali.</w:t>
      </w:r>
      <w:r>
        <w:rPr>
          <w:sz w:val="18"/>
          <w:szCs w:val="18"/>
        </w:rPr>
        <w:t xml:space="preserve"> </w:t>
      </w:r>
      <w:r w:rsidRPr="0098145B">
        <w:rPr>
          <w:sz w:val="18"/>
          <w:szCs w:val="18"/>
        </w:rPr>
        <w:t xml:space="preserve">Etaient inclus, tout patient en hémodialyse chronique depuis au moins six (06) mois ayant réalisé la calcémie, </w:t>
      </w:r>
      <w:proofErr w:type="spellStart"/>
      <w:r w:rsidRPr="0098145B">
        <w:rPr>
          <w:sz w:val="18"/>
          <w:szCs w:val="18"/>
        </w:rPr>
        <w:t>phosphatémie</w:t>
      </w:r>
      <w:proofErr w:type="spellEnd"/>
      <w:r w:rsidRPr="0098145B">
        <w:rPr>
          <w:sz w:val="18"/>
          <w:szCs w:val="18"/>
        </w:rPr>
        <w:t>, PTH intacte (</w:t>
      </w:r>
      <w:proofErr w:type="spellStart"/>
      <w:r w:rsidRPr="0098145B">
        <w:rPr>
          <w:sz w:val="18"/>
          <w:szCs w:val="18"/>
        </w:rPr>
        <w:t>PTHi</w:t>
      </w:r>
      <w:proofErr w:type="spellEnd"/>
      <w:r w:rsidRPr="0098145B">
        <w:rPr>
          <w:sz w:val="18"/>
          <w:szCs w:val="18"/>
        </w:rPr>
        <w:t>), Vit D.</w:t>
      </w:r>
      <w:r>
        <w:rPr>
          <w:sz w:val="18"/>
          <w:szCs w:val="18"/>
        </w:rPr>
        <w:t xml:space="preserve"> </w:t>
      </w:r>
      <w:r w:rsidRPr="0098145B">
        <w:rPr>
          <w:sz w:val="18"/>
          <w:szCs w:val="18"/>
        </w:rPr>
        <w:t>La collecte des données s’est déroulée dans l’unité de dialyse grâce à l’étude de dossiers d’hospitalisation, de dialyse et cahiers individuels de dialyse. Les paramètres étudiés étaient</w:t>
      </w:r>
      <w:r>
        <w:rPr>
          <w:sz w:val="18"/>
          <w:szCs w:val="18"/>
        </w:rPr>
        <w:t xml:space="preserve"> : </w:t>
      </w:r>
      <w:r w:rsidRPr="0098145B">
        <w:rPr>
          <w:sz w:val="18"/>
          <w:szCs w:val="18"/>
        </w:rPr>
        <w:t>Sociodémographiques</w:t>
      </w:r>
      <w:r>
        <w:rPr>
          <w:sz w:val="18"/>
          <w:szCs w:val="18"/>
        </w:rPr>
        <w:t>, n</w:t>
      </w:r>
      <w:r w:rsidRPr="0098145B">
        <w:rPr>
          <w:sz w:val="18"/>
          <w:szCs w:val="18"/>
        </w:rPr>
        <w:t>éphropathie initiale</w:t>
      </w:r>
      <w:r>
        <w:rPr>
          <w:sz w:val="18"/>
          <w:szCs w:val="18"/>
        </w:rPr>
        <w:t>, d</w:t>
      </w:r>
      <w:r w:rsidRPr="0098145B">
        <w:rPr>
          <w:sz w:val="18"/>
          <w:szCs w:val="18"/>
        </w:rPr>
        <w:t>ialytique</w:t>
      </w:r>
      <w:r>
        <w:rPr>
          <w:sz w:val="18"/>
          <w:szCs w:val="18"/>
        </w:rPr>
        <w:t xml:space="preserve">, cliniques, </w:t>
      </w:r>
      <w:proofErr w:type="spellStart"/>
      <w:r w:rsidRPr="0098145B">
        <w:rPr>
          <w:sz w:val="18"/>
          <w:szCs w:val="18"/>
        </w:rPr>
        <w:t>para-cliniques</w:t>
      </w:r>
      <w:proofErr w:type="spellEnd"/>
      <w:r>
        <w:rPr>
          <w:sz w:val="18"/>
          <w:szCs w:val="18"/>
        </w:rPr>
        <w:t>, t</w:t>
      </w:r>
      <w:r w:rsidRPr="0098145B">
        <w:rPr>
          <w:sz w:val="18"/>
          <w:szCs w:val="18"/>
        </w:rPr>
        <w:t>hérapeutiques et évolutives.</w:t>
      </w:r>
      <w:r>
        <w:rPr>
          <w:sz w:val="18"/>
          <w:szCs w:val="18"/>
        </w:rPr>
        <w:t xml:space="preserve"> </w:t>
      </w:r>
      <w:r w:rsidRPr="0098145B">
        <w:rPr>
          <w:sz w:val="18"/>
          <w:szCs w:val="18"/>
        </w:rPr>
        <w:t>La saisie et l’analyse statistique des donnés ont été effectuées à l'aide du logiciel Word 2007 et SPSS 20 version française. Le t-test de Khi</w:t>
      </w:r>
      <w:r w:rsidRPr="0098145B">
        <w:rPr>
          <w:sz w:val="18"/>
          <w:szCs w:val="18"/>
          <w:vertAlign w:val="superscript"/>
        </w:rPr>
        <w:t>2</w:t>
      </w:r>
      <w:r w:rsidRPr="0098145B">
        <w:rPr>
          <w:sz w:val="18"/>
          <w:szCs w:val="18"/>
        </w:rPr>
        <w:t xml:space="preserve"> a été utilisé pour l’ensemble de l’étude, les valeurs de p &lt; 0,05 ont été considérés comme significatives.</w:t>
      </w:r>
    </w:p>
    <w:p w:rsidR="00577B56" w:rsidRPr="00F814AD" w:rsidRDefault="001723C9" w:rsidP="000B24E4">
      <w:pPr>
        <w:jc w:val="both"/>
        <w:rPr>
          <w:b/>
          <w:sz w:val="20"/>
          <w:szCs w:val="20"/>
        </w:rPr>
      </w:pPr>
      <w:r w:rsidRPr="00F814AD">
        <w:rPr>
          <w:b/>
          <w:sz w:val="20"/>
          <w:szCs w:val="20"/>
        </w:rPr>
        <w:t>RESULTATS</w:t>
      </w:r>
      <w:r w:rsidR="00577B56" w:rsidRPr="00F814AD">
        <w:rPr>
          <w:b/>
          <w:sz w:val="20"/>
          <w:szCs w:val="20"/>
        </w:rPr>
        <w:t> :</w:t>
      </w:r>
    </w:p>
    <w:p w:rsidR="003A4D51" w:rsidRDefault="00577B56" w:rsidP="003A4D51">
      <w:pPr>
        <w:jc w:val="both"/>
        <w:rPr>
          <w:sz w:val="18"/>
          <w:szCs w:val="18"/>
        </w:rPr>
      </w:pPr>
      <w:r w:rsidRPr="00F814AD">
        <w:rPr>
          <w:sz w:val="20"/>
          <w:szCs w:val="20"/>
        </w:rPr>
        <w:t>Du 1</w:t>
      </w:r>
      <w:r w:rsidRPr="00F814AD">
        <w:rPr>
          <w:sz w:val="20"/>
          <w:szCs w:val="20"/>
          <w:vertAlign w:val="superscript"/>
        </w:rPr>
        <w:t>er</w:t>
      </w:r>
      <w:r w:rsidRPr="00F814AD">
        <w:rPr>
          <w:sz w:val="20"/>
          <w:szCs w:val="20"/>
        </w:rPr>
        <w:t xml:space="preserve"> Janvier  au 31 Décembre  2010, nous avions </w:t>
      </w:r>
      <w:r w:rsidR="003A4D51" w:rsidRPr="0098145B">
        <w:rPr>
          <w:sz w:val="18"/>
          <w:szCs w:val="18"/>
        </w:rPr>
        <w:t xml:space="preserve">Nous avons colligé 102 patients sur les 230 patients en hémodialyse chronique dans le service pour évaluer leur profil phosphocalcique. </w:t>
      </w:r>
      <w:proofErr w:type="spellStart"/>
      <w:r w:rsidR="003A4D51" w:rsidRPr="0098145B">
        <w:rPr>
          <w:sz w:val="18"/>
          <w:szCs w:val="18"/>
        </w:rPr>
        <w:t>Quatre vingt</w:t>
      </w:r>
      <w:proofErr w:type="spellEnd"/>
      <w:r w:rsidR="003A4D51" w:rsidRPr="0098145B">
        <w:rPr>
          <w:sz w:val="18"/>
          <w:szCs w:val="18"/>
        </w:rPr>
        <w:t xml:space="preserve"> treize de nos patients avaient un âge compris entre 30 et 70 ans soit 91,2%. Les hommes représentaient 52,9 % des dialysés, avec </w:t>
      </w:r>
      <w:proofErr w:type="gramStart"/>
      <w:r w:rsidR="003A4D51" w:rsidRPr="0098145B">
        <w:rPr>
          <w:sz w:val="18"/>
          <w:szCs w:val="18"/>
        </w:rPr>
        <w:t>un</w:t>
      </w:r>
      <w:proofErr w:type="gramEnd"/>
      <w:r w:rsidR="003A4D51" w:rsidRPr="0098145B">
        <w:rPr>
          <w:sz w:val="18"/>
          <w:szCs w:val="18"/>
        </w:rPr>
        <w:t xml:space="preserve"> sex-ratio de 1,13. La néphropathie initiale était de cause indéterminée dans 33,3%, suivie de la néphropathie vasculaire dans 31,4%. Les patients qui avaient une durée en hémodialyse de moins 19 mois représentaient 37,3%. La durée moyenne en hémodialyse était de 37,64, avec des extrêmes de 6 et 188 mois. La majorité des patients (91%) avaient un abord vasculaire permanent pour l’hémodialyse. Les manifestations cliniques étaient dominées par la myalgie diffuse dans 29,4%, de polynévrite 21,6% et douleur articulaire du genou 19,6%.</w:t>
      </w:r>
      <w:r w:rsidR="003A4D51">
        <w:rPr>
          <w:sz w:val="18"/>
          <w:szCs w:val="18"/>
        </w:rPr>
        <w:t xml:space="preserve"> </w:t>
      </w:r>
      <w:r w:rsidR="003A4D51" w:rsidRPr="0098145B">
        <w:rPr>
          <w:sz w:val="18"/>
          <w:szCs w:val="18"/>
        </w:rPr>
        <w:t xml:space="preserve">Selon KDIGO 2009 la calcémie, la </w:t>
      </w:r>
      <w:proofErr w:type="spellStart"/>
      <w:r w:rsidR="003A4D51" w:rsidRPr="0098145B">
        <w:rPr>
          <w:sz w:val="18"/>
          <w:szCs w:val="18"/>
        </w:rPr>
        <w:t>phosphorémie</w:t>
      </w:r>
      <w:proofErr w:type="spellEnd"/>
      <w:r w:rsidR="003A4D51" w:rsidRPr="0098145B">
        <w:rPr>
          <w:sz w:val="18"/>
          <w:szCs w:val="18"/>
        </w:rPr>
        <w:t xml:space="preserve"> et PHT étaient respectivement normales dans 57,8%, 29,4 et 29,4%. La vitamine D (25 OH Vit D) était basse dans 53,9%. Le remodelage osseux était </w:t>
      </w:r>
      <w:r w:rsidR="003A4D51" w:rsidRPr="0098145B">
        <w:rPr>
          <w:sz w:val="18"/>
          <w:szCs w:val="18"/>
        </w:rPr>
        <w:lastRenderedPageBreak/>
        <w:t xml:space="preserve">normal dans 14,3%. A l’analyse des quatre critères de KDIGO 2009, seul 5,9 % des patients étaient dans les normes et 6,9% avaient deux ou trois critères dans les normes. La déminéralisation osseuse était présente dans 73,34%, elle prédominait au niveau des mains (12 cas). La majorité des patients ont été mis sous carbonate de calcium soit 94,1%. L’hyperparathyroïdie est en corrélation avec la durée en dialyse (p=0,002), elle est proportionnelle à l’élévation de la </w:t>
      </w:r>
      <w:proofErr w:type="spellStart"/>
      <w:r w:rsidR="003A4D51" w:rsidRPr="0098145B">
        <w:rPr>
          <w:sz w:val="18"/>
          <w:szCs w:val="18"/>
        </w:rPr>
        <w:t>phosphatémie</w:t>
      </w:r>
      <w:proofErr w:type="spellEnd"/>
      <w:r w:rsidR="003A4D51" w:rsidRPr="0098145B">
        <w:rPr>
          <w:sz w:val="18"/>
          <w:szCs w:val="18"/>
        </w:rPr>
        <w:t xml:space="preserve"> avec p= 0.001. La carence en vit D est associée à l’</w:t>
      </w:r>
      <w:proofErr w:type="spellStart"/>
      <w:r w:rsidR="003A4D51" w:rsidRPr="0098145B">
        <w:rPr>
          <w:sz w:val="18"/>
          <w:szCs w:val="18"/>
        </w:rPr>
        <w:t>hypoparathyroïdie</w:t>
      </w:r>
      <w:proofErr w:type="spellEnd"/>
      <w:r w:rsidR="003A4D51" w:rsidRPr="0098145B">
        <w:rPr>
          <w:sz w:val="18"/>
          <w:szCs w:val="18"/>
        </w:rPr>
        <w:t xml:space="preserve"> avec une relation statistiquement significative. L’</w:t>
      </w:r>
      <w:proofErr w:type="spellStart"/>
      <w:r w:rsidR="003A4D51" w:rsidRPr="0098145B">
        <w:rPr>
          <w:sz w:val="18"/>
          <w:szCs w:val="18"/>
        </w:rPr>
        <w:t>hypoparathyroïdie</w:t>
      </w:r>
      <w:proofErr w:type="spellEnd"/>
      <w:r w:rsidR="003A4D51" w:rsidRPr="0098145B">
        <w:rPr>
          <w:sz w:val="18"/>
          <w:szCs w:val="18"/>
        </w:rPr>
        <w:t xml:space="preserve"> était plus fréquente chez les patients de sexe féminin avec p=0,010. L’évolution fut marquée par le décès de six (06) patients soit 9.82%, il était surtout lié à l’infection.</w:t>
      </w:r>
    </w:p>
    <w:p w:rsidR="008B1A80" w:rsidRPr="0098145B" w:rsidRDefault="008B1A80" w:rsidP="008B1A80">
      <w:pPr>
        <w:autoSpaceDE w:val="0"/>
        <w:autoSpaceDN w:val="0"/>
        <w:adjustRightInd w:val="0"/>
        <w:jc w:val="both"/>
        <w:rPr>
          <w:sz w:val="18"/>
          <w:szCs w:val="18"/>
        </w:rPr>
      </w:pPr>
      <w:r w:rsidRPr="0098145B">
        <w:rPr>
          <w:b/>
          <w:sz w:val="18"/>
          <w:szCs w:val="18"/>
        </w:rPr>
        <w:t>Tableau I</w:t>
      </w:r>
      <w:r w:rsidRPr="0098145B">
        <w:rPr>
          <w:sz w:val="18"/>
          <w:szCs w:val="18"/>
        </w:rPr>
        <w:t>: répartition des patients selon les manifestations cliniques</w:t>
      </w:r>
    </w:p>
    <w:p w:rsidR="008B1A80" w:rsidRPr="0098145B" w:rsidRDefault="008B1A80" w:rsidP="008B1A80">
      <w:pPr>
        <w:autoSpaceDE w:val="0"/>
        <w:autoSpaceDN w:val="0"/>
        <w:adjustRightInd w:val="0"/>
        <w:jc w:val="both"/>
        <w:rPr>
          <w:sz w:val="18"/>
          <w:szCs w:val="18"/>
        </w:rPr>
      </w:pPr>
    </w:p>
    <w:tbl>
      <w:tblPr>
        <w:tblStyle w:val="TableauGrille4-Accentuation1"/>
        <w:tblW w:w="0" w:type="auto"/>
        <w:tblLook w:val="04A0" w:firstRow="1" w:lastRow="0" w:firstColumn="1" w:lastColumn="0" w:noHBand="0" w:noVBand="1"/>
      </w:tblPr>
      <w:tblGrid>
        <w:gridCol w:w="2518"/>
        <w:gridCol w:w="992"/>
        <w:gridCol w:w="1276"/>
      </w:tblGrid>
      <w:tr w:rsidR="008B1A80" w:rsidRPr="0098145B" w:rsidTr="00344A5F">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518" w:type="dxa"/>
          </w:tcPr>
          <w:p w:rsidR="008B1A80" w:rsidRPr="0098145B" w:rsidRDefault="008B1A80" w:rsidP="00106F42">
            <w:pPr>
              <w:jc w:val="both"/>
              <w:rPr>
                <w:sz w:val="18"/>
                <w:szCs w:val="18"/>
              </w:rPr>
            </w:pPr>
            <w:r w:rsidRPr="0098145B">
              <w:rPr>
                <w:sz w:val="18"/>
                <w:szCs w:val="18"/>
              </w:rPr>
              <w:t>Clinique</w:t>
            </w:r>
          </w:p>
        </w:tc>
        <w:tc>
          <w:tcPr>
            <w:tcW w:w="992" w:type="dxa"/>
          </w:tcPr>
          <w:p w:rsidR="008B1A80" w:rsidRPr="0098145B" w:rsidRDefault="008B1A80" w:rsidP="00106F42">
            <w:pPr>
              <w:jc w:val="both"/>
              <w:cnfStyle w:val="100000000000" w:firstRow="1" w:lastRow="0" w:firstColumn="0" w:lastColumn="0" w:oddVBand="0" w:evenVBand="0" w:oddHBand="0" w:evenHBand="0" w:firstRowFirstColumn="0" w:firstRowLastColumn="0" w:lastRowFirstColumn="0" w:lastRowLastColumn="0"/>
              <w:rPr>
                <w:sz w:val="18"/>
                <w:szCs w:val="18"/>
              </w:rPr>
            </w:pPr>
            <w:r w:rsidRPr="0098145B">
              <w:rPr>
                <w:sz w:val="18"/>
                <w:szCs w:val="18"/>
              </w:rPr>
              <w:t>Effectifs</w:t>
            </w:r>
          </w:p>
        </w:tc>
        <w:tc>
          <w:tcPr>
            <w:tcW w:w="1276" w:type="dxa"/>
          </w:tcPr>
          <w:p w:rsidR="008B1A80" w:rsidRPr="0098145B" w:rsidRDefault="008B1A80" w:rsidP="00106F42">
            <w:pPr>
              <w:jc w:val="both"/>
              <w:cnfStyle w:val="100000000000" w:firstRow="1" w:lastRow="0" w:firstColumn="0" w:lastColumn="0" w:oddVBand="0" w:evenVBand="0" w:oddHBand="0" w:evenHBand="0" w:firstRowFirstColumn="0" w:firstRowLastColumn="0" w:lastRowFirstColumn="0" w:lastRowLastColumn="0"/>
              <w:rPr>
                <w:sz w:val="18"/>
                <w:szCs w:val="18"/>
              </w:rPr>
            </w:pPr>
            <w:r w:rsidRPr="0098145B">
              <w:rPr>
                <w:sz w:val="18"/>
                <w:szCs w:val="18"/>
              </w:rPr>
              <w:t>Pourcentage</w:t>
            </w:r>
          </w:p>
        </w:tc>
      </w:tr>
      <w:tr w:rsidR="008B1A80" w:rsidRPr="0098145B" w:rsidTr="00344A5F">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518" w:type="dxa"/>
          </w:tcPr>
          <w:p w:rsidR="008B1A80" w:rsidRPr="0098145B" w:rsidRDefault="008B1A80" w:rsidP="00106F42">
            <w:pPr>
              <w:jc w:val="both"/>
              <w:rPr>
                <w:b w:val="0"/>
                <w:sz w:val="18"/>
                <w:szCs w:val="18"/>
              </w:rPr>
            </w:pPr>
            <w:r w:rsidRPr="0098145B">
              <w:rPr>
                <w:b w:val="0"/>
                <w:sz w:val="18"/>
                <w:szCs w:val="18"/>
              </w:rPr>
              <w:t>Myalgie diffuse</w:t>
            </w:r>
          </w:p>
        </w:tc>
        <w:tc>
          <w:tcPr>
            <w:tcW w:w="992" w:type="dxa"/>
          </w:tcPr>
          <w:p w:rsidR="008B1A80" w:rsidRPr="0098145B" w:rsidRDefault="008B1A80" w:rsidP="00106F42">
            <w:pPr>
              <w:jc w:val="both"/>
              <w:cnfStyle w:val="000000100000" w:firstRow="0" w:lastRow="0" w:firstColumn="0" w:lastColumn="0" w:oddVBand="0" w:evenVBand="0" w:oddHBand="1" w:evenHBand="0" w:firstRowFirstColumn="0" w:firstRowLastColumn="0" w:lastRowFirstColumn="0" w:lastRowLastColumn="0"/>
              <w:rPr>
                <w:b/>
                <w:sz w:val="18"/>
                <w:szCs w:val="18"/>
              </w:rPr>
            </w:pPr>
            <w:r w:rsidRPr="0098145B">
              <w:rPr>
                <w:b/>
                <w:sz w:val="18"/>
                <w:szCs w:val="18"/>
              </w:rPr>
              <w:t>30</w:t>
            </w:r>
          </w:p>
        </w:tc>
        <w:tc>
          <w:tcPr>
            <w:tcW w:w="1276" w:type="dxa"/>
          </w:tcPr>
          <w:p w:rsidR="008B1A80" w:rsidRPr="0098145B" w:rsidRDefault="008B1A80" w:rsidP="00106F42">
            <w:pPr>
              <w:jc w:val="both"/>
              <w:cnfStyle w:val="000000100000" w:firstRow="0" w:lastRow="0" w:firstColumn="0" w:lastColumn="0" w:oddVBand="0" w:evenVBand="0" w:oddHBand="1" w:evenHBand="0" w:firstRowFirstColumn="0" w:firstRowLastColumn="0" w:lastRowFirstColumn="0" w:lastRowLastColumn="0"/>
              <w:rPr>
                <w:b/>
                <w:sz w:val="18"/>
                <w:szCs w:val="18"/>
              </w:rPr>
            </w:pPr>
            <w:r w:rsidRPr="0098145B">
              <w:rPr>
                <w:b/>
                <w:sz w:val="18"/>
                <w:szCs w:val="18"/>
              </w:rPr>
              <w:t>29,4</w:t>
            </w:r>
          </w:p>
        </w:tc>
      </w:tr>
      <w:tr w:rsidR="008B1A80" w:rsidRPr="0098145B" w:rsidTr="00344A5F">
        <w:trPr>
          <w:trHeight w:val="376"/>
        </w:trPr>
        <w:tc>
          <w:tcPr>
            <w:cnfStyle w:val="001000000000" w:firstRow="0" w:lastRow="0" w:firstColumn="1" w:lastColumn="0" w:oddVBand="0" w:evenVBand="0" w:oddHBand="0" w:evenHBand="0" w:firstRowFirstColumn="0" w:firstRowLastColumn="0" w:lastRowFirstColumn="0" w:lastRowLastColumn="0"/>
            <w:tcW w:w="2518" w:type="dxa"/>
          </w:tcPr>
          <w:p w:rsidR="008B1A80" w:rsidRPr="0098145B" w:rsidRDefault="008B1A80" w:rsidP="00106F42">
            <w:pPr>
              <w:jc w:val="both"/>
              <w:rPr>
                <w:sz w:val="18"/>
                <w:szCs w:val="18"/>
              </w:rPr>
            </w:pPr>
            <w:r w:rsidRPr="0098145B">
              <w:rPr>
                <w:sz w:val="18"/>
                <w:szCs w:val="18"/>
              </w:rPr>
              <w:t>polynévrite</w:t>
            </w:r>
          </w:p>
        </w:tc>
        <w:tc>
          <w:tcPr>
            <w:tcW w:w="992" w:type="dxa"/>
          </w:tcPr>
          <w:p w:rsidR="008B1A80" w:rsidRPr="0098145B" w:rsidRDefault="008B1A80" w:rsidP="00106F42">
            <w:pPr>
              <w:jc w:val="both"/>
              <w:cnfStyle w:val="000000000000" w:firstRow="0" w:lastRow="0" w:firstColumn="0" w:lastColumn="0" w:oddVBand="0" w:evenVBand="0" w:oddHBand="0" w:evenHBand="0" w:firstRowFirstColumn="0" w:firstRowLastColumn="0" w:lastRowFirstColumn="0" w:lastRowLastColumn="0"/>
              <w:rPr>
                <w:sz w:val="18"/>
                <w:szCs w:val="18"/>
              </w:rPr>
            </w:pPr>
            <w:r w:rsidRPr="0098145B">
              <w:rPr>
                <w:sz w:val="18"/>
                <w:szCs w:val="18"/>
              </w:rPr>
              <w:t>22</w:t>
            </w:r>
          </w:p>
        </w:tc>
        <w:tc>
          <w:tcPr>
            <w:tcW w:w="1276" w:type="dxa"/>
          </w:tcPr>
          <w:p w:rsidR="008B1A80" w:rsidRPr="0098145B" w:rsidRDefault="008B1A80" w:rsidP="00106F42">
            <w:pPr>
              <w:jc w:val="both"/>
              <w:cnfStyle w:val="000000000000" w:firstRow="0" w:lastRow="0" w:firstColumn="0" w:lastColumn="0" w:oddVBand="0" w:evenVBand="0" w:oddHBand="0" w:evenHBand="0" w:firstRowFirstColumn="0" w:firstRowLastColumn="0" w:lastRowFirstColumn="0" w:lastRowLastColumn="0"/>
              <w:rPr>
                <w:sz w:val="18"/>
                <w:szCs w:val="18"/>
              </w:rPr>
            </w:pPr>
            <w:r w:rsidRPr="0098145B">
              <w:rPr>
                <w:sz w:val="18"/>
                <w:szCs w:val="18"/>
              </w:rPr>
              <w:t>21,6</w:t>
            </w:r>
          </w:p>
        </w:tc>
      </w:tr>
      <w:tr w:rsidR="008B1A80" w:rsidRPr="0098145B" w:rsidTr="00344A5F">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518" w:type="dxa"/>
          </w:tcPr>
          <w:p w:rsidR="008B1A80" w:rsidRPr="0098145B" w:rsidRDefault="008B1A80" w:rsidP="00106F42">
            <w:pPr>
              <w:jc w:val="both"/>
              <w:rPr>
                <w:sz w:val="18"/>
                <w:szCs w:val="18"/>
              </w:rPr>
            </w:pPr>
            <w:r w:rsidRPr="0098145B">
              <w:rPr>
                <w:sz w:val="18"/>
                <w:szCs w:val="18"/>
              </w:rPr>
              <w:t>Douleur genou</w:t>
            </w:r>
          </w:p>
        </w:tc>
        <w:tc>
          <w:tcPr>
            <w:tcW w:w="992" w:type="dxa"/>
          </w:tcPr>
          <w:p w:rsidR="008B1A80" w:rsidRPr="0098145B" w:rsidRDefault="008B1A80" w:rsidP="00106F42">
            <w:pPr>
              <w:jc w:val="both"/>
              <w:cnfStyle w:val="000000100000" w:firstRow="0" w:lastRow="0" w:firstColumn="0" w:lastColumn="0" w:oddVBand="0" w:evenVBand="0" w:oddHBand="1" w:evenHBand="0" w:firstRowFirstColumn="0" w:firstRowLastColumn="0" w:lastRowFirstColumn="0" w:lastRowLastColumn="0"/>
              <w:rPr>
                <w:sz w:val="18"/>
                <w:szCs w:val="18"/>
              </w:rPr>
            </w:pPr>
            <w:r w:rsidRPr="0098145B">
              <w:rPr>
                <w:sz w:val="18"/>
                <w:szCs w:val="18"/>
              </w:rPr>
              <w:t>20</w:t>
            </w:r>
          </w:p>
        </w:tc>
        <w:tc>
          <w:tcPr>
            <w:tcW w:w="1276" w:type="dxa"/>
          </w:tcPr>
          <w:p w:rsidR="008B1A80" w:rsidRPr="0098145B" w:rsidRDefault="008B1A80" w:rsidP="00106F42">
            <w:pPr>
              <w:jc w:val="both"/>
              <w:cnfStyle w:val="000000100000" w:firstRow="0" w:lastRow="0" w:firstColumn="0" w:lastColumn="0" w:oddVBand="0" w:evenVBand="0" w:oddHBand="1" w:evenHBand="0" w:firstRowFirstColumn="0" w:firstRowLastColumn="0" w:lastRowFirstColumn="0" w:lastRowLastColumn="0"/>
              <w:rPr>
                <w:sz w:val="18"/>
                <w:szCs w:val="18"/>
              </w:rPr>
            </w:pPr>
            <w:r w:rsidRPr="0098145B">
              <w:rPr>
                <w:sz w:val="18"/>
                <w:szCs w:val="18"/>
              </w:rPr>
              <w:t>19 ,6</w:t>
            </w:r>
          </w:p>
        </w:tc>
      </w:tr>
      <w:tr w:rsidR="008B1A80" w:rsidRPr="0098145B" w:rsidTr="00344A5F">
        <w:trPr>
          <w:trHeight w:val="376"/>
        </w:trPr>
        <w:tc>
          <w:tcPr>
            <w:cnfStyle w:val="001000000000" w:firstRow="0" w:lastRow="0" w:firstColumn="1" w:lastColumn="0" w:oddVBand="0" w:evenVBand="0" w:oddHBand="0" w:evenHBand="0" w:firstRowFirstColumn="0" w:firstRowLastColumn="0" w:lastRowFirstColumn="0" w:lastRowLastColumn="0"/>
            <w:tcW w:w="2518" w:type="dxa"/>
          </w:tcPr>
          <w:p w:rsidR="008B1A80" w:rsidRPr="0098145B" w:rsidRDefault="008B1A80" w:rsidP="00106F42">
            <w:pPr>
              <w:jc w:val="both"/>
              <w:rPr>
                <w:sz w:val="18"/>
                <w:szCs w:val="18"/>
              </w:rPr>
            </w:pPr>
            <w:r w:rsidRPr="0098145B">
              <w:rPr>
                <w:sz w:val="18"/>
                <w:szCs w:val="18"/>
              </w:rPr>
              <w:t>Douleur osseuse</w:t>
            </w:r>
          </w:p>
        </w:tc>
        <w:tc>
          <w:tcPr>
            <w:tcW w:w="992" w:type="dxa"/>
          </w:tcPr>
          <w:p w:rsidR="008B1A80" w:rsidRPr="0098145B" w:rsidRDefault="008B1A80" w:rsidP="00106F42">
            <w:pPr>
              <w:jc w:val="both"/>
              <w:cnfStyle w:val="000000000000" w:firstRow="0" w:lastRow="0" w:firstColumn="0" w:lastColumn="0" w:oddVBand="0" w:evenVBand="0" w:oddHBand="0" w:evenHBand="0" w:firstRowFirstColumn="0" w:firstRowLastColumn="0" w:lastRowFirstColumn="0" w:lastRowLastColumn="0"/>
              <w:rPr>
                <w:sz w:val="18"/>
                <w:szCs w:val="18"/>
              </w:rPr>
            </w:pPr>
            <w:r w:rsidRPr="0098145B">
              <w:rPr>
                <w:sz w:val="18"/>
                <w:szCs w:val="18"/>
              </w:rPr>
              <w:t>19</w:t>
            </w:r>
          </w:p>
        </w:tc>
        <w:tc>
          <w:tcPr>
            <w:tcW w:w="1276" w:type="dxa"/>
          </w:tcPr>
          <w:p w:rsidR="008B1A80" w:rsidRPr="0098145B" w:rsidRDefault="008B1A80" w:rsidP="00106F42">
            <w:pPr>
              <w:jc w:val="both"/>
              <w:cnfStyle w:val="000000000000" w:firstRow="0" w:lastRow="0" w:firstColumn="0" w:lastColumn="0" w:oddVBand="0" w:evenVBand="0" w:oddHBand="0" w:evenHBand="0" w:firstRowFirstColumn="0" w:firstRowLastColumn="0" w:lastRowFirstColumn="0" w:lastRowLastColumn="0"/>
              <w:rPr>
                <w:sz w:val="18"/>
                <w:szCs w:val="18"/>
              </w:rPr>
            </w:pPr>
            <w:r w:rsidRPr="0098145B">
              <w:rPr>
                <w:sz w:val="18"/>
                <w:szCs w:val="18"/>
              </w:rPr>
              <w:t>18,6</w:t>
            </w:r>
          </w:p>
        </w:tc>
      </w:tr>
      <w:tr w:rsidR="008B1A80" w:rsidRPr="0098145B" w:rsidTr="00344A5F">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518" w:type="dxa"/>
          </w:tcPr>
          <w:p w:rsidR="008B1A80" w:rsidRPr="0098145B" w:rsidRDefault="008B1A80" w:rsidP="00106F42">
            <w:pPr>
              <w:jc w:val="both"/>
              <w:rPr>
                <w:sz w:val="18"/>
                <w:szCs w:val="18"/>
              </w:rPr>
            </w:pPr>
            <w:r w:rsidRPr="0098145B">
              <w:rPr>
                <w:sz w:val="18"/>
                <w:szCs w:val="18"/>
              </w:rPr>
              <w:t>Accès de pseudo-goutte</w:t>
            </w:r>
          </w:p>
        </w:tc>
        <w:tc>
          <w:tcPr>
            <w:tcW w:w="992" w:type="dxa"/>
          </w:tcPr>
          <w:p w:rsidR="008B1A80" w:rsidRPr="0098145B" w:rsidRDefault="008B1A80" w:rsidP="00106F42">
            <w:pPr>
              <w:jc w:val="both"/>
              <w:cnfStyle w:val="000000100000" w:firstRow="0" w:lastRow="0" w:firstColumn="0" w:lastColumn="0" w:oddVBand="0" w:evenVBand="0" w:oddHBand="1" w:evenHBand="0" w:firstRowFirstColumn="0" w:firstRowLastColumn="0" w:lastRowFirstColumn="0" w:lastRowLastColumn="0"/>
              <w:rPr>
                <w:sz w:val="18"/>
                <w:szCs w:val="18"/>
              </w:rPr>
            </w:pPr>
            <w:r w:rsidRPr="0098145B">
              <w:rPr>
                <w:sz w:val="18"/>
                <w:szCs w:val="18"/>
              </w:rPr>
              <w:t>8</w:t>
            </w:r>
          </w:p>
        </w:tc>
        <w:tc>
          <w:tcPr>
            <w:tcW w:w="1276" w:type="dxa"/>
          </w:tcPr>
          <w:p w:rsidR="008B1A80" w:rsidRPr="0098145B" w:rsidRDefault="008B1A80" w:rsidP="00106F42">
            <w:pPr>
              <w:jc w:val="both"/>
              <w:cnfStyle w:val="000000100000" w:firstRow="0" w:lastRow="0" w:firstColumn="0" w:lastColumn="0" w:oddVBand="0" w:evenVBand="0" w:oddHBand="1" w:evenHBand="0" w:firstRowFirstColumn="0" w:firstRowLastColumn="0" w:lastRowFirstColumn="0" w:lastRowLastColumn="0"/>
              <w:rPr>
                <w:sz w:val="18"/>
                <w:szCs w:val="18"/>
              </w:rPr>
            </w:pPr>
            <w:r w:rsidRPr="0098145B">
              <w:rPr>
                <w:sz w:val="18"/>
                <w:szCs w:val="18"/>
              </w:rPr>
              <w:t>25,5</w:t>
            </w:r>
          </w:p>
        </w:tc>
      </w:tr>
      <w:tr w:rsidR="008B1A80" w:rsidRPr="0098145B" w:rsidTr="00344A5F">
        <w:trPr>
          <w:trHeight w:val="400"/>
        </w:trPr>
        <w:tc>
          <w:tcPr>
            <w:cnfStyle w:val="001000000000" w:firstRow="0" w:lastRow="0" w:firstColumn="1" w:lastColumn="0" w:oddVBand="0" w:evenVBand="0" w:oddHBand="0" w:evenHBand="0" w:firstRowFirstColumn="0" w:firstRowLastColumn="0" w:lastRowFirstColumn="0" w:lastRowLastColumn="0"/>
            <w:tcW w:w="2518" w:type="dxa"/>
          </w:tcPr>
          <w:p w:rsidR="008B1A80" w:rsidRPr="0098145B" w:rsidRDefault="008B1A80" w:rsidP="00106F42">
            <w:pPr>
              <w:jc w:val="both"/>
              <w:rPr>
                <w:sz w:val="18"/>
                <w:szCs w:val="18"/>
              </w:rPr>
            </w:pPr>
            <w:r w:rsidRPr="0098145B">
              <w:rPr>
                <w:sz w:val="18"/>
                <w:szCs w:val="18"/>
              </w:rPr>
              <w:t>Aspect doigt en baguette de tambour</w:t>
            </w:r>
          </w:p>
        </w:tc>
        <w:tc>
          <w:tcPr>
            <w:tcW w:w="992" w:type="dxa"/>
          </w:tcPr>
          <w:p w:rsidR="008B1A80" w:rsidRPr="0098145B" w:rsidRDefault="008B1A80" w:rsidP="00106F42">
            <w:pPr>
              <w:jc w:val="both"/>
              <w:cnfStyle w:val="000000000000" w:firstRow="0" w:lastRow="0" w:firstColumn="0" w:lastColumn="0" w:oddVBand="0" w:evenVBand="0" w:oddHBand="0" w:evenHBand="0" w:firstRowFirstColumn="0" w:firstRowLastColumn="0" w:lastRowFirstColumn="0" w:lastRowLastColumn="0"/>
              <w:rPr>
                <w:sz w:val="18"/>
                <w:szCs w:val="18"/>
              </w:rPr>
            </w:pPr>
            <w:r w:rsidRPr="0098145B">
              <w:rPr>
                <w:sz w:val="18"/>
                <w:szCs w:val="18"/>
              </w:rPr>
              <w:t>5</w:t>
            </w:r>
          </w:p>
        </w:tc>
        <w:tc>
          <w:tcPr>
            <w:tcW w:w="1276" w:type="dxa"/>
          </w:tcPr>
          <w:p w:rsidR="008B1A80" w:rsidRPr="0098145B" w:rsidRDefault="008B1A80" w:rsidP="00106F42">
            <w:pPr>
              <w:jc w:val="both"/>
              <w:cnfStyle w:val="000000000000" w:firstRow="0" w:lastRow="0" w:firstColumn="0" w:lastColumn="0" w:oddVBand="0" w:evenVBand="0" w:oddHBand="0" w:evenHBand="0" w:firstRowFirstColumn="0" w:firstRowLastColumn="0" w:lastRowFirstColumn="0" w:lastRowLastColumn="0"/>
              <w:rPr>
                <w:sz w:val="18"/>
                <w:szCs w:val="18"/>
              </w:rPr>
            </w:pPr>
            <w:r w:rsidRPr="0098145B">
              <w:rPr>
                <w:sz w:val="18"/>
                <w:szCs w:val="18"/>
              </w:rPr>
              <w:t>4,9</w:t>
            </w:r>
          </w:p>
        </w:tc>
      </w:tr>
      <w:tr w:rsidR="00BD37EB" w:rsidRPr="0098145B" w:rsidTr="00344A5F">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518" w:type="dxa"/>
          </w:tcPr>
          <w:p w:rsidR="008B1A80" w:rsidRPr="0098145B" w:rsidRDefault="008B1A80" w:rsidP="00106F42">
            <w:pPr>
              <w:jc w:val="both"/>
              <w:rPr>
                <w:sz w:val="18"/>
                <w:szCs w:val="18"/>
              </w:rPr>
            </w:pPr>
            <w:r w:rsidRPr="0098145B">
              <w:rPr>
                <w:sz w:val="18"/>
                <w:szCs w:val="18"/>
              </w:rPr>
              <w:t>Prurit intense</w:t>
            </w:r>
          </w:p>
        </w:tc>
        <w:tc>
          <w:tcPr>
            <w:tcW w:w="992" w:type="dxa"/>
          </w:tcPr>
          <w:p w:rsidR="008B1A80" w:rsidRPr="0098145B" w:rsidRDefault="008B1A80" w:rsidP="00106F42">
            <w:pPr>
              <w:jc w:val="both"/>
              <w:cnfStyle w:val="000000100000" w:firstRow="0" w:lastRow="0" w:firstColumn="0" w:lastColumn="0" w:oddVBand="0" w:evenVBand="0" w:oddHBand="1" w:evenHBand="0" w:firstRowFirstColumn="0" w:firstRowLastColumn="0" w:lastRowFirstColumn="0" w:lastRowLastColumn="0"/>
              <w:rPr>
                <w:sz w:val="18"/>
                <w:szCs w:val="18"/>
              </w:rPr>
            </w:pPr>
            <w:r w:rsidRPr="0098145B">
              <w:rPr>
                <w:sz w:val="18"/>
                <w:szCs w:val="18"/>
              </w:rPr>
              <w:t>5</w:t>
            </w:r>
          </w:p>
        </w:tc>
        <w:tc>
          <w:tcPr>
            <w:tcW w:w="1276" w:type="dxa"/>
          </w:tcPr>
          <w:p w:rsidR="008B1A80" w:rsidRPr="0098145B" w:rsidRDefault="008B1A80" w:rsidP="00106F42">
            <w:pPr>
              <w:jc w:val="both"/>
              <w:cnfStyle w:val="000000100000" w:firstRow="0" w:lastRow="0" w:firstColumn="0" w:lastColumn="0" w:oddVBand="0" w:evenVBand="0" w:oddHBand="1" w:evenHBand="0" w:firstRowFirstColumn="0" w:firstRowLastColumn="0" w:lastRowFirstColumn="0" w:lastRowLastColumn="0"/>
              <w:rPr>
                <w:sz w:val="18"/>
                <w:szCs w:val="18"/>
              </w:rPr>
            </w:pPr>
            <w:r w:rsidRPr="0098145B">
              <w:rPr>
                <w:sz w:val="18"/>
                <w:szCs w:val="18"/>
              </w:rPr>
              <w:t>4 ,9</w:t>
            </w:r>
          </w:p>
        </w:tc>
      </w:tr>
    </w:tbl>
    <w:p w:rsidR="008B1A80" w:rsidRPr="0098145B" w:rsidRDefault="008B1A80" w:rsidP="008B1A80">
      <w:pPr>
        <w:autoSpaceDE w:val="0"/>
        <w:autoSpaceDN w:val="0"/>
        <w:adjustRightInd w:val="0"/>
        <w:jc w:val="both"/>
        <w:rPr>
          <w:b/>
          <w:sz w:val="18"/>
          <w:szCs w:val="18"/>
        </w:rPr>
      </w:pPr>
    </w:p>
    <w:p w:rsidR="008B1A80" w:rsidRPr="0098145B" w:rsidRDefault="008B1A80" w:rsidP="008B1A80">
      <w:pPr>
        <w:autoSpaceDE w:val="0"/>
        <w:autoSpaceDN w:val="0"/>
        <w:adjustRightInd w:val="0"/>
        <w:jc w:val="both"/>
        <w:rPr>
          <w:b/>
          <w:sz w:val="18"/>
          <w:szCs w:val="18"/>
        </w:rPr>
      </w:pPr>
    </w:p>
    <w:p w:rsidR="008B1A80" w:rsidRPr="0098145B" w:rsidRDefault="008B1A80" w:rsidP="008B1A80">
      <w:pPr>
        <w:autoSpaceDE w:val="0"/>
        <w:autoSpaceDN w:val="0"/>
        <w:adjustRightInd w:val="0"/>
        <w:jc w:val="both"/>
        <w:rPr>
          <w:b/>
          <w:sz w:val="18"/>
          <w:szCs w:val="18"/>
        </w:rPr>
      </w:pPr>
    </w:p>
    <w:p w:rsidR="008B1A80" w:rsidRPr="0098145B" w:rsidRDefault="008B1A80" w:rsidP="008B1A80">
      <w:pPr>
        <w:autoSpaceDE w:val="0"/>
        <w:autoSpaceDN w:val="0"/>
        <w:adjustRightInd w:val="0"/>
        <w:jc w:val="both"/>
        <w:rPr>
          <w:sz w:val="18"/>
          <w:szCs w:val="18"/>
        </w:rPr>
      </w:pPr>
      <w:r w:rsidRPr="0098145B">
        <w:rPr>
          <w:b/>
          <w:sz w:val="18"/>
          <w:szCs w:val="18"/>
        </w:rPr>
        <w:t>Tableau II</w:t>
      </w:r>
      <w:r w:rsidRPr="0098145B">
        <w:rPr>
          <w:sz w:val="18"/>
          <w:szCs w:val="18"/>
        </w:rPr>
        <w:t>: répartition des patients selon le site de la lésion radiologique</w:t>
      </w:r>
    </w:p>
    <w:p w:rsidR="008B1A80" w:rsidRPr="0098145B" w:rsidRDefault="008B1A80" w:rsidP="008B1A80">
      <w:pPr>
        <w:autoSpaceDE w:val="0"/>
        <w:autoSpaceDN w:val="0"/>
        <w:adjustRightInd w:val="0"/>
        <w:jc w:val="both"/>
        <w:rPr>
          <w:sz w:val="18"/>
          <w:szCs w:val="18"/>
        </w:rPr>
      </w:pPr>
    </w:p>
    <w:tbl>
      <w:tblPr>
        <w:tblStyle w:val="TableauGrille4-Accentuation1"/>
        <w:tblW w:w="0" w:type="auto"/>
        <w:tblLook w:val="04A0" w:firstRow="1" w:lastRow="0" w:firstColumn="1" w:lastColumn="0" w:noHBand="0" w:noVBand="1"/>
      </w:tblPr>
      <w:tblGrid>
        <w:gridCol w:w="1384"/>
        <w:gridCol w:w="2410"/>
        <w:gridCol w:w="992"/>
      </w:tblGrid>
      <w:tr w:rsidR="008B1A80" w:rsidRPr="0098145B" w:rsidTr="00344A5F">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384" w:type="dxa"/>
          </w:tcPr>
          <w:p w:rsidR="008B1A80" w:rsidRPr="0098145B" w:rsidRDefault="008B1A80" w:rsidP="00106F42">
            <w:pPr>
              <w:autoSpaceDE w:val="0"/>
              <w:autoSpaceDN w:val="0"/>
              <w:adjustRightInd w:val="0"/>
              <w:jc w:val="both"/>
              <w:rPr>
                <w:sz w:val="18"/>
                <w:szCs w:val="18"/>
              </w:rPr>
            </w:pPr>
            <w:r w:rsidRPr="0098145B">
              <w:rPr>
                <w:sz w:val="18"/>
                <w:szCs w:val="18"/>
              </w:rPr>
              <w:t>Type de lésion</w:t>
            </w:r>
          </w:p>
        </w:tc>
        <w:tc>
          <w:tcPr>
            <w:tcW w:w="2410" w:type="dxa"/>
          </w:tcPr>
          <w:p w:rsidR="008B1A80" w:rsidRPr="0098145B" w:rsidRDefault="008B1A80" w:rsidP="00106F42">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sz w:val="18"/>
                <w:szCs w:val="18"/>
              </w:rPr>
            </w:pPr>
            <w:r w:rsidRPr="0098145B">
              <w:rPr>
                <w:sz w:val="18"/>
                <w:szCs w:val="18"/>
              </w:rPr>
              <w:t>Pathologie</w:t>
            </w:r>
          </w:p>
        </w:tc>
        <w:tc>
          <w:tcPr>
            <w:tcW w:w="992" w:type="dxa"/>
          </w:tcPr>
          <w:p w:rsidR="008B1A80" w:rsidRPr="0098145B" w:rsidRDefault="008B1A80" w:rsidP="00106F42">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sz w:val="18"/>
                <w:szCs w:val="18"/>
              </w:rPr>
            </w:pPr>
            <w:r w:rsidRPr="0098145B">
              <w:rPr>
                <w:sz w:val="18"/>
                <w:szCs w:val="18"/>
              </w:rPr>
              <w:t>Effectifs</w:t>
            </w:r>
          </w:p>
        </w:tc>
      </w:tr>
      <w:tr w:rsidR="008B1A80" w:rsidRPr="0098145B" w:rsidTr="00344A5F">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384" w:type="dxa"/>
          </w:tcPr>
          <w:p w:rsidR="008B1A80" w:rsidRPr="0098145B" w:rsidRDefault="008B1A80" w:rsidP="00106F42">
            <w:pPr>
              <w:autoSpaceDE w:val="0"/>
              <w:autoSpaceDN w:val="0"/>
              <w:adjustRightInd w:val="0"/>
              <w:jc w:val="both"/>
              <w:rPr>
                <w:sz w:val="18"/>
                <w:szCs w:val="18"/>
              </w:rPr>
            </w:pPr>
            <w:r w:rsidRPr="0098145B">
              <w:rPr>
                <w:sz w:val="18"/>
                <w:szCs w:val="18"/>
              </w:rPr>
              <w:t>Genoux</w:t>
            </w:r>
          </w:p>
        </w:tc>
        <w:tc>
          <w:tcPr>
            <w:tcW w:w="2410" w:type="dxa"/>
          </w:tcPr>
          <w:p w:rsidR="008B1A80" w:rsidRPr="0098145B" w:rsidRDefault="008B1A80" w:rsidP="00106F4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18"/>
                <w:szCs w:val="18"/>
              </w:rPr>
            </w:pPr>
            <w:r w:rsidRPr="0098145B">
              <w:rPr>
                <w:sz w:val="18"/>
                <w:szCs w:val="18"/>
              </w:rPr>
              <w:t>Gonarthrose</w:t>
            </w:r>
          </w:p>
        </w:tc>
        <w:tc>
          <w:tcPr>
            <w:tcW w:w="992" w:type="dxa"/>
          </w:tcPr>
          <w:p w:rsidR="008B1A80" w:rsidRPr="0098145B" w:rsidRDefault="008B1A80" w:rsidP="00106F4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18"/>
                <w:szCs w:val="18"/>
              </w:rPr>
            </w:pPr>
            <w:r w:rsidRPr="0098145B">
              <w:rPr>
                <w:sz w:val="18"/>
                <w:szCs w:val="18"/>
              </w:rPr>
              <w:t>1</w:t>
            </w:r>
          </w:p>
        </w:tc>
      </w:tr>
      <w:tr w:rsidR="008B1A80" w:rsidRPr="0098145B" w:rsidTr="00344A5F">
        <w:trPr>
          <w:trHeight w:val="516"/>
        </w:trPr>
        <w:tc>
          <w:tcPr>
            <w:cnfStyle w:val="001000000000" w:firstRow="0" w:lastRow="0" w:firstColumn="1" w:lastColumn="0" w:oddVBand="0" w:evenVBand="0" w:oddHBand="0" w:evenHBand="0" w:firstRowFirstColumn="0" w:firstRowLastColumn="0" w:lastRowFirstColumn="0" w:lastRowLastColumn="0"/>
            <w:tcW w:w="1384" w:type="dxa"/>
            <w:vMerge w:val="restart"/>
          </w:tcPr>
          <w:p w:rsidR="008B1A80" w:rsidRPr="0098145B" w:rsidRDefault="008B1A80" w:rsidP="00106F42">
            <w:pPr>
              <w:autoSpaceDE w:val="0"/>
              <w:autoSpaceDN w:val="0"/>
              <w:adjustRightInd w:val="0"/>
              <w:jc w:val="both"/>
              <w:rPr>
                <w:sz w:val="18"/>
                <w:szCs w:val="18"/>
              </w:rPr>
            </w:pPr>
          </w:p>
          <w:p w:rsidR="008B1A80" w:rsidRPr="0098145B" w:rsidRDefault="008B1A80" w:rsidP="00106F42">
            <w:pPr>
              <w:autoSpaceDE w:val="0"/>
              <w:autoSpaceDN w:val="0"/>
              <w:adjustRightInd w:val="0"/>
              <w:jc w:val="both"/>
              <w:rPr>
                <w:sz w:val="18"/>
                <w:szCs w:val="18"/>
              </w:rPr>
            </w:pPr>
          </w:p>
          <w:p w:rsidR="008B1A80" w:rsidRPr="0098145B" w:rsidRDefault="008B1A80" w:rsidP="00106F42">
            <w:pPr>
              <w:autoSpaceDE w:val="0"/>
              <w:autoSpaceDN w:val="0"/>
              <w:adjustRightInd w:val="0"/>
              <w:jc w:val="both"/>
              <w:rPr>
                <w:sz w:val="18"/>
                <w:szCs w:val="18"/>
              </w:rPr>
            </w:pPr>
            <w:r w:rsidRPr="0098145B">
              <w:rPr>
                <w:sz w:val="18"/>
                <w:szCs w:val="18"/>
              </w:rPr>
              <w:t>Bassin</w:t>
            </w:r>
          </w:p>
        </w:tc>
        <w:tc>
          <w:tcPr>
            <w:tcW w:w="2410" w:type="dxa"/>
          </w:tcPr>
          <w:p w:rsidR="008B1A80" w:rsidRPr="0098145B" w:rsidRDefault="008B1A80" w:rsidP="00106F4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18"/>
                <w:szCs w:val="18"/>
              </w:rPr>
            </w:pPr>
            <w:r w:rsidRPr="0098145B">
              <w:rPr>
                <w:sz w:val="18"/>
                <w:szCs w:val="18"/>
              </w:rPr>
              <w:t xml:space="preserve">Lombarthrose  </w:t>
            </w:r>
          </w:p>
        </w:tc>
        <w:tc>
          <w:tcPr>
            <w:tcW w:w="992" w:type="dxa"/>
          </w:tcPr>
          <w:p w:rsidR="008B1A80" w:rsidRPr="0098145B" w:rsidRDefault="008B1A80" w:rsidP="00106F4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18"/>
                <w:szCs w:val="18"/>
              </w:rPr>
            </w:pPr>
            <w:r w:rsidRPr="0098145B">
              <w:rPr>
                <w:sz w:val="18"/>
                <w:szCs w:val="18"/>
              </w:rPr>
              <w:t>1</w:t>
            </w:r>
          </w:p>
        </w:tc>
      </w:tr>
      <w:tr w:rsidR="008B1A80" w:rsidRPr="0098145B" w:rsidTr="00344A5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384" w:type="dxa"/>
            <w:vMerge/>
          </w:tcPr>
          <w:p w:rsidR="008B1A80" w:rsidRPr="0098145B" w:rsidRDefault="008B1A80" w:rsidP="00106F42">
            <w:pPr>
              <w:autoSpaceDE w:val="0"/>
              <w:autoSpaceDN w:val="0"/>
              <w:adjustRightInd w:val="0"/>
              <w:jc w:val="both"/>
              <w:rPr>
                <w:sz w:val="18"/>
                <w:szCs w:val="18"/>
              </w:rPr>
            </w:pPr>
          </w:p>
        </w:tc>
        <w:tc>
          <w:tcPr>
            <w:tcW w:w="2410" w:type="dxa"/>
          </w:tcPr>
          <w:p w:rsidR="008B1A80" w:rsidRPr="0098145B" w:rsidRDefault="008B1A80" w:rsidP="00106F4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18"/>
                <w:szCs w:val="18"/>
              </w:rPr>
            </w:pPr>
            <w:r w:rsidRPr="0098145B">
              <w:rPr>
                <w:sz w:val="18"/>
                <w:szCs w:val="18"/>
              </w:rPr>
              <w:t>Fracture</w:t>
            </w:r>
          </w:p>
        </w:tc>
        <w:tc>
          <w:tcPr>
            <w:tcW w:w="992" w:type="dxa"/>
          </w:tcPr>
          <w:p w:rsidR="008B1A80" w:rsidRPr="0098145B" w:rsidRDefault="008B1A80" w:rsidP="00106F4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18"/>
                <w:szCs w:val="18"/>
              </w:rPr>
            </w:pPr>
            <w:r w:rsidRPr="0098145B">
              <w:rPr>
                <w:sz w:val="18"/>
                <w:szCs w:val="18"/>
              </w:rPr>
              <w:t>1</w:t>
            </w:r>
          </w:p>
        </w:tc>
      </w:tr>
      <w:tr w:rsidR="008B1A80" w:rsidRPr="0098145B" w:rsidTr="00344A5F">
        <w:trPr>
          <w:trHeight w:val="440"/>
        </w:trPr>
        <w:tc>
          <w:tcPr>
            <w:cnfStyle w:val="001000000000" w:firstRow="0" w:lastRow="0" w:firstColumn="1" w:lastColumn="0" w:oddVBand="0" w:evenVBand="0" w:oddHBand="0" w:evenHBand="0" w:firstRowFirstColumn="0" w:firstRowLastColumn="0" w:lastRowFirstColumn="0" w:lastRowLastColumn="0"/>
            <w:tcW w:w="1384" w:type="dxa"/>
            <w:vMerge/>
          </w:tcPr>
          <w:p w:rsidR="008B1A80" w:rsidRPr="0098145B" w:rsidRDefault="008B1A80" w:rsidP="00106F42">
            <w:pPr>
              <w:autoSpaceDE w:val="0"/>
              <w:autoSpaceDN w:val="0"/>
              <w:adjustRightInd w:val="0"/>
              <w:jc w:val="both"/>
              <w:rPr>
                <w:sz w:val="18"/>
                <w:szCs w:val="18"/>
              </w:rPr>
            </w:pPr>
          </w:p>
        </w:tc>
        <w:tc>
          <w:tcPr>
            <w:tcW w:w="2410" w:type="dxa"/>
          </w:tcPr>
          <w:p w:rsidR="008B1A80" w:rsidRPr="0098145B" w:rsidRDefault="008B1A80" w:rsidP="00106F4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18"/>
                <w:szCs w:val="18"/>
              </w:rPr>
            </w:pPr>
            <w:r w:rsidRPr="0098145B">
              <w:rPr>
                <w:sz w:val="18"/>
                <w:szCs w:val="18"/>
              </w:rPr>
              <w:t xml:space="preserve">Col fémoral </w:t>
            </w:r>
          </w:p>
        </w:tc>
        <w:tc>
          <w:tcPr>
            <w:tcW w:w="992" w:type="dxa"/>
          </w:tcPr>
          <w:p w:rsidR="008B1A80" w:rsidRPr="0098145B" w:rsidRDefault="008B1A80" w:rsidP="00106F4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18"/>
                <w:szCs w:val="18"/>
              </w:rPr>
            </w:pPr>
            <w:r w:rsidRPr="0098145B">
              <w:rPr>
                <w:sz w:val="18"/>
                <w:szCs w:val="18"/>
              </w:rPr>
              <w:t>1</w:t>
            </w:r>
          </w:p>
        </w:tc>
      </w:tr>
      <w:tr w:rsidR="008B1A80" w:rsidRPr="0098145B" w:rsidTr="00344A5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384" w:type="dxa"/>
            <w:vMerge/>
          </w:tcPr>
          <w:p w:rsidR="008B1A80" w:rsidRPr="0098145B" w:rsidRDefault="008B1A80" w:rsidP="00106F42">
            <w:pPr>
              <w:autoSpaceDE w:val="0"/>
              <w:autoSpaceDN w:val="0"/>
              <w:adjustRightInd w:val="0"/>
              <w:jc w:val="both"/>
              <w:rPr>
                <w:sz w:val="18"/>
                <w:szCs w:val="18"/>
              </w:rPr>
            </w:pPr>
          </w:p>
        </w:tc>
        <w:tc>
          <w:tcPr>
            <w:tcW w:w="2410" w:type="dxa"/>
          </w:tcPr>
          <w:p w:rsidR="008B1A80" w:rsidRPr="0098145B" w:rsidRDefault="008B1A80" w:rsidP="00106F4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18"/>
                <w:szCs w:val="18"/>
              </w:rPr>
            </w:pPr>
            <w:r w:rsidRPr="0098145B">
              <w:rPr>
                <w:sz w:val="18"/>
                <w:szCs w:val="18"/>
              </w:rPr>
              <w:t xml:space="preserve">Déminéralisation  </w:t>
            </w:r>
          </w:p>
        </w:tc>
        <w:tc>
          <w:tcPr>
            <w:tcW w:w="992" w:type="dxa"/>
          </w:tcPr>
          <w:p w:rsidR="008B1A80" w:rsidRPr="0098145B" w:rsidRDefault="008B1A80" w:rsidP="00106F4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18"/>
                <w:szCs w:val="18"/>
              </w:rPr>
            </w:pPr>
            <w:r w:rsidRPr="0098145B">
              <w:rPr>
                <w:sz w:val="18"/>
                <w:szCs w:val="18"/>
              </w:rPr>
              <w:t>10</w:t>
            </w:r>
          </w:p>
        </w:tc>
      </w:tr>
      <w:tr w:rsidR="008B1A80" w:rsidRPr="0098145B" w:rsidTr="00344A5F">
        <w:trPr>
          <w:trHeight w:val="328"/>
        </w:trPr>
        <w:tc>
          <w:tcPr>
            <w:cnfStyle w:val="001000000000" w:firstRow="0" w:lastRow="0" w:firstColumn="1" w:lastColumn="0" w:oddVBand="0" w:evenVBand="0" w:oddHBand="0" w:evenHBand="0" w:firstRowFirstColumn="0" w:firstRowLastColumn="0" w:lastRowFirstColumn="0" w:lastRowLastColumn="0"/>
            <w:tcW w:w="1384" w:type="dxa"/>
          </w:tcPr>
          <w:p w:rsidR="008B1A80" w:rsidRPr="0098145B" w:rsidRDefault="008B1A80" w:rsidP="00106F42">
            <w:pPr>
              <w:autoSpaceDE w:val="0"/>
              <w:autoSpaceDN w:val="0"/>
              <w:adjustRightInd w:val="0"/>
              <w:jc w:val="both"/>
              <w:rPr>
                <w:b w:val="0"/>
                <w:sz w:val="18"/>
                <w:szCs w:val="18"/>
              </w:rPr>
            </w:pPr>
            <w:r w:rsidRPr="0098145B">
              <w:rPr>
                <w:b w:val="0"/>
                <w:sz w:val="18"/>
                <w:szCs w:val="18"/>
              </w:rPr>
              <w:t>Mains</w:t>
            </w:r>
          </w:p>
        </w:tc>
        <w:tc>
          <w:tcPr>
            <w:tcW w:w="2410" w:type="dxa"/>
          </w:tcPr>
          <w:p w:rsidR="008B1A80" w:rsidRPr="0098145B" w:rsidRDefault="008B1A80" w:rsidP="00106F4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sz w:val="18"/>
                <w:szCs w:val="18"/>
              </w:rPr>
            </w:pPr>
            <w:r w:rsidRPr="0098145B">
              <w:rPr>
                <w:b/>
                <w:sz w:val="18"/>
                <w:szCs w:val="18"/>
              </w:rPr>
              <w:t xml:space="preserve">Déminéralisation osseuse  </w:t>
            </w:r>
          </w:p>
        </w:tc>
        <w:tc>
          <w:tcPr>
            <w:tcW w:w="992" w:type="dxa"/>
          </w:tcPr>
          <w:p w:rsidR="008B1A80" w:rsidRPr="0098145B" w:rsidRDefault="008B1A80" w:rsidP="00106F4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sz w:val="18"/>
                <w:szCs w:val="18"/>
              </w:rPr>
            </w:pPr>
            <w:r w:rsidRPr="0098145B">
              <w:rPr>
                <w:b/>
                <w:sz w:val="18"/>
                <w:szCs w:val="18"/>
              </w:rPr>
              <w:t>12</w:t>
            </w:r>
          </w:p>
        </w:tc>
      </w:tr>
      <w:tr w:rsidR="008B1A80" w:rsidRPr="0098145B" w:rsidTr="00344A5F">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384" w:type="dxa"/>
          </w:tcPr>
          <w:p w:rsidR="008B1A80" w:rsidRPr="0098145B" w:rsidRDefault="008B1A80" w:rsidP="00106F42">
            <w:pPr>
              <w:autoSpaceDE w:val="0"/>
              <w:autoSpaceDN w:val="0"/>
              <w:adjustRightInd w:val="0"/>
              <w:jc w:val="both"/>
              <w:rPr>
                <w:sz w:val="18"/>
                <w:szCs w:val="18"/>
              </w:rPr>
            </w:pPr>
            <w:r w:rsidRPr="0098145B">
              <w:rPr>
                <w:sz w:val="18"/>
                <w:szCs w:val="18"/>
              </w:rPr>
              <w:t>Epaules</w:t>
            </w:r>
          </w:p>
        </w:tc>
        <w:tc>
          <w:tcPr>
            <w:tcW w:w="2410" w:type="dxa"/>
          </w:tcPr>
          <w:p w:rsidR="008B1A80" w:rsidRPr="0098145B" w:rsidRDefault="008B1A80" w:rsidP="00106F4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18"/>
                <w:szCs w:val="18"/>
              </w:rPr>
            </w:pPr>
            <w:r w:rsidRPr="0098145B">
              <w:rPr>
                <w:sz w:val="18"/>
                <w:szCs w:val="18"/>
              </w:rPr>
              <w:t xml:space="preserve">Trait de fracture clavicule </w:t>
            </w:r>
          </w:p>
        </w:tc>
        <w:tc>
          <w:tcPr>
            <w:tcW w:w="992" w:type="dxa"/>
          </w:tcPr>
          <w:p w:rsidR="008B1A80" w:rsidRPr="0098145B" w:rsidRDefault="008B1A80" w:rsidP="00106F4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18"/>
                <w:szCs w:val="18"/>
              </w:rPr>
            </w:pPr>
            <w:r w:rsidRPr="0098145B">
              <w:rPr>
                <w:sz w:val="18"/>
                <w:szCs w:val="18"/>
              </w:rPr>
              <w:t>1</w:t>
            </w:r>
          </w:p>
        </w:tc>
      </w:tr>
      <w:tr w:rsidR="008B1A80" w:rsidRPr="0098145B" w:rsidTr="00344A5F">
        <w:trPr>
          <w:trHeight w:val="328"/>
        </w:trPr>
        <w:tc>
          <w:tcPr>
            <w:cnfStyle w:val="001000000000" w:firstRow="0" w:lastRow="0" w:firstColumn="1" w:lastColumn="0" w:oddVBand="0" w:evenVBand="0" w:oddHBand="0" w:evenHBand="0" w:firstRowFirstColumn="0" w:firstRowLastColumn="0" w:lastRowFirstColumn="0" w:lastRowLastColumn="0"/>
            <w:tcW w:w="1384" w:type="dxa"/>
          </w:tcPr>
          <w:p w:rsidR="008B1A80" w:rsidRPr="0098145B" w:rsidRDefault="008B1A80" w:rsidP="00106F42">
            <w:pPr>
              <w:autoSpaceDE w:val="0"/>
              <w:autoSpaceDN w:val="0"/>
              <w:adjustRightInd w:val="0"/>
              <w:jc w:val="both"/>
              <w:rPr>
                <w:sz w:val="18"/>
                <w:szCs w:val="18"/>
              </w:rPr>
            </w:pPr>
            <w:r w:rsidRPr="0098145B">
              <w:rPr>
                <w:sz w:val="18"/>
                <w:szCs w:val="18"/>
              </w:rPr>
              <w:t>Radiographie normale</w:t>
            </w:r>
          </w:p>
        </w:tc>
        <w:tc>
          <w:tcPr>
            <w:tcW w:w="2410" w:type="dxa"/>
          </w:tcPr>
          <w:p w:rsidR="008B1A80" w:rsidRPr="0098145B" w:rsidRDefault="008B1A80" w:rsidP="00106F4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992" w:type="dxa"/>
          </w:tcPr>
          <w:p w:rsidR="008B1A80" w:rsidRPr="0098145B" w:rsidRDefault="008B1A80" w:rsidP="00106F4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18"/>
                <w:szCs w:val="18"/>
              </w:rPr>
            </w:pPr>
            <w:r w:rsidRPr="0098145B">
              <w:rPr>
                <w:sz w:val="18"/>
                <w:szCs w:val="18"/>
              </w:rPr>
              <w:t>2</w:t>
            </w:r>
          </w:p>
        </w:tc>
      </w:tr>
    </w:tbl>
    <w:p w:rsidR="008B1A80" w:rsidRPr="0098145B" w:rsidRDefault="008B1A80" w:rsidP="008B1A80">
      <w:pPr>
        <w:autoSpaceDE w:val="0"/>
        <w:autoSpaceDN w:val="0"/>
        <w:adjustRightInd w:val="0"/>
        <w:jc w:val="both"/>
        <w:rPr>
          <w:sz w:val="18"/>
          <w:szCs w:val="18"/>
        </w:rPr>
      </w:pPr>
    </w:p>
    <w:p w:rsidR="00344A5F" w:rsidRDefault="00344A5F" w:rsidP="008B1A80">
      <w:pPr>
        <w:autoSpaceDE w:val="0"/>
        <w:autoSpaceDN w:val="0"/>
        <w:adjustRightInd w:val="0"/>
        <w:jc w:val="both"/>
        <w:rPr>
          <w:b/>
          <w:sz w:val="18"/>
          <w:szCs w:val="18"/>
        </w:rPr>
        <w:sectPr w:rsidR="00344A5F" w:rsidSect="00861DB1">
          <w:type w:val="continuous"/>
          <w:pgSz w:w="11906" w:h="16838" w:code="9"/>
          <w:pgMar w:top="1134" w:right="851" w:bottom="1418" w:left="1134" w:header="708" w:footer="708" w:gutter="0"/>
          <w:cols w:num="2" w:space="708"/>
          <w:docGrid w:linePitch="360"/>
        </w:sectPr>
      </w:pPr>
    </w:p>
    <w:p w:rsidR="008B1A80" w:rsidRPr="0098145B" w:rsidRDefault="008B1A80" w:rsidP="008B1A80">
      <w:pPr>
        <w:autoSpaceDE w:val="0"/>
        <w:autoSpaceDN w:val="0"/>
        <w:adjustRightInd w:val="0"/>
        <w:jc w:val="both"/>
        <w:rPr>
          <w:b/>
          <w:sz w:val="18"/>
          <w:szCs w:val="18"/>
        </w:rPr>
      </w:pPr>
    </w:p>
    <w:p w:rsidR="008B1A80" w:rsidRPr="0098145B" w:rsidRDefault="008B1A80" w:rsidP="008B1A80">
      <w:pPr>
        <w:autoSpaceDE w:val="0"/>
        <w:autoSpaceDN w:val="0"/>
        <w:adjustRightInd w:val="0"/>
        <w:jc w:val="both"/>
        <w:rPr>
          <w:b/>
          <w:sz w:val="18"/>
          <w:szCs w:val="18"/>
        </w:rPr>
      </w:pPr>
    </w:p>
    <w:p w:rsidR="008B1A80" w:rsidRPr="0098145B" w:rsidRDefault="008B1A80" w:rsidP="008B1A80">
      <w:pPr>
        <w:autoSpaceDE w:val="0"/>
        <w:autoSpaceDN w:val="0"/>
        <w:adjustRightInd w:val="0"/>
        <w:jc w:val="both"/>
        <w:rPr>
          <w:b/>
          <w:sz w:val="18"/>
          <w:szCs w:val="18"/>
        </w:rPr>
      </w:pPr>
    </w:p>
    <w:p w:rsidR="008B1A80" w:rsidRPr="0098145B" w:rsidRDefault="008B1A80" w:rsidP="008B1A80">
      <w:pPr>
        <w:autoSpaceDE w:val="0"/>
        <w:autoSpaceDN w:val="0"/>
        <w:adjustRightInd w:val="0"/>
        <w:jc w:val="both"/>
        <w:rPr>
          <w:b/>
          <w:sz w:val="18"/>
          <w:szCs w:val="18"/>
        </w:rPr>
      </w:pPr>
    </w:p>
    <w:p w:rsidR="008B1A80" w:rsidRPr="0098145B" w:rsidRDefault="008B1A80" w:rsidP="008B1A80">
      <w:pPr>
        <w:autoSpaceDE w:val="0"/>
        <w:autoSpaceDN w:val="0"/>
        <w:adjustRightInd w:val="0"/>
        <w:jc w:val="both"/>
        <w:rPr>
          <w:b/>
          <w:sz w:val="18"/>
          <w:szCs w:val="18"/>
        </w:rPr>
      </w:pPr>
    </w:p>
    <w:p w:rsidR="00344A5F" w:rsidRDefault="00344A5F" w:rsidP="008B1A80">
      <w:pPr>
        <w:autoSpaceDE w:val="0"/>
        <w:autoSpaceDN w:val="0"/>
        <w:adjustRightInd w:val="0"/>
        <w:jc w:val="both"/>
        <w:rPr>
          <w:b/>
          <w:sz w:val="18"/>
          <w:szCs w:val="18"/>
        </w:rPr>
      </w:pPr>
    </w:p>
    <w:p w:rsidR="008C5456" w:rsidRDefault="008C5456" w:rsidP="008B1A80">
      <w:pPr>
        <w:autoSpaceDE w:val="0"/>
        <w:autoSpaceDN w:val="0"/>
        <w:adjustRightInd w:val="0"/>
        <w:jc w:val="both"/>
        <w:rPr>
          <w:b/>
          <w:sz w:val="18"/>
          <w:szCs w:val="18"/>
        </w:rPr>
      </w:pPr>
    </w:p>
    <w:p w:rsidR="008C5456" w:rsidRDefault="008C5456" w:rsidP="008B1A80">
      <w:pPr>
        <w:autoSpaceDE w:val="0"/>
        <w:autoSpaceDN w:val="0"/>
        <w:adjustRightInd w:val="0"/>
        <w:jc w:val="both"/>
        <w:rPr>
          <w:b/>
          <w:sz w:val="18"/>
          <w:szCs w:val="18"/>
        </w:rPr>
      </w:pPr>
    </w:p>
    <w:p w:rsidR="008C5456" w:rsidRDefault="008C5456" w:rsidP="008B1A80">
      <w:pPr>
        <w:autoSpaceDE w:val="0"/>
        <w:autoSpaceDN w:val="0"/>
        <w:adjustRightInd w:val="0"/>
        <w:jc w:val="both"/>
        <w:rPr>
          <w:b/>
          <w:sz w:val="18"/>
          <w:szCs w:val="18"/>
        </w:rPr>
      </w:pPr>
    </w:p>
    <w:p w:rsidR="008C5456" w:rsidRDefault="008C5456" w:rsidP="008B1A80">
      <w:pPr>
        <w:autoSpaceDE w:val="0"/>
        <w:autoSpaceDN w:val="0"/>
        <w:adjustRightInd w:val="0"/>
        <w:jc w:val="both"/>
        <w:rPr>
          <w:b/>
          <w:sz w:val="18"/>
          <w:szCs w:val="18"/>
        </w:rPr>
      </w:pPr>
    </w:p>
    <w:p w:rsidR="008C5456" w:rsidRDefault="008C5456" w:rsidP="008B1A80">
      <w:pPr>
        <w:autoSpaceDE w:val="0"/>
        <w:autoSpaceDN w:val="0"/>
        <w:adjustRightInd w:val="0"/>
        <w:jc w:val="both"/>
        <w:rPr>
          <w:b/>
          <w:sz w:val="18"/>
          <w:szCs w:val="18"/>
        </w:rPr>
      </w:pPr>
    </w:p>
    <w:p w:rsidR="008C5456" w:rsidRDefault="008C5456" w:rsidP="008B1A80">
      <w:pPr>
        <w:autoSpaceDE w:val="0"/>
        <w:autoSpaceDN w:val="0"/>
        <w:adjustRightInd w:val="0"/>
        <w:jc w:val="both"/>
        <w:rPr>
          <w:b/>
          <w:sz w:val="18"/>
          <w:szCs w:val="18"/>
        </w:rPr>
      </w:pPr>
    </w:p>
    <w:p w:rsidR="008C5456" w:rsidRDefault="008C5456" w:rsidP="008B1A80">
      <w:pPr>
        <w:autoSpaceDE w:val="0"/>
        <w:autoSpaceDN w:val="0"/>
        <w:adjustRightInd w:val="0"/>
        <w:jc w:val="both"/>
        <w:rPr>
          <w:b/>
          <w:sz w:val="18"/>
          <w:szCs w:val="18"/>
        </w:rPr>
      </w:pPr>
    </w:p>
    <w:p w:rsidR="008C5456" w:rsidRDefault="008C5456" w:rsidP="008B1A80">
      <w:pPr>
        <w:autoSpaceDE w:val="0"/>
        <w:autoSpaceDN w:val="0"/>
        <w:adjustRightInd w:val="0"/>
        <w:jc w:val="both"/>
        <w:rPr>
          <w:b/>
          <w:sz w:val="18"/>
          <w:szCs w:val="18"/>
        </w:rPr>
      </w:pPr>
    </w:p>
    <w:p w:rsidR="008C5456" w:rsidRDefault="008C5456" w:rsidP="008B1A80">
      <w:pPr>
        <w:autoSpaceDE w:val="0"/>
        <w:autoSpaceDN w:val="0"/>
        <w:adjustRightInd w:val="0"/>
        <w:jc w:val="both"/>
        <w:rPr>
          <w:b/>
          <w:sz w:val="18"/>
          <w:szCs w:val="18"/>
        </w:rPr>
      </w:pPr>
    </w:p>
    <w:p w:rsidR="008C5456" w:rsidRDefault="008C5456" w:rsidP="008B1A80">
      <w:pPr>
        <w:autoSpaceDE w:val="0"/>
        <w:autoSpaceDN w:val="0"/>
        <w:adjustRightInd w:val="0"/>
        <w:jc w:val="both"/>
        <w:rPr>
          <w:b/>
          <w:sz w:val="18"/>
          <w:szCs w:val="18"/>
        </w:rPr>
      </w:pPr>
    </w:p>
    <w:p w:rsidR="008C5456" w:rsidRDefault="008C5456" w:rsidP="008B1A80">
      <w:pPr>
        <w:autoSpaceDE w:val="0"/>
        <w:autoSpaceDN w:val="0"/>
        <w:adjustRightInd w:val="0"/>
        <w:jc w:val="both"/>
        <w:rPr>
          <w:b/>
          <w:sz w:val="18"/>
          <w:szCs w:val="18"/>
        </w:rPr>
      </w:pPr>
    </w:p>
    <w:p w:rsidR="008C5456" w:rsidRDefault="008C5456" w:rsidP="008B1A80">
      <w:pPr>
        <w:autoSpaceDE w:val="0"/>
        <w:autoSpaceDN w:val="0"/>
        <w:adjustRightInd w:val="0"/>
        <w:jc w:val="both"/>
        <w:rPr>
          <w:b/>
          <w:sz w:val="18"/>
          <w:szCs w:val="18"/>
        </w:rPr>
      </w:pPr>
    </w:p>
    <w:p w:rsidR="008C5456" w:rsidRDefault="008C5456" w:rsidP="008B1A80">
      <w:pPr>
        <w:autoSpaceDE w:val="0"/>
        <w:autoSpaceDN w:val="0"/>
        <w:adjustRightInd w:val="0"/>
        <w:jc w:val="both"/>
        <w:rPr>
          <w:b/>
          <w:sz w:val="18"/>
          <w:szCs w:val="18"/>
        </w:rPr>
      </w:pPr>
    </w:p>
    <w:p w:rsidR="008C5456" w:rsidRDefault="008C5456" w:rsidP="008B1A80">
      <w:pPr>
        <w:autoSpaceDE w:val="0"/>
        <w:autoSpaceDN w:val="0"/>
        <w:adjustRightInd w:val="0"/>
        <w:jc w:val="both"/>
        <w:rPr>
          <w:b/>
          <w:sz w:val="18"/>
          <w:szCs w:val="18"/>
        </w:rPr>
      </w:pPr>
    </w:p>
    <w:p w:rsidR="008C5456" w:rsidRDefault="008C5456" w:rsidP="008B1A80">
      <w:pPr>
        <w:autoSpaceDE w:val="0"/>
        <w:autoSpaceDN w:val="0"/>
        <w:adjustRightInd w:val="0"/>
        <w:jc w:val="both"/>
        <w:rPr>
          <w:b/>
          <w:sz w:val="18"/>
          <w:szCs w:val="18"/>
        </w:rPr>
      </w:pPr>
    </w:p>
    <w:p w:rsidR="008C5456" w:rsidRDefault="008C5456" w:rsidP="008B1A80">
      <w:pPr>
        <w:autoSpaceDE w:val="0"/>
        <w:autoSpaceDN w:val="0"/>
        <w:adjustRightInd w:val="0"/>
        <w:jc w:val="both"/>
        <w:rPr>
          <w:b/>
          <w:sz w:val="18"/>
          <w:szCs w:val="18"/>
        </w:rPr>
      </w:pPr>
    </w:p>
    <w:p w:rsidR="008C5456" w:rsidRDefault="008C5456" w:rsidP="008B1A80">
      <w:pPr>
        <w:autoSpaceDE w:val="0"/>
        <w:autoSpaceDN w:val="0"/>
        <w:adjustRightInd w:val="0"/>
        <w:jc w:val="both"/>
        <w:rPr>
          <w:b/>
          <w:sz w:val="18"/>
          <w:szCs w:val="18"/>
        </w:rPr>
      </w:pPr>
    </w:p>
    <w:p w:rsidR="008C5456" w:rsidRDefault="008C5456" w:rsidP="008B1A80">
      <w:pPr>
        <w:autoSpaceDE w:val="0"/>
        <w:autoSpaceDN w:val="0"/>
        <w:adjustRightInd w:val="0"/>
        <w:jc w:val="both"/>
        <w:rPr>
          <w:b/>
          <w:sz w:val="18"/>
          <w:szCs w:val="18"/>
        </w:rPr>
      </w:pPr>
    </w:p>
    <w:p w:rsidR="008B1A80" w:rsidRPr="0098145B" w:rsidRDefault="008B1A80" w:rsidP="008B1A80">
      <w:pPr>
        <w:autoSpaceDE w:val="0"/>
        <w:autoSpaceDN w:val="0"/>
        <w:adjustRightInd w:val="0"/>
        <w:jc w:val="both"/>
        <w:rPr>
          <w:sz w:val="18"/>
          <w:szCs w:val="18"/>
        </w:rPr>
      </w:pPr>
      <w:r w:rsidRPr="0098145B">
        <w:rPr>
          <w:b/>
          <w:sz w:val="18"/>
          <w:szCs w:val="18"/>
        </w:rPr>
        <w:lastRenderedPageBreak/>
        <w:t>Tableau III</w:t>
      </w:r>
      <w:r w:rsidRPr="0098145B">
        <w:rPr>
          <w:sz w:val="18"/>
          <w:szCs w:val="18"/>
        </w:rPr>
        <w:t>: répartition des dialysés en fonction de la durée en dialyse et la PTH</w:t>
      </w:r>
    </w:p>
    <w:p w:rsidR="008B1A80" w:rsidRPr="0098145B" w:rsidRDefault="008B1A80" w:rsidP="008B1A80">
      <w:pPr>
        <w:autoSpaceDE w:val="0"/>
        <w:autoSpaceDN w:val="0"/>
        <w:adjustRightInd w:val="0"/>
        <w:jc w:val="both"/>
        <w:rPr>
          <w:b/>
          <w:sz w:val="18"/>
          <w:szCs w:val="18"/>
        </w:rPr>
      </w:pPr>
    </w:p>
    <w:tbl>
      <w:tblPr>
        <w:tblStyle w:val="Grilledetableauclaire"/>
        <w:tblpPr w:leftFromText="141" w:rightFromText="141" w:vertAnchor="text" w:horzAnchor="margin" w:tblpY="1109"/>
        <w:tblW w:w="4915" w:type="dxa"/>
        <w:tblLayout w:type="fixed"/>
        <w:tblLook w:val="0000" w:firstRow="0" w:lastRow="0" w:firstColumn="0" w:lastColumn="0" w:noHBand="0" w:noVBand="0"/>
      </w:tblPr>
      <w:tblGrid>
        <w:gridCol w:w="960"/>
        <w:gridCol w:w="988"/>
        <w:gridCol w:w="988"/>
        <w:gridCol w:w="991"/>
        <w:gridCol w:w="988"/>
      </w:tblGrid>
      <w:tr w:rsidR="00565617" w:rsidRPr="00861DB1" w:rsidTr="00861DB1">
        <w:trPr>
          <w:trHeight w:val="421"/>
        </w:trPr>
        <w:tc>
          <w:tcPr>
            <w:tcW w:w="960" w:type="dxa"/>
            <w:vMerge w:val="restart"/>
          </w:tcPr>
          <w:p w:rsidR="008B1A80" w:rsidRPr="00861DB1" w:rsidRDefault="008B1A80" w:rsidP="00565617">
            <w:pPr>
              <w:autoSpaceDE w:val="0"/>
              <w:autoSpaceDN w:val="0"/>
              <w:adjustRightInd w:val="0"/>
              <w:ind w:left="60" w:right="60"/>
              <w:jc w:val="both"/>
              <w:rPr>
                <w:color w:val="000000"/>
                <w:sz w:val="16"/>
                <w:szCs w:val="18"/>
              </w:rPr>
            </w:pPr>
            <w:r w:rsidRPr="00861DB1">
              <w:rPr>
                <w:color w:val="000000"/>
                <w:sz w:val="16"/>
                <w:szCs w:val="18"/>
              </w:rPr>
              <w:t>Durée en Hémodialyse (mois)</w:t>
            </w:r>
          </w:p>
        </w:tc>
        <w:tc>
          <w:tcPr>
            <w:tcW w:w="2967" w:type="dxa"/>
            <w:gridSpan w:val="3"/>
          </w:tcPr>
          <w:p w:rsidR="008B1A80" w:rsidRPr="00861DB1" w:rsidRDefault="008B1A80" w:rsidP="00565617">
            <w:pPr>
              <w:autoSpaceDE w:val="0"/>
              <w:autoSpaceDN w:val="0"/>
              <w:adjustRightInd w:val="0"/>
              <w:ind w:left="60" w:right="60"/>
              <w:jc w:val="both"/>
              <w:rPr>
                <w:color w:val="000000"/>
                <w:sz w:val="16"/>
                <w:szCs w:val="18"/>
              </w:rPr>
            </w:pPr>
            <w:r w:rsidRPr="00861DB1">
              <w:rPr>
                <w:color w:val="000000"/>
                <w:sz w:val="16"/>
                <w:szCs w:val="18"/>
              </w:rPr>
              <w:t>PTH</w:t>
            </w:r>
          </w:p>
        </w:tc>
        <w:tc>
          <w:tcPr>
            <w:tcW w:w="988" w:type="dxa"/>
            <w:vMerge w:val="restart"/>
          </w:tcPr>
          <w:p w:rsidR="008B1A80" w:rsidRPr="00861DB1" w:rsidRDefault="008B1A80" w:rsidP="00565617">
            <w:pPr>
              <w:autoSpaceDE w:val="0"/>
              <w:autoSpaceDN w:val="0"/>
              <w:adjustRightInd w:val="0"/>
              <w:ind w:left="60" w:right="60"/>
              <w:jc w:val="both"/>
              <w:rPr>
                <w:color w:val="000000"/>
                <w:sz w:val="16"/>
                <w:szCs w:val="18"/>
              </w:rPr>
            </w:pPr>
            <w:r w:rsidRPr="00861DB1">
              <w:rPr>
                <w:color w:val="000000"/>
                <w:sz w:val="16"/>
                <w:szCs w:val="18"/>
              </w:rPr>
              <w:t>Total</w:t>
            </w:r>
          </w:p>
        </w:tc>
      </w:tr>
      <w:tr w:rsidR="00565617" w:rsidRPr="00861DB1" w:rsidTr="00861DB1">
        <w:trPr>
          <w:trHeight w:val="845"/>
        </w:trPr>
        <w:tc>
          <w:tcPr>
            <w:tcW w:w="960" w:type="dxa"/>
            <w:vMerge/>
          </w:tcPr>
          <w:p w:rsidR="008B1A80" w:rsidRPr="00861DB1" w:rsidRDefault="008B1A80" w:rsidP="00565617">
            <w:pPr>
              <w:autoSpaceDE w:val="0"/>
              <w:autoSpaceDN w:val="0"/>
              <w:adjustRightInd w:val="0"/>
              <w:jc w:val="both"/>
              <w:rPr>
                <w:color w:val="000000"/>
                <w:sz w:val="16"/>
                <w:szCs w:val="18"/>
              </w:rPr>
            </w:pPr>
          </w:p>
        </w:tc>
        <w:tc>
          <w:tcPr>
            <w:tcW w:w="988" w:type="dxa"/>
          </w:tcPr>
          <w:p w:rsidR="008B1A80" w:rsidRPr="00861DB1" w:rsidRDefault="008B1A80" w:rsidP="00565617">
            <w:pPr>
              <w:autoSpaceDE w:val="0"/>
              <w:autoSpaceDN w:val="0"/>
              <w:adjustRightInd w:val="0"/>
              <w:ind w:right="60"/>
              <w:jc w:val="both"/>
              <w:rPr>
                <w:color w:val="000000"/>
                <w:sz w:val="16"/>
                <w:szCs w:val="18"/>
              </w:rPr>
            </w:pPr>
            <w:proofErr w:type="spellStart"/>
            <w:r w:rsidRPr="00861DB1">
              <w:rPr>
                <w:color w:val="000000"/>
                <w:sz w:val="16"/>
                <w:szCs w:val="18"/>
              </w:rPr>
              <w:t>Hypoparathyroïdie</w:t>
            </w:r>
            <w:proofErr w:type="spellEnd"/>
          </w:p>
        </w:tc>
        <w:tc>
          <w:tcPr>
            <w:tcW w:w="988" w:type="dxa"/>
          </w:tcPr>
          <w:p w:rsidR="008B1A80" w:rsidRPr="00861DB1" w:rsidRDefault="008B1A80" w:rsidP="00565617">
            <w:pPr>
              <w:autoSpaceDE w:val="0"/>
              <w:autoSpaceDN w:val="0"/>
              <w:adjustRightInd w:val="0"/>
              <w:ind w:right="60"/>
              <w:jc w:val="both"/>
              <w:rPr>
                <w:color w:val="000000"/>
                <w:sz w:val="16"/>
                <w:szCs w:val="18"/>
              </w:rPr>
            </w:pPr>
            <w:r w:rsidRPr="00861DB1">
              <w:rPr>
                <w:color w:val="000000"/>
                <w:sz w:val="16"/>
                <w:szCs w:val="18"/>
              </w:rPr>
              <w:t>PTH normale</w:t>
            </w:r>
          </w:p>
        </w:tc>
        <w:tc>
          <w:tcPr>
            <w:tcW w:w="989" w:type="dxa"/>
          </w:tcPr>
          <w:p w:rsidR="008B1A80" w:rsidRPr="00861DB1" w:rsidRDefault="008B1A80" w:rsidP="00565617">
            <w:pPr>
              <w:autoSpaceDE w:val="0"/>
              <w:autoSpaceDN w:val="0"/>
              <w:adjustRightInd w:val="0"/>
              <w:ind w:right="60"/>
              <w:jc w:val="both"/>
              <w:rPr>
                <w:color w:val="000000"/>
                <w:sz w:val="16"/>
                <w:szCs w:val="18"/>
              </w:rPr>
            </w:pPr>
            <w:r w:rsidRPr="00861DB1">
              <w:rPr>
                <w:color w:val="000000"/>
                <w:sz w:val="16"/>
                <w:szCs w:val="18"/>
              </w:rPr>
              <w:t>Hyperparathyroïdie</w:t>
            </w:r>
          </w:p>
        </w:tc>
        <w:tc>
          <w:tcPr>
            <w:tcW w:w="988" w:type="dxa"/>
            <w:vMerge/>
          </w:tcPr>
          <w:p w:rsidR="008B1A80" w:rsidRPr="00861DB1" w:rsidRDefault="008B1A80" w:rsidP="00565617">
            <w:pPr>
              <w:autoSpaceDE w:val="0"/>
              <w:autoSpaceDN w:val="0"/>
              <w:adjustRightInd w:val="0"/>
              <w:jc w:val="both"/>
              <w:rPr>
                <w:color w:val="000000"/>
                <w:sz w:val="16"/>
                <w:szCs w:val="18"/>
              </w:rPr>
            </w:pPr>
          </w:p>
        </w:tc>
      </w:tr>
      <w:tr w:rsidR="00565617" w:rsidRPr="00861DB1" w:rsidTr="00861DB1">
        <w:trPr>
          <w:trHeight w:val="421"/>
        </w:trPr>
        <w:tc>
          <w:tcPr>
            <w:tcW w:w="960" w:type="dxa"/>
          </w:tcPr>
          <w:p w:rsidR="008B1A80" w:rsidRPr="00861DB1" w:rsidRDefault="008B1A80" w:rsidP="00565617">
            <w:pPr>
              <w:autoSpaceDE w:val="0"/>
              <w:autoSpaceDN w:val="0"/>
              <w:adjustRightInd w:val="0"/>
              <w:ind w:left="60" w:right="60"/>
              <w:jc w:val="both"/>
              <w:rPr>
                <w:color w:val="000000"/>
                <w:sz w:val="16"/>
                <w:szCs w:val="18"/>
              </w:rPr>
            </w:pPr>
            <w:r w:rsidRPr="00861DB1">
              <w:rPr>
                <w:color w:val="000000"/>
                <w:sz w:val="16"/>
                <w:szCs w:val="18"/>
              </w:rPr>
              <w:t>6- 18</w:t>
            </w:r>
          </w:p>
        </w:tc>
        <w:tc>
          <w:tcPr>
            <w:tcW w:w="988" w:type="dxa"/>
          </w:tcPr>
          <w:p w:rsidR="00565617" w:rsidRPr="00861DB1" w:rsidRDefault="008B1A80" w:rsidP="00565617">
            <w:pPr>
              <w:autoSpaceDE w:val="0"/>
              <w:autoSpaceDN w:val="0"/>
              <w:adjustRightInd w:val="0"/>
              <w:ind w:left="60" w:right="60"/>
              <w:jc w:val="center"/>
              <w:rPr>
                <w:color w:val="000000"/>
                <w:sz w:val="16"/>
                <w:szCs w:val="18"/>
              </w:rPr>
            </w:pPr>
            <w:r w:rsidRPr="00861DB1">
              <w:rPr>
                <w:color w:val="000000"/>
                <w:sz w:val="16"/>
                <w:szCs w:val="18"/>
              </w:rPr>
              <w:t>1</w:t>
            </w:r>
          </w:p>
          <w:p w:rsidR="008B1A80" w:rsidRPr="00861DB1" w:rsidRDefault="008B1A80" w:rsidP="00565617">
            <w:pPr>
              <w:autoSpaceDE w:val="0"/>
              <w:autoSpaceDN w:val="0"/>
              <w:adjustRightInd w:val="0"/>
              <w:ind w:left="60" w:right="60"/>
              <w:jc w:val="center"/>
              <w:rPr>
                <w:color w:val="000000"/>
                <w:sz w:val="16"/>
                <w:szCs w:val="18"/>
              </w:rPr>
            </w:pPr>
            <w:r w:rsidRPr="00861DB1">
              <w:rPr>
                <w:color w:val="000000"/>
                <w:sz w:val="16"/>
                <w:szCs w:val="18"/>
              </w:rPr>
              <w:t>(2,6%)</w:t>
            </w:r>
          </w:p>
        </w:tc>
        <w:tc>
          <w:tcPr>
            <w:tcW w:w="988" w:type="dxa"/>
          </w:tcPr>
          <w:p w:rsidR="008B1A80" w:rsidRPr="00861DB1" w:rsidRDefault="008B1A80" w:rsidP="00565617">
            <w:pPr>
              <w:autoSpaceDE w:val="0"/>
              <w:autoSpaceDN w:val="0"/>
              <w:adjustRightInd w:val="0"/>
              <w:ind w:left="60" w:right="60"/>
              <w:jc w:val="center"/>
              <w:rPr>
                <w:color w:val="000000"/>
                <w:sz w:val="16"/>
                <w:szCs w:val="18"/>
              </w:rPr>
            </w:pPr>
            <w:r w:rsidRPr="00861DB1">
              <w:rPr>
                <w:color w:val="000000"/>
                <w:sz w:val="16"/>
                <w:szCs w:val="18"/>
              </w:rPr>
              <w:t>22 (57,9%)</w:t>
            </w:r>
          </w:p>
        </w:tc>
        <w:tc>
          <w:tcPr>
            <w:tcW w:w="989" w:type="dxa"/>
          </w:tcPr>
          <w:p w:rsidR="00565617" w:rsidRPr="00861DB1" w:rsidRDefault="008B1A80" w:rsidP="00565617">
            <w:pPr>
              <w:autoSpaceDE w:val="0"/>
              <w:autoSpaceDN w:val="0"/>
              <w:adjustRightInd w:val="0"/>
              <w:ind w:left="60" w:right="60"/>
              <w:jc w:val="center"/>
              <w:rPr>
                <w:color w:val="000000"/>
                <w:sz w:val="16"/>
                <w:szCs w:val="18"/>
              </w:rPr>
            </w:pPr>
            <w:r w:rsidRPr="00861DB1">
              <w:rPr>
                <w:color w:val="000000"/>
                <w:sz w:val="16"/>
                <w:szCs w:val="18"/>
              </w:rPr>
              <w:t>15</w:t>
            </w:r>
          </w:p>
          <w:p w:rsidR="008B1A80" w:rsidRPr="00861DB1" w:rsidRDefault="008B1A80" w:rsidP="00565617">
            <w:pPr>
              <w:autoSpaceDE w:val="0"/>
              <w:autoSpaceDN w:val="0"/>
              <w:adjustRightInd w:val="0"/>
              <w:ind w:left="60" w:right="60"/>
              <w:jc w:val="center"/>
              <w:rPr>
                <w:color w:val="000000"/>
                <w:sz w:val="16"/>
                <w:szCs w:val="18"/>
              </w:rPr>
            </w:pPr>
            <w:r w:rsidRPr="00861DB1">
              <w:rPr>
                <w:color w:val="000000"/>
                <w:sz w:val="16"/>
                <w:szCs w:val="18"/>
              </w:rPr>
              <w:t>(39,5%)</w:t>
            </w:r>
          </w:p>
        </w:tc>
        <w:tc>
          <w:tcPr>
            <w:tcW w:w="988" w:type="dxa"/>
          </w:tcPr>
          <w:p w:rsidR="00565617" w:rsidRPr="00861DB1" w:rsidRDefault="008B1A80" w:rsidP="00565617">
            <w:pPr>
              <w:autoSpaceDE w:val="0"/>
              <w:autoSpaceDN w:val="0"/>
              <w:adjustRightInd w:val="0"/>
              <w:ind w:left="60" w:right="60"/>
              <w:jc w:val="center"/>
              <w:rPr>
                <w:color w:val="000000"/>
                <w:sz w:val="16"/>
                <w:szCs w:val="18"/>
              </w:rPr>
            </w:pPr>
            <w:r w:rsidRPr="00861DB1">
              <w:rPr>
                <w:color w:val="000000"/>
                <w:sz w:val="16"/>
                <w:szCs w:val="18"/>
              </w:rPr>
              <w:t>38</w:t>
            </w:r>
          </w:p>
          <w:p w:rsidR="008B1A80" w:rsidRPr="00861DB1" w:rsidRDefault="008B1A80" w:rsidP="00565617">
            <w:pPr>
              <w:autoSpaceDE w:val="0"/>
              <w:autoSpaceDN w:val="0"/>
              <w:adjustRightInd w:val="0"/>
              <w:ind w:left="60" w:right="60"/>
              <w:jc w:val="center"/>
              <w:rPr>
                <w:color w:val="000000"/>
                <w:sz w:val="16"/>
                <w:szCs w:val="18"/>
              </w:rPr>
            </w:pPr>
            <w:r w:rsidRPr="00861DB1">
              <w:rPr>
                <w:color w:val="000000"/>
                <w:sz w:val="16"/>
                <w:szCs w:val="18"/>
              </w:rPr>
              <w:t>(100,0%)</w:t>
            </w:r>
          </w:p>
        </w:tc>
      </w:tr>
      <w:tr w:rsidR="00565617" w:rsidRPr="00861DB1" w:rsidTr="00861DB1">
        <w:trPr>
          <w:trHeight w:val="367"/>
        </w:trPr>
        <w:tc>
          <w:tcPr>
            <w:tcW w:w="960" w:type="dxa"/>
          </w:tcPr>
          <w:p w:rsidR="008B1A80" w:rsidRPr="00861DB1" w:rsidRDefault="008B1A80" w:rsidP="00565617">
            <w:pPr>
              <w:autoSpaceDE w:val="0"/>
              <w:autoSpaceDN w:val="0"/>
              <w:adjustRightInd w:val="0"/>
              <w:ind w:left="60" w:right="60"/>
              <w:jc w:val="both"/>
              <w:rPr>
                <w:color w:val="000000"/>
                <w:sz w:val="16"/>
                <w:szCs w:val="18"/>
              </w:rPr>
            </w:pPr>
            <w:r w:rsidRPr="00861DB1">
              <w:rPr>
                <w:color w:val="000000"/>
                <w:sz w:val="16"/>
                <w:szCs w:val="18"/>
              </w:rPr>
              <w:t>19-31</w:t>
            </w:r>
          </w:p>
        </w:tc>
        <w:tc>
          <w:tcPr>
            <w:tcW w:w="988" w:type="dxa"/>
          </w:tcPr>
          <w:p w:rsidR="00565617" w:rsidRPr="00861DB1" w:rsidRDefault="008B1A80" w:rsidP="00565617">
            <w:pPr>
              <w:autoSpaceDE w:val="0"/>
              <w:autoSpaceDN w:val="0"/>
              <w:adjustRightInd w:val="0"/>
              <w:ind w:left="60" w:right="60"/>
              <w:jc w:val="center"/>
              <w:rPr>
                <w:color w:val="000000"/>
                <w:sz w:val="16"/>
                <w:szCs w:val="18"/>
              </w:rPr>
            </w:pPr>
            <w:r w:rsidRPr="00861DB1">
              <w:rPr>
                <w:color w:val="000000"/>
                <w:sz w:val="16"/>
                <w:szCs w:val="18"/>
              </w:rPr>
              <w:t>2</w:t>
            </w:r>
          </w:p>
          <w:p w:rsidR="008B1A80" w:rsidRPr="00861DB1" w:rsidRDefault="008B1A80" w:rsidP="00565617">
            <w:pPr>
              <w:autoSpaceDE w:val="0"/>
              <w:autoSpaceDN w:val="0"/>
              <w:adjustRightInd w:val="0"/>
              <w:ind w:left="60" w:right="60"/>
              <w:jc w:val="center"/>
              <w:rPr>
                <w:color w:val="000000"/>
                <w:sz w:val="16"/>
                <w:szCs w:val="18"/>
              </w:rPr>
            </w:pPr>
            <w:r w:rsidRPr="00861DB1">
              <w:rPr>
                <w:color w:val="000000"/>
                <w:sz w:val="16"/>
                <w:szCs w:val="18"/>
              </w:rPr>
              <w:t>(9,1%)</w:t>
            </w:r>
          </w:p>
        </w:tc>
        <w:tc>
          <w:tcPr>
            <w:tcW w:w="988" w:type="dxa"/>
          </w:tcPr>
          <w:p w:rsidR="00565617" w:rsidRPr="00861DB1" w:rsidRDefault="008B1A80" w:rsidP="00565617">
            <w:pPr>
              <w:autoSpaceDE w:val="0"/>
              <w:autoSpaceDN w:val="0"/>
              <w:adjustRightInd w:val="0"/>
              <w:ind w:left="60" w:right="60"/>
              <w:jc w:val="center"/>
              <w:rPr>
                <w:color w:val="000000"/>
                <w:sz w:val="16"/>
                <w:szCs w:val="18"/>
              </w:rPr>
            </w:pPr>
            <w:r w:rsidRPr="00861DB1">
              <w:rPr>
                <w:color w:val="000000"/>
                <w:sz w:val="16"/>
                <w:szCs w:val="18"/>
              </w:rPr>
              <w:t>6</w:t>
            </w:r>
          </w:p>
          <w:p w:rsidR="008B1A80" w:rsidRPr="00861DB1" w:rsidRDefault="008B1A80" w:rsidP="00565617">
            <w:pPr>
              <w:autoSpaceDE w:val="0"/>
              <w:autoSpaceDN w:val="0"/>
              <w:adjustRightInd w:val="0"/>
              <w:ind w:left="60" w:right="60"/>
              <w:jc w:val="center"/>
              <w:rPr>
                <w:color w:val="000000"/>
                <w:sz w:val="16"/>
                <w:szCs w:val="18"/>
              </w:rPr>
            </w:pPr>
            <w:r w:rsidRPr="00861DB1">
              <w:rPr>
                <w:color w:val="000000"/>
                <w:sz w:val="16"/>
                <w:szCs w:val="18"/>
              </w:rPr>
              <w:t>(27,3%)</w:t>
            </w:r>
          </w:p>
        </w:tc>
        <w:tc>
          <w:tcPr>
            <w:tcW w:w="989" w:type="dxa"/>
          </w:tcPr>
          <w:p w:rsidR="00565617" w:rsidRPr="00861DB1" w:rsidRDefault="008B1A80" w:rsidP="00565617">
            <w:pPr>
              <w:autoSpaceDE w:val="0"/>
              <w:autoSpaceDN w:val="0"/>
              <w:adjustRightInd w:val="0"/>
              <w:ind w:left="60" w:right="60"/>
              <w:jc w:val="center"/>
              <w:rPr>
                <w:color w:val="000000"/>
                <w:sz w:val="16"/>
                <w:szCs w:val="18"/>
              </w:rPr>
            </w:pPr>
            <w:r w:rsidRPr="00861DB1">
              <w:rPr>
                <w:color w:val="000000"/>
                <w:sz w:val="16"/>
                <w:szCs w:val="18"/>
              </w:rPr>
              <w:t>14</w:t>
            </w:r>
          </w:p>
          <w:p w:rsidR="008B1A80" w:rsidRPr="00861DB1" w:rsidRDefault="008B1A80" w:rsidP="00565617">
            <w:pPr>
              <w:autoSpaceDE w:val="0"/>
              <w:autoSpaceDN w:val="0"/>
              <w:adjustRightInd w:val="0"/>
              <w:ind w:left="60" w:right="60"/>
              <w:jc w:val="center"/>
              <w:rPr>
                <w:color w:val="000000"/>
                <w:sz w:val="16"/>
                <w:szCs w:val="18"/>
              </w:rPr>
            </w:pPr>
            <w:r w:rsidRPr="00861DB1">
              <w:rPr>
                <w:color w:val="000000"/>
                <w:sz w:val="16"/>
                <w:szCs w:val="18"/>
              </w:rPr>
              <w:t>(63,6%)</w:t>
            </w:r>
          </w:p>
        </w:tc>
        <w:tc>
          <w:tcPr>
            <w:tcW w:w="988" w:type="dxa"/>
          </w:tcPr>
          <w:p w:rsidR="00565617" w:rsidRPr="00861DB1" w:rsidRDefault="008B1A80" w:rsidP="00565617">
            <w:pPr>
              <w:autoSpaceDE w:val="0"/>
              <w:autoSpaceDN w:val="0"/>
              <w:adjustRightInd w:val="0"/>
              <w:ind w:left="60" w:right="60"/>
              <w:jc w:val="center"/>
              <w:rPr>
                <w:color w:val="000000"/>
                <w:sz w:val="16"/>
                <w:szCs w:val="18"/>
              </w:rPr>
            </w:pPr>
            <w:r w:rsidRPr="00861DB1">
              <w:rPr>
                <w:color w:val="000000"/>
                <w:sz w:val="16"/>
                <w:szCs w:val="18"/>
              </w:rPr>
              <w:t>22</w:t>
            </w:r>
          </w:p>
          <w:p w:rsidR="008B1A80" w:rsidRPr="00861DB1" w:rsidRDefault="008B1A80" w:rsidP="00565617">
            <w:pPr>
              <w:autoSpaceDE w:val="0"/>
              <w:autoSpaceDN w:val="0"/>
              <w:adjustRightInd w:val="0"/>
              <w:ind w:left="60" w:right="60"/>
              <w:jc w:val="center"/>
              <w:rPr>
                <w:color w:val="000000"/>
                <w:sz w:val="16"/>
                <w:szCs w:val="18"/>
              </w:rPr>
            </w:pPr>
            <w:r w:rsidRPr="00861DB1">
              <w:rPr>
                <w:color w:val="000000"/>
                <w:sz w:val="16"/>
                <w:szCs w:val="18"/>
              </w:rPr>
              <w:t>(100,0%)</w:t>
            </w:r>
          </w:p>
        </w:tc>
      </w:tr>
      <w:tr w:rsidR="00565617" w:rsidRPr="00861DB1" w:rsidTr="00861DB1">
        <w:trPr>
          <w:trHeight w:val="421"/>
        </w:trPr>
        <w:tc>
          <w:tcPr>
            <w:tcW w:w="960" w:type="dxa"/>
          </w:tcPr>
          <w:p w:rsidR="008B1A80" w:rsidRPr="00861DB1" w:rsidRDefault="008B1A80" w:rsidP="00565617">
            <w:pPr>
              <w:autoSpaceDE w:val="0"/>
              <w:autoSpaceDN w:val="0"/>
              <w:adjustRightInd w:val="0"/>
              <w:ind w:left="60" w:right="60"/>
              <w:jc w:val="both"/>
              <w:rPr>
                <w:color w:val="000000"/>
                <w:sz w:val="16"/>
                <w:szCs w:val="18"/>
              </w:rPr>
            </w:pPr>
            <w:r w:rsidRPr="00861DB1">
              <w:rPr>
                <w:color w:val="000000"/>
                <w:sz w:val="16"/>
                <w:szCs w:val="18"/>
              </w:rPr>
              <w:t>32-44</w:t>
            </w:r>
          </w:p>
        </w:tc>
        <w:tc>
          <w:tcPr>
            <w:tcW w:w="988" w:type="dxa"/>
          </w:tcPr>
          <w:p w:rsidR="00565617" w:rsidRPr="00861DB1" w:rsidRDefault="008B1A80" w:rsidP="00565617">
            <w:pPr>
              <w:autoSpaceDE w:val="0"/>
              <w:autoSpaceDN w:val="0"/>
              <w:adjustRightInd w:val="0"/>
              <w:ind w:left="60" w:right="60"/>
              <w:jc w:val="center"/>
              <w:rPr>
                <w:color w:val="000000"/>
                <w:sz w:val="16"/>
                <w:szCs w:val="18"/>
              </w:rPr>
            </w:pPr>
            <w:r w:rsidRPr="00861DB1">
              <w:rPr>
                <w:color w:val="000000"/>
                <w:sz w:val="16"/>
                <w:szCs w:val="18"/>
              </w:rPr>
              <w:t>4</w:t>
            </w:r>
          </w:p>
          <w:p w:rsidR="008B1A80" w:rsidRPr="00861DB1" w:rsidRDefault="008B1A80" w:rsidP="00565617">
            <w:pPr>
              <w:autoSpaceDE w:val="0"/>
              <w:autoSpaceDN w:val="0"/>
              <w:adjustRightInd w:val="0"/>
              <w:ind w:left="60" w:right="60"/>
              <w:jc w:val="center"/>
              <w:rPr>
                <w:color w:val="000000"/>
                <w:sz w:val="16"/>
                <w:szCs w:val="18"/>
              </w:rPr>
            </w:pPr>
            <w:r w:rsidRPr="00861DB1">
              <w:rPr>
                <w:color w:val="000000"/>
                <w:sz w:val="16"/>
                <w:szCs w:val="18"/>
              </w:rPr>
              <w:t>(33,3%)</w:t>
            </w:r>
          </w:p>
        </w:tc>
        <w:tc>
          <w:tcPr>
            <w:tcW w:w="988" w:type="dxa"/>
          </w:tcPr>
          <w:p w:rsidR="00565617" w:rsidRPr="00861DB1" w:rsidRDefault="008B1A80" w:rsidP="00565617">
            <w:pPr>
              <w:autoSpaceDE w:val="0"/>
              <w:autoSpaceDN w:val="0"/>
              <w:adjustRightInd w:val="0"/>
              <w:ind w:left="60" w:right="60"/>
              <w:jc w:val="center"/>
              <w:rPr>
                <w:color w:val="000000"/>
                <w:sz w:val="16"/>
                <w:szCs w:val="18"/>
              </w:rPr>
            </w:pPr>
            <w:r w:rsidRPr="00861DB1">
              <w:rPr>
                <w:color w:val="000000"/>
                <w:sz w:val="16"/>
                <w:szCs w:val="18"/>
              </w:rPr>
              <w:t>3</w:t>
            </w:r>
          </w:p>
          <w:p w:rsidR="008B1A80" w:rsidRPr="00861DB1" w:rsidRDefault="008B1A80" w:rsidP="00565617">
            <w:pPr>
              <w:autoSpaceDE w:val="0"/>
              <w:autoSpaceDN w:val="0"/>
              <w:adjustRightInd w:val="0"/>
              <w:ind w:left="60" w:right="60"/>
              <w:jc w:val="center"/>
              <w:rPr>
                <w:color w:val="000000"/>
                <w:sz w:val="16"/>
                <w:szCs w:val="18"/>
              </w:rPr>
            </w:pPr>
            <w:r w:rsidRPr="00861DB1">
              <w:rPr>
                <w:color w:val="000000"/>
                <w:sz w:val="16"/>
                <w:szCs w:val="18"/>
              </w:rPr>
              <w:t>(25,0%)</w:t>
            </w:r>
          </w:p>
        </w:tc>
        <w:tc>
          <w:tcPr>
            <w:tcW w:w="989" w:type="dxa"/>
          </w:tcPr>
          <w:p w:rsidR="00565617" w:rsidRPr="00861DB1" w:rsidRDefault="008B1A80" w:rsidP="00565617">
            <w:pPr>
              <w:autoSpaceDE w:val="0"/>
              <w:autoSpaceDN w:val="0"/>
              <w:adjustRightInd w:val="0"/>
              <w:ind w:left="60" w:right="60"/>
              <w:jc w:val="center"/>
              <w:rPr>
                <w:color w:val="000000"/>
                <w:sz w:val="16"/>
                <w:szCs w:val="18"/>
              </w:rPr>
            </w:pPr>
            <w:r w:rsidRPr="00861DB1">
              <w:rPr>
                <w:color w:val="000000"/>
                <w:sz w:val="16"/>
                <w:szCs w:val="18"/>
              </w:rPr>
              <w:t>5</w:t>
            </w:r>
          </w:p>
          <w:p w:rsidR="008B1A80" w:rsidRPr="00861DB1" w:rsidRDefault="008B1A80" w:rsidP="00565617">
            <w:pPr>
              <w:autoSpaceDE w:val="0"/>
              <w:autoSpaceDN w:val="0"/>
              <w:adjustRightInd w:val="0"/>
              <w:ind w:left="60" w:right="60"/>
              <w:jc w:val="center"/>
              <w:rPr>
                <w:color w:val="000000"/>
                <w:sz w:val="16"/>
                <w:szCs w:val="18"/>
              </w:rPr>
            </w:pPr>
            <w:r w:rsidRPr="00861DB1">
              <w:rPr>
                <w:color w:val="000000"/>
                <w:sz w:val="16"/>
                <w:szCs w:val="18"/>
              </w:rPr>
              <w:t>(41,7%)</w:t>
            </w:r>
          </w:p>
        </w:tc>
        <w:tc>
          <w:tcPr>
            <w:tcW w:w="988" w:type="dxa"/>
          </w:tcPr>
          <w:p w:rsidR="00565617" w:rsidRPr="00861DB1" w:rsidRDefault="008B1A80" w:rsidP="00565617">
            <w:pPr>
              <w:autoSpaceDE w:val="0"/>
              <w:autoSpaceDN w:val="0"/>
              <w:adjustRightInd w:val="0"/>
              <w:ind w:left="60" w:right="60"/>
              <w:jc w:val="center"/>
              <w:rPr>
                <w:color w:val="000000"/>
                <w:sz w:val="16"/>
                <w:szCs w:val="18"/>
              </w:rPr>
            </w:pPr>
            <w:r w:rsidRPr="00861DB1">
              <w:rPr>
                <w:color w:val="000000"/>
                <w:sz w:val="16"/>
                <w:szCs w:val="18"/>
              </w:rPr>
              <w:t>12</w:t>
            </w:r>
          </w:p>
          <w:p w:rsidR="008B1A80" w:rsidRPr="00861DB1" w:rsidRDefault="008B1A80" w:rsidP="00565617">
            <w:pPr>
              <w:autoSpaceDE w:val="0"/>
              <w:autoSpaceDN w:val="0"/>
              <w:adjustRightInd w:val="0"/>
              <w:ind w:left="60" w:right="60"/>
              <w:jc w:val="center"/>
              <w:rPr>
                <w:color w:val="000000"/>
                <w:sz w:val="16"/>
                <w:szCs w:val="18"/>
              </w:rPr>
            </w:pPr>
            <w:r w:rsidRPr="00861DB1">
              <w:rPr>
                <w:color w:val="000000"/>
                <w:sz w:val="16"/>
                <w:szCs w:val="18"/>
              </w:rPr>
              <w:t>(100,0%)</w:t>
            </w:r>
          </w:p>
        </w:tc>
      </w:tr>
      <w:tr w:rsidR="00565617" w:rsidRPr="00861DB1" w:rsidTr="00861DB1">
        <w:trPr>
          <w:trHeight w:val="421"/>
        </w:trPr>
        <w:tc>
          <w:tcPr>
            <w:tcW w:w="960" w:type="dxa"/>
          </w:tcPr>
          <w:p w:rsidR="008B1A80" w:rsidRPr="00861DB1" w:rsidRDefault="008B1A80" w:rsidP="00565617">
            <w:pPr>
              <w:autoSpaceDE w:val="0"/>
              <w:autoSpaceDN w:val="0"/>
              <w:adjustRightInd w:val="0"/>
              <w:ind w:left="60" w:right="60"/>
              <w:jc w:val="both"/>
              <w:rPr>
                <w:color w:val="000000"/>
                <w:sz w:val="16"/>
                <w:szCs w:val="18"/>
              </w:rPr>
            </w:pPr>
            <w:r w:rsidRPr="00861DB1">
              <w:rPr>
                <w:color w:val="000000"/>
                <w:sz w:val="16"/>
                <w:szCs w:val="18"/>
              </w:rPr>
              <w:t>&gt; 44</w:t>
            </w:r>
          </w:p>
        </w:tc>
        <w:tc>
          <w:tcPr>
            <w:tcW w:w="988" w:type="dxa"/>
          </w:tcPr>
          <w:p w:rsidR="00565617" w:rsidRPr="00861DB1" w:rsidRDefault="008B1A80" w:rsidP="00565617">
            <w:pPr>
              <w:autoSpaceDE w:val="0"/>
              <w:autoSpaceDN w:val="0"/>
              <w:adjustRightInd w:val="0"/>
              <w:ind w:left="60" w:right="60"/>
              <w:jc w:val="center"/>
              <w:rPr>
                <w:color w:val="000000"/>
                <w:sz w:val="16"/>
                <w:szCs w:val="18"/>
              </w:rPr>
            </w:pPr>
            <w:r w:rsidRPr="00861DB1">
              <w:rPr>
                <w:color w:val="000000"/>
                <w:sz w:val="16"/>
                <w:szCs w:val="18"/>
              </w:rPr>
              <w:t>1</w:t>
            </w:r>
          </w:p>
          <w:p w:rsidR="008B1A80" w:rsidRPr="00861DB1" w:rsidRDefault="008B1A80" w:rsidP="00565617">
            <w:pPr>
              <w:autoSpaceDE w:val="0"/>
              <w:autoSpaceDN w:val="0"/>
              <w:adjustRightInd w:val="0"/>
              <w:ind w:left="60" w:right="60"/>
              <w:jc w:val="center"/>
              <w:rPr>
                <w:color w:val="000000"/>
                <w:sz w:val="16"/>
                <w:szCs w:val="18"/>
              </w:rPr>
            </w:pPr>
            <w:r w:rsidRPr="00861DB1">
              <w:rPr>
                <w:color w:val="000000"/>
                <w:sz w:val="16"/>
                <w:szCs w:val="18"/>
              </w:rPr>
              <w:t>(3,3%)</w:t>
            </w:r>
          </w:p>
        </w:tc>
        <w:tc>
          <w:tcPr>
            <w:tcW w:w="988" w:type="dxa"/>
          </w:tcPr>
          <w:p w:rsidR="00565617" w:rsidRPr="00861DB1" w:rsidRDefault="008B1A80" w:rsidP="00565617">
            <w:pPr>
              <w:autoSpaceDE w:val="0"/>
              <w:autoSpaceDN w:val="0"/>
              <w:adjustRightInd w:val="0"/>
              <w:ind w:left="60" w:right="60"/>
              <w:jc w:val="center"/>
              <w:rPr>
                <w:color w:val="000000"/>
                <w:sz w:val="16"/>
                <w:szCs w:val="18"/>
              </w:rPr>
            </w:pPr>
            <w:r w:rsidRPr="00861DB1">
              <w:rPr>
                <w:color w:val="000000"/>
                <w:sz w:val="16"/>
                <w:szCs w:val="18"/>
              </w:rPr>
              <w:t>9</w:t>
            </w:r>
          </w:p>
          <w:p w:rsidR="008B1A80" w:rsidRPr="00861DB1" w:rsidRDefault="008B1A80" w:rsidP="00565617">
            <w:pPr>
              <w:autoSpaceDE w:val="0"/>
              <w:autoSpaceDN w:val="0"/>
              <w:adjustRightInd w:val="0"/>
              <w:ind w:left="60" w:right="60"/>
              <w:jc w:val="center"/>
              <w:rPr>
                <w:color w:val="000000"/>
                <w:sz w:val="16"/>
                <w:szCs w:val="18"/>
              </w:rPr>
            </w:pPr>
            <w:r w:rsidRPr="00861DB1">
              <w:rPr>
                <w:color w:val="000000"/>
                <w:sz w:val="16"/>
                <w:szCs w:val="18"/>
              </w:rPr>
              <w:t>(30,0%)</w:t>
            </w:r>
          </w:p>
        </w:tc>
        <w:tc>
          <w:tcPr>
            <w:tcW w:w="989" w:type="dxa"/>
          </w:tcPr>
          <w:p w:rsidR="00565617" w:rsidRPr="00861DB1" w:rsidRDefault="008B1A80" w:rsidP="00565617">
            <w:pPr>
              <w:autoSpaceDE w:val="0"/>
              <w:autoSpaceDN w:val="0"/>
              <w:adjustRightInd w:val="0"/>
              <w:ind w:left="60" w:right="60"/>
              <w:jc w:val="center"/>
              <w:rPr>
                <w:b/>
                <w:color w:val="000000"/>
                <w:sz w:val="16"/>
                <w:szCs w:val="18"/>
              </w:rPr>
            </w:pPr>
            <w:r w:rsidRPr="00861DB1">
              <w:rPr>
                <w:b/>
                <w:color w:val="000000"/>
                <w:sz w:val="16"/>
                <w:szCs w:val="18"/>
              </w:rPr>
              <w:t>20</w:t>
            </w:r>
          </w:p>
          <w:p w:rsidR="008B1A80" w:rsidRPr="00861DB1" w:rsidRDefault="008B1A80" w:rsidP="00565617">
            <w:pPr>
              <w:autoSpaceDE w:val="0"/>
              <w:autoSpaceDN w:val="0"/>
              <w:adjustRightInd w:val="0"/>
              <w:ind w:left="60" w:right="60"/>
              <w:jc w:val="center"/>
              <w:rPr>
                <w:b/>
                <w:color w:val="000000"/>
                <w:sz w:val="16"/>
                <w:szCs w:val="18"/>
              </w:rPr>
            </w:pPr>
            <w:r w:rsidRPr="00861DB1">
              <w:rPr>
                <w:b/>
                <w:color w:val="000000"/>
                <w:sz w:val="16"/>
                <w:szCs w:val="18"/>
              </w:rPr>
              <w:t>(66,7%)</w:t>
            </w:r>
          </w:p>
        </w:tc>
        <w:tc>
          <w:tcPr>
            <w:tcW w:w="988" w:type="dxa"/>
          </w:tcPr>
          <w:p w:rsidR="00565617" w:rsidRPr="00861DB1" w:rsidRDefault="008B1A80" w:rsidP="00565617">
            <w:pPr>
              <w:autoSpaceDE w:val="0"/>
              <w:autoSpaceDN w:val="0"/>
              <w:adjustRightInd w:val="0"/>
              <w:ind w:left="60" w:right="60"/>
              <w:jc w:val="center"/>
              <w:rPr>
                <w:color w:val="000000"/>
                <w:sz w:val="16"/>
                <w:szCs w:val="18"/>
              </w:rPr>
            </w:pPr>
            <w:r w:rsidRPr="00861DB1">
              <w:rPr>
                <w:color w:val="000000"/>
                <w:sz w:val="16"/>
                <w:szCs w:val="18"/>
              </w:rPr>
              <w:t>30</w:t>
            </w:r>
          </w:p>
          <w:p w:rsidR="008B1A80" w:rsidRPr="00861DB1" w:rsidRDefault="008B1A80" w:rsidP="00565617">
            <w:pPr>
              <w:autoSpaceDE w:val="0"/>
              <w:autoSpaceDN w:val="0"/>
              <w:adjustRightInd w:val="0"/>
              <w:ind w:left="60" w:right="60"/>
              <w:jc w:val="center"/>
              <w:rPr>
                <w:color w:val="000000"/>
                <w:sz w:val="16"/>
                <w:szCs w:val="18"/>
              </w:rPr>
            </w:pPr>
            <w:r w:rsidRPr="00861DB1">
              <w:rPr>
                <w:color w:val="000000"/>
                <w:sz w:val="16"/>
                <w:szCs w:val="18"/>
              </w:rPr>
              <w:t>(100,0%)</w:t>
            </w:r>
          </w:p>
        </w:tc>
      </w:tr>
      <w:tr w:rsidR="00565617" w:rsidRPr="00861DB1" w:rsidTr="00861DB1">
        <w:trPr>
          <w:trHeight w:val="824"/>
        </w:trPr>
        <w:tc>
          <w:tcPr>
            <w:tcW w:w="960" w:type="dxa"/>
          </w:tcPr>
          <w:p w:rsidR="008B1A80" w:rsidRPr="00861DB1" w:rsidRDefault="008B1A80" w:rsidP="00565617">
            <w:pPr>
              <w:autoSpaceDE w:val="0"/>
              <w:autoSpaceDN w:val="0"/>
              <w:adjustRightInd w:val="0"/>
              <w:ind w:left="60" w:right="60"/>
              <w:jc w:val="both"/>
              <w:rPr>
                <w:color w:val="000000"/>
                <w:sz w:val="16"/>
                <w:szCs w:val="18"/>
              </w:rPr>
            </w:pPr>
            <w:r w:rsidRPr="00861DB1">
              <w:rPr>
                <w:color w:val="000000"/>
                <w:sz w:val="16"/>
                <w:szCs w:val="18"/>
              </w:rPr>
              <w:t>Total</w:t>
            </w:r>
          </w:p>
        </w:tc>
        <w:tc>
          <w:tcPr>
            <w:tcW w:w="988" w:type="dxa"/>
          </w:tcPr>
          <w:p w:rsidR="00565617" w:rsidRPr="00861DB1" w:rsidRDefault="008B1A80" w:rsidP="00565617">
            <w:pPr>
              <w:autoSpaceDE w:val="0"/>
              <w:autoSpaceDN w:val="0"/>
              <w:adjustRightInd w:val="0"/>
              <w:ind w:left="60" w:right="60"/>
              <w:jc w:val="center"/>
              <w:rPr>
                <w:color w:val="000000"/>
                <w:sz w:val="16"/>
                <w:szCs w:val="18"/>
              </w:rPr>
            </w:pPr>
            <w:r w:rsidRPr="00861DB1">
              <w:rPr>
                <w:color w:val="000000"/>
                <w:sz w:val="16"/>
                <w:szCs w:val="18"/>
              </w:rPr>
              <w:t>8</w:t>
            </w:r>
          </w:p>
          <w:p w:rsidR="008B1A80" w:rsidRPr="00861DB1" w:rsidRDefault="008B1A80" w:rsidP="00565617">
            <w:pPr>
              <w:autoSpaceDE w:val="0"/>
              <w:autoSpaceDN w:val="0"/>
              <w:adjustRightInd w:val="0"/>
              <w:ind w:left="60" w:right="60"/>
              <w:jc w:val="center"/>
              <w:rPr>
                <w:color w:val="000000"/>
                <w:sz w:val="16"/>
                <w:szCs w:val="18"/>
              </w:rPr>
            </w:pPr>
            <w:r w:rsidRPr="00861DB1">
              <w:rPr>
                <w:color w:val="000000"/>
                <w:sz w:val="16"/>
                <w:szCs w:val="18"/>
              </w:rPr>
              <w:t>(7,8%)</w:t>
            </w:r>
          </w:p>
        </w:tc>
        <w:tc>
          <w:tcPr>
            <w:tcW w:w="988" w:type="dxa"/>
          </w:tcPr>
          <w:p w:rsidR="008B1A80" w:rsidRPr="00861DB1" w:rsidRDefault="008B1A80" w:rsidP="00565617">
            <w:pPr>
              <w:autoSpaceDE w:val="0"/>
              <w:autoSpaceDN w:val="0"/>
              <w:adjustRightInd w:val="0"/>
              <w:ind w:left="60" w:right="60"/>
              <w:jc w:val="center"/>
              <w:rPr>
                <w:color w:val="000000"/>
                <w:sz w:val="16"/>
                <w:szCs w:val="18"/>
              </w:rPr>
            </w:pPr>
            <w:r w:rsidRPr="00861DB1">
              <w:rPr>
                <w:color w:val="000000"/>
                <w:sz w:val="16"/>
                <w:szCs w:val="18"/>
              </w:rPr>
              <w:t>40 (39,2%)</w:t>
            </w:r>
          </w:p>
        </w:tc>
        <w:tc>
          <w:tcPr>
            <w:tcW w:w="989" w:type="dxa"/>
          </w:tcPr>
          <w:p w:rsidR="00565617" w:rsidRPr="00861DB1" w:rsidRDefault="008B1A80" w:rsidP="00565617">
            <w:pPr>
              <w:autoSpaceDE w:val="0"/>
              <w:autoSpaceDN w:val="0"/>
              <w:adjustRightInd w:val="0"/>
              <w:ind w:left="60" w:right="60"/>
              <w:jc w:val="center"/>
              <w:rPr>
                <w:color w:val="000000"/>
                <w:sz w:val="16"/>
                <w:szCs w:val="18"/>
              </w:rPr>
            </w:pPr>
            <w:r w:rsidRPr="00861DB1">
              <w:rPr>
                <w:color w:val="000000"/>
                <w:sz w:val="16"/>
                <w:szCs w:val="18"/>
              </w:rPr>
              <w:t>54</w:t>
            </w:r>
          </w:p>
          <w:p w:rsidR="008B1A80" w:rsidRPr="00861DB1" w:rsidRDefault="008B1A80" w:rsidP="00565617">
            <w:pPr>
              <w:autoSpaceDE w:val="0"/>
              <w:autoSpaceDN w:val="0"/>
              <w:adjustRightInd w:val="0"/>
              <w:ind w:left="60" w:right="60"/>
              <w:jc w:val="center"/>
              <w:rPr>
                <w:color w:val="000000"/>
                <w:sz w:val="16"/>
                <w:szCs w:val="18"/>
              </w:rPr>
            </w:pPr>
            <w:r w:rsidRPr="00861DB1">
              <w:rPr>
                <w:color w:val="000000"/>
                <w:sz w:val="16"/>
                <w:szCs w:val="18"/>
              </w:rPr>
              <w:t>(52,9%)</w:t>
            </w:r>
          </w:p>
        </w:tc>
        <w:tc>
          <w:tcPr>
            <w:tcW w:w="988" w:type="dxa"/>
          </w:tcPr>
          <w:p w:rsidR="00565617" w:rsidRPr="00861DB1" w:rsidRDefault="008B1A80" w:rsidP="00565617">
            <w:pPr>
              <w:autoSpaceDE w:val="0"/>
              <w:autoSpaceDN w:val="0"/>
              <w:adjustRightInd w:val="0"/>
              <w:ind w:right="60"/>
              <w:jc w:val="center"/>
              <w:rPr>
                <w:color w:val="000000"/>
                <w:sz w:val="16"/>
                <w:szCs w:val="18"/>
              </w:rPr>
            </w:pPr>
            <w:r w:rsidRPr="00861DB1">
              <w:rPr>
                <w:color w:val="000000"/>
                <w:sz w:val="16"/>
                <w:szCs w:val="18"/>
              </w:rPr>
              <w:t>102</w:t>
            </w:r>
          </w:p>
          <w:p w:rsidR="008B1A80" w:rsidRPr="00861DB1" w:rsidRDefault="008B1A80" w:rsidP="00565617">
            <w:pPr>
              <w:autoSpaceDE w:val="0"/>
              <w:autoSpaceDN w:val="0"/>
              <w:adjustRightInd w:val="0"/>
              <w:ind w:right="60"/>
              <w:jc w:val="center"/>
              <w:rPr>
                <w:color w:val="000000"/>
                <w:sz w:val="16"/>
                <w:szCs w:val="18"/>
              </w:rPr>
            </w:pPr>
            <w:r w:rsidRPr="00861DB1">
              <w:rPr>
                <w:color w:val="000000"/>
                <w:sz w:val="16"/>
                <w:szCs w:val="18"/>
              </w:rPr>
              <w:t>(100,0%)</w:t>
            </w:r>
          </w:p>
        </w:tc>
      </w:tr>
    </w:tbl>
    <w:p w:rsidR="008B1A80" w:rsidRPr="0098145B" w:rsidRDefault="008B1A80" w:rsidP="008B1A80">
      <w:pPr>
        <w:autoSpaceDE w:val="0"/>
        <w:autoSpaceDN w:val="0"/>
        <w:adjustRightInd w:val="0"/>
        <w:jc w:val="both"/>
        <w:rPr>
          <w:sz w:val="18"/>
          <w:szCs w:val="18"/>
        </w:rPr>
      </w:pPr>
      <w:r w:rsidRPr="0098145B">
        <w:rPr>
          <w:sz w:val="18"/>
          <w:szCs w:val="18"/>
        </w:rPr>
        <w:t xml:space="preserve">Khi 2=20,661      </w:t>
      </w:r>
      <w:proofErr w:type="spellStart"/>
      <w:r w:rsidRPr="0098145B">
        <w:rPr>
          <w:sz w:val="18"/>
          <w:szCs w:val="18"/>
        </w:rPr>
        <w:t>ddl</w:t>
      </w:r>
      <w:proofErr w:type="spellEnd"/>
      <w:r w:rsidRPr="0098145B">
        <w:rPr>
          <w:sz w:val="18"/>
          <w:szCs w:val="18"/>
        </w:rPr>
        <w:t xml:space="preserve">= 6       </w:t>
      </w:r>
      <w:r w:rsidRPr="0098145B">
        <w:rPr>
          <w:b/>
          <w:sz w:val="18"/>
          <w:szCs w:val="18"/>
        </w:rPr>
        <w:t xml:space="preserve">  P=0,002</w:t>
      </w:r>
    </w:p>
    <w:p w:rsidR="008B1A80" w:rsidRPr="0098145B" w:rsidRDefault="008B1A80" w:rsidP="008B1A80">
      <w:pPr>
        <w:autoSpaceDE w:val="0"/>
        <w:autoSpaceDN w:val="0"/>
        <w:adjustRightInd w:val="0"/>
        <w:jc w:val="both"/>
        <w:rPr>
          <w:sz w:val="18"/>
          <w:szCs w:val="18"/>
        </w:rPr>
      </w:pPr>
      <w:r w:rsidRPr="0098145B">
        <w:rPr>
          <w:sz w:val="18"/>
          <w:szCs w:val="18"/>
        </w:rPr>
        <w:t>L’hyperparathyroïdie est en corrélation avec la durée en dialyse (p=0,002).</w:t>
      </w:r>
    </w:p>
    <w:p w:rsidR="008B1A80" w:rsidRPr="0098145B" w:rsidRDefault="008B1A80" w:rsidP="008B1A80">
      <w:pPr>
        <w:autoSpaceDE w:val="0"/>
        <w:autoSpaceDN w:val="0"/>
        <w:adjustRightInd w:val="0"/>
        <w:jc w:val="both"/>
        <w:rPr>
          <w:b/>
          <w:sz w:val="18"/>
          <w:szCs w:val="18"/>
        </w:rPr>
      </w:pPr>
    </w:p>
    <w:p w:rsidR="008B1A80" w:rsidRDefault="008B1A80" w:rsidP="008B1A80">
      <w:pPr>
        <w:autoSpaceDE w:val="0"/>
        <w:autoSpaceDN w:val="0"/>
        <w:adjustRightInd w:val="0"/>
        <w:jc w:val="both"/>
        <w:rPr>
          <w:b/>
          <w:sz w:val="18"/>
          <w:szCs w:val="18"/>
        </w:rPr>
      </w:pPr>
    </w:p>
    <w:p w:rsidR="008B1A80" w:rsidRDefault="008B1A80" w:rsidP="008B1A80">
      <w:pPr>
        <w:autoSpaceDE w:val="0"/>
        <w:autoSpaceDN w:val="0"/>
        <w:adjustRightInd w:val="0"/>
        <w:jc w:val="both"/>
        <w:rPr>
          <w:b/>
          <w:sz w:val="18"/>
          <w:szCs w:val="18"/>
        </w:rPr>
      </w:pPr>
    </w:p>
    <w:p w:rsidR="00BD37EB" w:rsidRDefault="00BD37EB" w:rsidP="008B1A80">
      <w:pPr>
        <w:autoSpaceDE w:val="0"/>
        <w:autoSpaceDN w:val="0"/>
        <w:adjustRightInd w:val="0"/>
        <w:jc w:val="both"/>
        <w:rPr>
          <w:b/>
          <w:sz w:val="18"/>
          <w:szCs w:val="18"/>
        </w:rPr>
      </w:pPr>
    </w:p>
    <w:p w:rsidR="00565617" w:rsidRDefault="00565617" w:rsidP="008B1A80">
      <w:pPr>
        <w:autoSpaceDE w:val="0"/>
        <w:autoSpaceDN w:val="0"/>
        <w:adjustRightInd w:val="0"/>
        <w:jc w:val="both"/>
        <w:rPr>
          <w:b/>
          <w:sz w:val="18"/>
          <w:szCs w:val="18"/>
        </w:rPr>
      </w:pPr>
    </w:p>
    <w:p w:rsidR="00565617" w:rsidRDefault="00565617" w:rsidP="008B1A80">
      <w:pPr>
        <w:autoSpaceDE w:val="0"/>
        <w:autoSpaceDN w:val="0"/>
        <w:adjustRightInd w:val="0"/>
        <w:jc w:val="both"/>
        <w:rPr>
          <w:b/>
          <w:sz w:val="18"/>
          <w:szCs w:val="18"/>
        </w:rPr>
      </w:pPr>
    </w:p>
    <w:tbl>
      <w:tblPr>
        <w:tblW w:w="496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5"/>
        <w:gridCol w:w="1041"/>
        <w:gridCol w:w="992"/>
        <w:gridCol w:w="992"/>
        <w:gridCol w:w="992"/>
      </w:tblGrid>
      <w:tr w:rsidR="008C5456" w:rsidRPr="00861DB1" w:rsidTr="008C5456">
        <w:trPr>
          <w:gridBefore w:val="1"/>
          <w:wBefore w:w="945" w:type="dxa"/>
          <w:trHeight w:val="566"/>
        </w:trPr>
        <w:tc>
          <w:tcPr>
            <w:tcW w:w="3025" w:type="dxa"/>
            <w:gridSpan w:val="3"/>
            <w:tcBorders>
              <w:top w:val="nil"/>
              <w:left w:val="nil"/>
            </w:tcBorders>
          </w:tcPr>
          <w:p w:rsidR="00565617" w:rsidRPr="00861DB1" w:rsidRDefault="008B1A80" w:rsidP="00565617">
            <w:pPr>
              <w:autoSpaceDE w:val="0"/>
              <w:autoSpaceDN w:val="0"/>
              <w:adjustRightInd w:val="0"/>
              <w:ind w:right="60"/>
              <w:jc w:val="both"/>
              <w:rPr>
                <w:color w:val="000000"/>
                <w:sz w:val="16"/>
                <w:szCs w:val="18"/>
              </w:rPr>
            </w:pPr>
            <w:r w:rsidRPr="00861DB1">
              <w:rPr>
                <w:b/>
                <w:sz w:val="16"/>
                <w:szCs w:val="18"/>
              </w:rPr>
              <w:t>Tableau IV</w:t>
            </w:r>
            <w:r w:rsidRPr="00861DB1">
              <w:rPr>
                <w:sz w:val="16"/>
                <w:szCs w:val="18"/>
              </w:rPr>
              <w:t xml:space="preserve"> : répartition des patients en fonction la </w:t>
            </w:r>
            <w:proofErr w:type="spellStart"/>
            <w:r w:rsidRPr="00861DB1">
              <w:rPr>
                <w:sz w:val="16"/>
                <w:szCs w:val="18"/>
              </w:rPr>
              <w:t>phosphatémie</w:t>
            </w:r>
            <w:proofErr w:type="spellEnd"/>
            <w:r w:rsidRPr="00861DB1">
              <w:rPr>
                <w:sz w:val="16"/>
                <w:szCs w:val="18"/>
              </w:rPr>
              <w:t xml:space="preserve"> et la PTH</w:t>
            </w:r>
            <w:r w:rsidR="00565617" w:rsidRPr="00861DB1">
              <w:rPr>
                <w:sz w:val="16"/>
                <w:szCs w:val="18"/>
              </w:rPr>
              <w:t xml:space="preserve"> </w:t>
            </w:r>
            <w:proofErr w:type="spellStart"/>
            <w:r w:rsidRPr="00861DB1">
              <w:rPr>
                <w:color w:val="000000"/>
                <w:sz w:val="16"/>
                <w:szCs w:val="18"/>
              </w:rPr>
              <w:t>Phosphatémie</w:t>
            </w:r>
            <w:proofErr w:type="spellEnd"/>
          </w:p>
        </w:tc>
        <w:tc>
          <w:tcPr>
            <w:tcW w:w="992" w:type="dxa"/>
            <w:vMerge w:val="restart"/>
          </w:tcPr>
          <w:p w:rsidR="008B1A80" w:rsidRPr="00861DB1" w:rsidRDefault="008B1A80" w:rsidP="00106F42">
            <w:pPr>
              <w:autoSpaceDE w:val="0"/>
              <w:autoSpaceDN w:val="0"/>
              <w:adjustRightInd w:val="0"/>
              <w:ind w:left="60" w:right="60"/>
              <w:jc w:val="both"/>
              <w:rPr>
                <w:color w:val="000000"/>
                <w:sz w:val="16"/>
                <w:szCs w:val="18"/>
              </w:rPr>
            </w:pPr>
            <w:r w:rsidRPr="00861DB1">
              <w:rPr>
                <w:color w:val="000000"/>
                <w:sz w:val="16"/>
                <w:szCs w:val="18"/>
              </w:rPr>
              <w:t>Total</w:t>
            </w:r>
          </w:p>
        </w:tc>
      </w:tr>
      <w:tr w:rsidR="00861DB1" w:rsidRPr="00861DB1" w:rsidTr="008C5456">
        <w:trPr>
          <w:gridBefore w:val="1"/>
          <w:wBefore w:w="945" w:type="dxa"/>
          <w:trHeight w:val="533"/>
        </w:trPr>
        <w:tc>
          <w:tcPr>
            <w:tcW w:w="1041" w:type="dxa"/>
          </w:tcPr>
          <w:p w:rsidR="008B1A80" w:rsidRPr="00861DB1" w:rsidRDefault="008B1A80" w:rsidP="00106F42">
            <w:pPr>
              <w:autoSpaceDE w:val="0"/>
              <w:autoSpaceDN w:val="0"/>
              <w:adjustRightInd w:val="0"/>
              <w:ind w:left="60" w:right="60"/>
              <w:jc w:val="both"/>
              <w:rPr>
                <w:color w:val="000000"/>
                <w:sz w:val="16"/>
                <w:szCs w:val="18"/>
              </w:rPr>
            </w:pPr>
            <w:proofErr w:type="spellStart"/>
            <w:r w:rsidRPr="00861DB1">
              <w:rPr>
                <w:color w:val="000000"/>
                <w:sz w:val="16"/>
                <w:szCs w:val="18"/>
              </w:rPr>
              <w:t>Hypoparathyroïdie</w:t>
            </w:r>
            <w:proofErr w:type="spellEnd"/>
          </w:p>
        </w:tc>
        <w:tc>
          <w:tcPr>
            <w:tcW w:w="992" w:type="dxa"/>
          </w:tcPr>
          <w:p w:rsidR="008B1A80" w:rsidRPr="00861DB1" w:rsidRDefault="008B1A80" w:rsidP="00106F42">
            <w:pPr>
              <w:autoSpaceDE w:val="0"/>
              <w:autoSpaceDN w:val="0"/>
              <w:adjustRightInd w:val="0"/>
              <w:ind w:right="60"/>
              <w:jc w:val="both"/>
              <w:rPr>
                <w:color w:val="000000"/>
                <w:sz w:val="16"/>
                <w:szCs w:val="18"/>
              </w:rPr>
            </w:pPr>
            <w:r w:rsidRPr="00861DB1">
              <w:rPr>
                <w:color w:val="000000"/>
                <w:sz w:val="16"/>
                <w:szCs w:val="18"/>
              </w:rPr>
              <w:t>PTH normale</w:t>
            </w:r>
          </w:p>
        </w:tc>
        <w:tc>
          <w:tcPr>
            <w:tcW w:w="992" w:type="dxa"/>
          </w:tcPr>
          <w:p w:rsidR="008B1A80" w:rsidRPr="00861DB1" w:rsidRDefault="008B1A80" w:rsidP="00106F42">
            <w:pPr>
              <w:autoSpaceDE w:val="0"/>
              <w:autoSpaceDN w:val="0"/>
              <w:adjustRightInd w:val="0"/>
              <w:ind w:right="60"/>
              <w:jc w:val="both"/>
              <w:rPr>
                <w:color w:val="000000"/>
                <w:sz w:val="16"/>
                <w:szCs w:val="18"/>
              </w:rPr>
            </w:pPr>
            <w:proofErr w:type="spellStart"/>
            <w:r w:rsidRPr="00861DB1">
              <w:rPr>
                <w:color w:val="000000"/>
                <w:sz w:val="16"/>
                <w:szCs w:val="18"/>
              </w:rPr>
              <w:t>Hyperparthyroïdie</w:t>
            </w:r>
            <w:proofErr w:type="spellEnd"/>
          </w:p>
        </w:tc>
        <w:tc>
          <w:tcPr>
            <w:tcW w:w="992" w:type="dxa"/>
            <w:vMerge/>
          </w:tcPr>
          <w:p w:rsidR="008B1A80" w:rsidRPr="00861DB1" w:rsidRDefault="008B1A80" w:rsidP="00106F42">
            <w:pPr>
              <w:autoSpaceDE w:val="0"/>
              <w:autoSpaceDN w:val="0"/>
              <w:adjustRightInd w:val="0"/>
              <w:jc w:val="both"/>
              <w:rPr>
                <w:color w:val="000000"/>
                <w:sz w:val="16"/>
                <w:szCs w:val="18"/>
              </w:rPr>
            </w:pPr>
          </w:p>
        </w:tc>
      </w:tr>
      <w:tr w:rsidR="00447F91" w:rsidRPr="00861DB1" w:rsidTr="008C5456">
        <w:trPr>
          <w:trHeight w:val="566"/>
        </w:trPr>
        <w:tc>
          <w:tcPr>
            <w:tcW w:w="945" w:type="dxa"/>
            <w:tcBorders>
              <w:bottom w:val="single" w:sz="4" w:space="0" w:color="auto"/>
            </w:tcBorders>
          </w:tcPr>
          <w:p w:rsidR="008B1A80" w:rsidRPr="00861DB1" w:rsidRDefault="008B1A80" w:rsidP="00106F42">
            <w:pPr>
              <w:autoSpaceDE w:val="0"/>
              <w:autoSpaceDN w:val="0"/>
              <w:adjustRightInd w:val="0"/>
              <w:ind w:right="60"/>
              <w:jc w:val="both"/>
              <w:rPr>
                <w:color w:val="000000"/>
                <w:sz w:val="16"/>
                <w:szCs w:val="18"/>
                <w:lang w:val="en-US"/>
              </w:rPr>
            </w:pPr>
            <w:proofErr w:type="spellStart"/>
            <w:r w:rsidRPr="00861DB1">
              <w:rPr>
                <w:color w:val="000000"/>
                <w:sz w:val="16"/>
                <w:szCs w:val="18"/>
                <w:lang w:val="en-US"/>
              </w:rPr>
              <w:t>Hypophosphatémie</w:t>
            </w:r>
            <w:proofErr w:type="spellEnd"/>
          </w:p>
        </w:tc>
        <w:tc>
          <w:tcPr>
            <w:tcW w:w="1041" w:type="dxa"/>
            <w:tcBorders>
              <w:bottom w:val="single" w:sz="4" w:space="0" w:color="auto"/>
            </w:tcBorders>
          </w:tcPr>
          <w:p w:rsidR="00447F91"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3</w:t>
            </w:r>
          </w:p>
          <w:p w:rsidR="008B1A80"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(75,0%)</w:t>
            </w:r>
          </w:p>
        </w:tc>
        <w:tc>
          <w:tcPr>
            <w:tcW w:w="992" w:type="dxa"/>
          </w:tcPr>
          <w:p w:rsidR="008B1A80"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0</w:t>
            </w:r>
          </w:p>
        </w:tc>
        <w:tc>
          <w:tcPr>
            <w:tcW w:w="992" w:type="dxa"/>
          </w:tcPr>
          <w:p w:rsidR="00447F91" w:rsidRPr="00861DB1" w:rsidRDefault="008B1A80" w:rsidP="00447F91">
            <w:pPr>
              <w:autoSpaceDE w:val="0"/>
              <w:autoSpaceDN w:val="0"/>
              <w:adjustRightInd w:val="0"/>
              <w:ind w:right="60"/>
              <w:jc w:val="center"/>
              <w:rPr>
                <w:color w:val="000000"/>
                <w:sz w:val="16"/>
                <w:szCs w:val="18"/>
              </w:rPr>
            </w:pPr>
            <w:r w:rsidRPr="00861DB1">
              <w:rPr>
                <w:color w:val="000000"/>
                <w:sz w:val="16"/>
                <w:szCs w:val="18"/>
              </w:rPr>
              <w:t>1</w:t>
            </w:r>
          </w:p>
          <w:p w:rsidR="008B1A80" w:rsidRPr="00861DB1" w:rsidRDefault="008B1A80" w:rsidP="00447F91">
            <w:pPr>
              <w:autoSpaceDE w:val="0"/>
              <w:autoSpaceDN w:val="0"/>
              <w:adjustRightInd w:val="0"/>
              <w:ind w:right="60"/>
              <w:jc w:val="center"/>
              <w:rPr>
                <w:color w:val="000000"/>
                <w:sz w:val="16"/>
                <w:szCs w:val="18"/>
              </w:rPr>
            </w:pPr>
            <w:r w:rsidRPr="00861DB1">
              <w:rPr>
                <w:color w:val="000000"/>
                <w:sz w:val="16"/>
                <w:szCs w:val="18"/>
              </w:rPr>
              <w:t>(25,0%)</w:t>
            </w:r>
          </w:p>
        </w:tc>
        <w:tc>
          <w:tcPr>
            <w:tcW w:w="992" w:type="dxa"/>
          </w:tcPr>
          <w:p w:rsidR="00447F91" w:rsidRPr="00861DB1" w:rsidRDefault="008B1A80" w:rsidP="00447F91">
            <w:pPr>
              <w:autoSpaceDE w:val="0"/>
              <w:autoSpaceDN w:val="0"/>
              <w:adjustRightInd w:val="0"/>
              <w:ind w:right="60"/>
              <w:jc w:val="center"/>
              <w:rPr>
                <w:color w:val="000000"/>
                <w:sz w:val="16"/>
                <w:szCs w:val="18"/>
              </w:rPr>
            </w:pPr>
            <w:r w:rsidRPr="00861DB1">
              <w:rPr>
                <w:color w:val="000000"/>
                <w:sz w:val="16"/>
                <w:szCs w:val="18"/>
              </w:rPr>
              <w:t>4</w:t>
            </w:r>
          </w:p>
          <w:p w:rsidR="008B1A80" w:rsidRPr="00861DB1" w:rsidRDefault="008B1A80" w:rsidP="00447F91">
            <w:pPr>
              <w:autoSpaceDE w:val="0"/>
              <w:autoSpaceDN w:val="0"/>
              <w:adjustRightInd w:val="0"/>
              <w:ind w:right="60"/>
              <w:jc w:val="center"/>
              <w:rPr>
                <w:color w:val="000000"/>
                <w:sz w:val="16"/>
                <w:szCs w:val="18"/>
              </w:rPr>
            </w:pPr>
            <w:r w:rsidRPr="00861DB1">
              <w:rPr>
                <w:color w:val="000000"/>
                <w:sz w:val="16"/>
                <w:szCs w:val="18"/>
              </w:rPr>
              <w:t>(100,0%)</w:t>
            </w:r>
          </w:p>
        </w:tc>
      </w:tr>
      <w:tr w:rsidR="00447F91" w:rsidRPr="00861DB1" w:rsidTr="008C5456">
        <w:trPr>
          <w:trHeight w:val="566"/>
        </w:trPr>
        <w:tc>
          <w:tcPr>
            <w:tcW w:w="945" w:type="dxa"/>
            <w:tcBorders>
              <w:top w:val="single" w:sz="4" w:space="0" w:color="auto"/>
              <w:bottom w:val="single" w:sz="4" w:space="0" w:color="auto"/>
            </w:tcBorders>
          </w:tcPr>
          <w:p w:rsidR="008B1A80" w:rsidRPr="00861DB1" w:rsidRDefault="008B1A80" w:rsidP="00106F42">
            <w:pPr>
              <w:autoSpaceDE w:val="0"/>
              <w:autoSpaceDN w:val="0"/>
              <w:adjustRightInd w:val="0"/>
              <w:ind w:left="60" w:right="60"/>
              <w:jc w:val="both"/>
              <w:rPr>
                <w:color w:val="000000"/>
                <w:sz w:val="16"/>
                <w:szCs w:val="18"/>
              </w:rPr>
            </w:pPr>
            <w:r w:rsidRPr="00861DB1">
              <w:rPr>
                <w:color w:val="000000"/>
                <w:sz w:val="16"/>
                <w:szCs w:val="18"/>
              </w:rPr>
              <w:t>Normale</w:t>
            </w:r>
          </w:p>
        </w:tc>
        <w:tc>
          <w:tcPr>
            <w:tcW w:w="1041" w:type="dxa"/>
            <w:tcBorders>
              <w:top w:val="single" w:sz="4" w:space="0" w:color="auto"/>
              <w:bottom w:val="single" w:sz="4" w:space="0" w:color="auto"/>
            </w:tcBorders>
          </w:tcPr>
          <w:p w:rsidR="00447F91"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4</w:t>
            </w:r>
          </w:p>
          <w:p w:rsidR="008B1A80"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(12,5%)</w:t>
            </w:r>
          </w:p>
        </w:tc>
        <w:tc>
          <w:tcPr>
            <w:tcW w:w="992" w:type="dxa"/>
          </w:tcPr>
          <w:p w:rsidR="00447F91" w:rsidRPr="00861DB1" w:rsidRDefault="008B1A80" w:rsidP="00447F91">
            <w:pPr>
              <w:autoSpaceDE w:val="0"/>
              <w:autoSpaceDN w:val="0"/>
              <w:adjustRightInd w:val="0"/>
              <w:ind w:right="60"/>
              <w:jc w:val="center"/>
              <w:rPr>
                <w:color w:val="000000"/>
                <w:sz w:val="16"/>
                <w:szCs w:val="18"/>
              </w:rPr>
            </w:pPr>
            <w:r w:rsidRPr="00861DB1">
              <w:rPr>
                <w:color w:val="000000"/>
                <w:sz w:val="16"/>
                <w:szCs w:val="18"/>
              </w:rPr>
              <w:t>11</w:t>
            </w:r>
          </w:p>
          <w:p w:rsidR="008B1A80" w:rsidRPr="00861DB1" w:rsidRDefault="008B1A80" w:rsidP="00447F91">
            <w:pPr>
              <w:autoSpaceDE w:val="0"/>
              <w:autoSpaceDN w:val="0"/>
              <w:adjustRightInd w:val="0"/>
              <w:ind w:right="60"/>
              <w:jc w:val="center"/>
              <w:rPr>
                <w:color w:val="000000"/>
                <w:sz w:val="16"/>
                <w:szCs w:val="18"/>
              </w:rPr>
            </w:pPr>
            <w:r w:rsidRPr="00861DB1">
              <w:rPr>
                <w:color w:val="000000"/>
                <w:sz w:val="16"/>
                <w:szCs w:val="18"/>
              </w:rPr>
              <w:t>(34,4%)</w:t>
            </w:r>
          </w:p>
        </w:tc>
        <w:tc>
          <w:tcPr>
            <w:tcW w:w="992" w:type="dxa"/>
          </w:tcPr>
          <w:p w:rsidR="00447F91" w:rsidRPr="00861DB1" w:rsidRDefault="008B1A80" w:rsidP="00447F91">
            <w:pPr>
              <w:autoSpaceDE w:val="0"/>
              <w:autoSpaceDN w:val="0"/>
              <w:adjustRightInd w:val="0"/>
              <w:ind w:right="60"/>
              <w:jc w:val="center"/>
              <w:rPr>
                <w:color w:val="000000"/>
                <w:sz w:val="16"/>
                <w:szCs w:val="18"/>
              </w:rPr>
            </w:pPr>
            <w:r w:rsidRPr="00861DB1">
              <w:rPr>
                <w:color w:val="000000"/>
                <w:sz w:val="16"/>
                <w:szCs w:val="18"/>
              </w:rPr>
              <w:t>17</w:t>
            </w:r>
          </w:p>
          <w:p w:rsidR="008B1A80" w:rsidRPr="00861DB1" w:rsidRDefault="008B1A80" w:rsidP="00447F91">
            <w:pPr>
              <w:autoSpaceDE w:val="0"/>
              <w:autoSpaceDN w:val="0"/>
              <w:adjustRightInd w:val="0"/>
              <w:ind w:right="60"/>
              <w:jc w:val="center"/>
              <w:rPr>
                <w:color w:val="000000"/>
                <w:sz w:val="16"/>
                <w:szCs w:val="18"/>
              </w:rPr>
            </w:pPr>
            <w:r w:rsidRPr="00861DB1">
              <w:rPr>
                <w:color w:val="000000"/>
                <w:sz w:val="16"/>
                <w:szCs w:val="18"/>
              </w:rPr>
              <w:t>(53,1%)</w:t>
            </w:r>
          </w:p>
        </w:tc>
        <w:tc>
          <w:tcPr>
            <w:tcW w:w="992" w:type="dxa"/>
          </w:tcPr>
          <w:p w:rsidR="00447F91" w:rsidRPr="00861DB1" w:rsidRDefault="008B1A80" w:rsidP="00447F91">
            <w:pPr>
              <w:autoSpaceDE w:val="0"/>
              <w:autoSpaceDN w:val="0"/>
              <w:adjustRightInd w:val="0"/>
              <w:ind w:right="60"/>
              <w:jc w:val="center"/>
              <w:rPr>
                <w:color w:val="000000"/>
                <w:sz w:val="16"/>
                <w:szCs w:val="18"/>
              </w:rPr>
            </w:pPr>
            <w:r w:rsidRPr="00861DB1">
              <w:rPr>
                <w:color w:val="000000"/>
                <w:sz w:val="16"/>
                <w:szCs w:val="18"/>
              </w:rPr>
              <w:t>32</w:t>
            </w:r>
          </w:p>
          <w:p w:rsidR="008B1A80" w:rsidRPr="00861DB1" w:rsidRDefault="008B1A80" w:rsidP="00447F91">
            <w:pPr>
              <w:autoSpaceDE w:val="0"/>
              <w:autoSpaceDN w:val="0"/>
              <w:adjustRightInd w:val="0"/>
              <w:ind w:right="60"/>
              <w:jc w:val="center"/>
              <w:rPr>
                <w:color w:val="000000"/>
                <w:sz w:val="16"/>
                <w:szCs w:val="18"/>
              </w:rPr>
            </w:pPr>
            <w:r w:rsidRPr="00861DB1">
              <w:rPr>
                <w:color w:val="000000"/>
                <w:sz w:val="16"/>
                <w:szCs w:val="18"/>
              </w:rPr>
              <w:t>(100,0%)</w:t>
            </w:r>
          </w:p>
        </w:tc>
      </w:tr>
      <w:tr w:rsidR="00447F91" w:rsidRPr="00861DB1" w:rsidTr="008C5456">
        <w:trPr>
          <w:trHeight w:val="566"/>
        </w:trPr>
        <w:tc>
          <w:tcPr>
            <w:tcW w:w="945" w:type="dxa"/>
            <w:tcBorders>
              <w:top w:val="single" w:sz="4" w:space="0" w:color="auto"/>
            </w:tcBorders>
          </w:tcPr>
          <w:p w:rsidR="008B1A80" w:rsidRPr="00861DB1" w:rsidRDefault="008B1A80" w:rsidP="00106F42">
            <w:pPr>
              <w:autoSpaceDE w:val="0"/>
              <w:autoSpaceDN w:val="0"/>
              <w:adjustRightInd w:val="0"/>
              <w:ind w:right="60"/>
              <w:jc w:val="both"/>
              <w:rPr>
                <w:color w:val="000000"/>
                <w:sz w:val="16"/>
                <w:szCs w:val="18"/>
                <w:lang w:val="en-US"/>
              </w:rPr>
            </w:pPr>
            <w:proofErr w:type="spellStart"/>
            <w:r w:rsidRPr="00861DB1">
              <w:rPr>
                <w:color w:val="000000"/>
                <w:sz w:val="16"/>
                <w:szCs w:val="18"/>
                <w:lang w:val="en-US"/>
              </w:rPr>
              <w:t>Hyperphosphatémie</w:t>
            </w:r>
            <w:proofErr w:type="spellEnd"/>
          </w:p>
        </w:tc>
        <w:tc>
          <w:tcPr>
            <w:tcW w:w="1041" w:type="dxa"/>
            <w:tcBorders>
              <w:top w:val="single" w:sz="4" w:space="0" w:color="auto"/>
            </w:tcBorders>
          </w:tcPr>
          <w:p w:rsidR="00447F91"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1</w:t>
            </w:r>
          </w:p>
          <w:p w:rsidR="008B1A80"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(1,5%)</w:t>
            </w:r>
          </w:p>
        </w:tc>
        <w:tc>
          <w:tcPr>
            <w:tcW w:w="992" w:type="dxa"/>
          </w:tcPr>
          <w:p w:rsid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 xml:space="preserve">29 </w:t>
            </w:r>
          </w:p>
          <w:p w:rsidR="008B1A80"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(43,9%)</w:t>
            </w:r>
          </w:p>
        </w:tc>
        <w:tc>
          <w:tcPr>
            <w:tcW w:w="992" w:type="dxa"/>
          </w:tcPr>
          <w:p w:rsidR="00447F91" w:rsidRPr="00861DB1" w:rsidRDefault="008B1A80" w:rsidP="00447F91">
            <w:pPr>
              <w:autoSpaceDE w:val="0"/>
              <w:autoSpaceDN w:val="0"/>
              <w:adjustRightInd w:val="0"/>
              <w:ind w:right="60"/>
              <w:jc w:val="center"/>
              <w:rPr>
                <w:color w:val="000000"/>
                <w:sz w:val="16"/>
                <w:szCs w:val="18"/>
              </w:rPr>
            </w:pPr>
            <w:r w:rsidRPr="00861DB1">
              <w:rPr>
                <w:color w:val="000000"/>
                <w:sz w:val="16"/>
                <w:szCs w:val="18"/>
              </w:rPr>
              <w:t>36</w:t>
            </w:r>
          </w:p>
          <w:p w:rsidR="008B1A80" w:rsidRPr="00861DB1" w:rsidRDefault="008B1A80" w:rsidP="00447F91">
            <w:pPr>
              <w:autoSpaceDE w:val="0"/>
              <w:autoSpaceDN w:val="0"/>
              <w:adjustRightInd w:val="0"/>
              <w:ind w:right="60"/>
              <w:jc w:val="center"/>
              <w:rPr>
                <w:color w:val="000000"/>
                <w:sz w:val="16"/>
                <w:szCs w:val="18"/>
              </w:rPr>
            </w:pPr>
            <w:r w:rsidRPr="00861DB1">
              <w:rPr>
                <w:color w:val="000000"/>
                <w:sz w:val="16"/>
                <w:szCs w:val="18"/>
              </w:rPr>
              <w:t>(54,5%)</w:t>
            </w:r>
          </w:p>
        </w:tc>
        <w:tc>
          <w:tcPr>
            <w:tcW w:w="992" w:type="dxa"/>
          </w:tcPr>
          <w:p w:rsidR="00447F91"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66</w:t>
            </w:r>
          </w:p>
          <w:p w:rsidR="008B1A80"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(100,0%)</w:t>
            </w:r>
          </w:p>
        </w:tc>
      </w:tr>
      <w:tr w:rsidR="00447F91" w:rsidRPr="00861DB1" w:rsidTr="008C5456">
        <w:trPr>
          <w:trHeight w:val="533"/>
        </w:trPr>
        <w:tc>
          <w:tcPr>
            <w:tcW w:w="945" w:type="dxa"/>
          </w:tcPr>
          <w:p w:rsidR="008B1A80" w:rsidRPr="00861DB1" w:rsidRDefault="008B1A80" w:rsidP="00106F42">
            <w:pPr>
              <w:autoSpaceDE w:val="0"/>
              <w:autoSpaceDN w:val="0"/>
              <w:adjustRightInd w:val="0"/>
              <w:ind w:right="60"/>
              <w:jc w:val="both"/>
              <w:rPr>
                <w:color w:val="000000"/>
                <w:sz w:val="16"/>
                <w:szCs w:val="18"/>
              </w:rPr>
            </w:pPr>
            <w:r w:rsidRPr="00861DB1">
              <w:rPr>
                <w:color w:val="000000"/>
                <w:sz w:val="16"/>
                <w:szCs w:val="18"/>
              </w:rPr>
              <w:t>Total</w:t>
            </w:r>
          </w:p>
        </w:tc>
        <w:tc>
          <w:tcPr>
            <w:tcW w:w="1041" w:type="dxa"/>
          </w:tcPr>
          <w:p w:rsidR="00447F91"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8</w:t>
            </w:r>
          </w:p>
          <w:p w:rsidR="008B1A80"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(7,8%)</w:t>
            </w:r>
          </w:p>
        </w:tc>
        <w:tc>
          <w:tcPr>
            <w:tcW w:w="992" w:type="dxa"/>
          </w:tcPr>
          <w:p w:rsid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 xml:space="preserve">40 </w:t>
            </w:r>
          </w:p>
          <w:p w:rsidR="008B1A80"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(39,2%)</w:t>
            </w:r>
          </w:p>
        </w:tc>
        <w:tc>
          <w:tcPr>
            <w:tcW w:w="992" w:type="dxa"/>
          </w:tcPr>
          <w:p w:rsidR="00447F91"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54</w:t>
            </w:r>
          </w:p>
          <w:p w:rsidR="008B1A80"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(52,9%)</w:t>
            </w:r>
          </w:p>
        </w:tc>
        <w:tc>
          <w:tcPr>
            <w:tcW w:w="992" w:type="dxa"/>
          </w:tcPr>
          <w:p w:rsid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 xml:space="preserve">102 </w:t>
            </w:r>
          </w:p>
          <w:p w:rsidR="008B1A80"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(100,0%)</w:t>
            </w:r>
          </w:p>
        </w:tc>
      </w:tr>
    </w:tbl>
    <w:p w:rsidR="008B1A80" w:rsidRPr="0098145B" w:rsidRDefault="008B1A80" w:rsidP="008B1A80">
      <w:pPr>
        <w:autoSpaceDE w:val="0"/>
        <w:autoSpaceDN w:val="0"/>
        <w:adjustRightInd w:val="0"/>
        <w:jc w:val="both"/>
        <w:rPr>
          <w:b/>
          <w:sz w:val="18"/>
          <w:szCs w:val="18"/>
        </w:rPr>
      </w:pPr>
    </w:p>
    <w:p w:rsidR="008B1A80" w:rsidRPr="0098145B" w:rsidRDefault="008B1A80" w:rsidP="008B1A80">
      <w:pPr>
        <w:autoSpaceDE w:val="0"/>
        <w:autoSpaceDN w:val="0"/>
        <w:adjustRightInd w:val="0"/>
        <w:ind w:left="60" w:right="60"/>
        <w:jc w:val="both"/>
        <w:rPr>
          <w:bCs/>
          <w:color w:val="000000"/>
          <w:sz w:val="18"/>
          <w:szCs w:val="18"/>
        </w:rPr>
      </w:pPr>
      <w:r w:rsidRPr="0098145B">
        <w:rPr>
          <w:b/>
          <w:bCs/>
          <w:color w:val="000000"/>
          <w:sz w:val="18"/>
          <w:szCs w:val="18"/>
        </w:rPr>
        <w:t xml:space="preserve">Tableau V: </w:t>
      </w:r>
      <w:r w:rsidRPr="0098145B">
        <w:rPr>
          <w:bCs/>
          <w:color w:val="000000"/>
          <w:sz w:val="18"/>
          <w:szCs w:val="18"/>
        </w:rPr>
        <w:t>répartition des patients en fonction de la PTH et vitamine D</w:t>
      </w:r>
    </w:p>
    <w:p w:rsidR="008B1A80" w:rsidRPr="0098145B" w:rsidRDefault="008B1A80" w:rsidP="008B1A80">
      <w:pPr>
        <w:autoSpaceDE w:val="0"/>
        <w:autoSpaceDN w:val="0"/>
        <w:adjustRightInd w:val="0"/>
        <w:ind w:left="60" w:right="60"/>
        <w:jc w:val="both"/>
        <w:rPr>
          <w:b/>
          <w:bCs/>
          <w:color w:val="000000"/>
          <w:sz w:val="18"/>
          <w:szCs w:val="18"/>
        </w:rPr>
      </w:pPr>
    </w:p>
    <w:tbl>
      <w:tblPr>
        <w:tblW w:w="5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3"/>
        <w:gridCol w:w="842"/>
        <w:gridCol w:w="1082"/>
        <w:gridCol w:w="1088"/>
        <w:gridCol w:w="962"/>
      </w:tblGrid>
      <w:tr w:rsidR="008B1A80" w:rsidRPr="00861DB1" w:rsidTr="00861DB1">
        <w:trPr>
          <w:trHeight w:val="478"/>
        </w:trPr>
        <w:tc>
          <w:tcPr>
            <w:tcW w:w="1053" w:type="dxa"/>
            <w:vMerge w:val="restart"/>
            <w:tcBorders>
              <w:top w:val="nil"/>
              <w:left w:val="nil"/>
            </w:tcBorders>
          </w:tcPr>
          <w:p w:rsidR="008B1A80" w:rsidRPr="00861DB1" w:rsidRDefault="008B1A80" w:rsidP="00106F42">
            <w:pPr>
              <w:autoSpaceDE w:val="0"/>
              <w:autoSpaceDN w:val="0"/>
              <w:adjustRightInd w:val="0"/>
              <w:ind w:left="60" w:right="60"/>
              <w:jc w:val="both"/>
              <w:rPr>
                <w:color w:val="000000"/>
                <w:sz w:val="14"/>
                <w:szCs w:val="18"/>
              </w:rPr>
            </w:pPr>
          </w:p>
        </w:tc>
        <w:tc>
          <w:tcPr>
            <w:tcW w:w="3012" w:type="dxa"/>
            <w:gridSpan w:val="3"/>
          </w:tcPr>
          <w:p w:rsidR="008B1A80" w:rsidRPr="00861DB1" w:rsidRDefault="008B1A80" w:rsidP="00106F42">
            <w:pPr>
              <w:autoSpaceDE w:val="0"/>
              <w:autoSpaceDN w:val="0"/>
              <w:adjustRightInd w:val="0"/>
              <w:ind w:left="60" w:right="60"/>
              <w:jc w:val="both"/>
              <w:rPr>
                <w:color w:val="000000"/>
                <w:sz w:val="14"/>
                <w:szCs w:val="18"/>
              </w:rPr>
            </w:pPr>
            <w:r w:rsidRPr="00861DB1">
              <w:rPr>
                <w:color w:val="000000"/>
                <w:sz w:val="14"/>
                <w:szCs w:val="18"/>
              </w:rPr>
              <w:t>Vitamine D 2</w:t>
            </w:r>
            <w:r w:rsidR="008C5456">
              <w:rPr>
                <w:color w:val="000000"/>
                <w:sz w:val="14"/>
                <w:szCs w:val="18"/>
              </w:rPr>
              <w:t xml:space="preserve"> </w:t>
            </w:r>
            <w:r w:rsidRPr="00861DB1">
              <w:rPr>
                <w:color w:val="000000"/>
                <w:sz w:val="14"/>
                <w:szCs w:val="18"/>
              </w:rPr>
              <w:t>ou D3</w:t>
            </w:r>
          </w:p>
        </w:tc>
        <w:tc>
          <w:tcPr>
            <w:tcW w:w="962" w:type="dxa"/>
            <w:vMerge w:val="restart"/>
          </w:tcPr>
          <w:p w:rsidR="008B1A80" w:rsidRPr="00861DB1" w:rsidRDefault="008B1A80" w:rsidP="00106F42">
            <w:pPr>
              <w:autoSpaceDE w:val="0"/>
              <w:autoSpaceDN w:val="0"/>
              <w:adjustRightInd w:val="0"/>
              <w:ind w:left="60" w:right="60"/>
              <w:jc w:val="both"/>
              <w:rPr>
                <w:color w:val="000000"/>
                <w:sz w:val="14"/>
                <w:szCs w:val="18"/>
              </w:rPr>
            </w:pPr>
            <w:r w:rsidRPr="00861DB1">
              <w:rPr>
                <w:color w:val="000000"/>
                <w:sz w:val="14"/>
                <w:szCs w:val="18"/>
              </w:rPr>
              <w:t>Total</w:t>
            </w:r>
          </w:p>
        </w:tc>
      </w:tr>
      <w:tr w:rsidR="00861DB1" w:rsidRPr="00861DB1" w:rsidTr="00861DB1">
        <w:trPr>
          <w:trHeight w:val="784"/>
        </w:trPr>
        <w:tc>
          <w:tcPr>
            <w:tcW w:w="1053" w:type="dxa"/>
            <w:vMerge/>
            <w:tcBorders>
              <w:top w:val="nil"/>
              <w:left w:val="nil"/>
            </w:tcBorders>
          </w:tcPr>
          <w:p w:rsidR="008B1A80" w:rsidRPr="00861DB1" w:rsidRDefault="008B1A80" w:rsidP="00106F42">
            <w:pPr>
              <w:autoSpaceDE w:val="0"/>
              <w:autoSpaceDN w:val="0"/>
              <w:adjustRightInd w:val="0"/>
              <w:jc w:val="both"/>
              <w:rPr>
                <w:color w:val="000000"/>
                <w:sz w:val="14"/>
                <w:szCs w:val="18"/>
              </w:rPr>
            </w:pPr>
          </w:p>
        </w:tc>
        <w:tc>
          <w:tcPr>
            <w:tcW w:w="842" w:type="dxa"/>
          </w:tcPr>
          <w:p w:rsidR="008B1A80" w:rsidRPr="00861DB1" w:rsidRDefault="008B1A80" w:rsidP="00106F42">
            <w:pPr>
              <w:autoSpaceDE w:val="0"/>
              <w:autoSpaceDN w:val="0"/>
              <w:adjustRightInd w:val="0"/>
              <w:ind w:left="60" w:right="60"/>
              <w:jc w:val="both"/>
              <w:rPr>
                <w:color w:val="000000"/>
                <w:sz w:val="14"/>
                <w:szCs w:val="18"/>
              </w:rPr>
            </w:pPr>
            <w:r w:rsidRPr="00861DB1">
              <w:rPr>
                <w:color w:val="000000"/>
                <w:sz w:val="14"/>
                <w:szCs w:val="18"/>
              </w:rPr>
              <w:t>Normale</w:t>
            </w:r>
          </w:p>
        </w:tc>
        <w:tc>
          <w:tcPr>
            <w:tcW w:w="1082" w:type="dxa"/>
          </w:tcPr>
          <w:p w:rsidR="008B1A80" w:rsidRPr="00861DB1" w:rsidRDefault="008B1A80" w:rsidP="00106F42">
            <w:pPr>
              <w:autoSpaceDE w:val="0"/>
              <w:autoSpaceDN w:val="0"/>
              <w:adjustRightInd w:val="0"/>
              <w:ind w:left="60" w:right="60"/>
              <w:jc w:val="both"/>
              <w:rPr>
                <w:color w:val="000000"/>
                <w:sz w:val="14"/>
                <w:szCs w:val="18"/>
              </w:rPr>
            </w:pPr>
            <w:r w:rsidRPr="00861DB1">
              <w:rPr>
                <w:color w:val="000000"/>
                <w:sz w:val="14"/>
                <w:szCs w:val="18"/>
              </w:rPr>
              <w:t>Insuffisance vitaminique</w:t>
            </w:r>
          </w:p>
        </w:tc>
        <w:tc>
          <w:tcPr>
            <w:tcW w:w="1086" w:type="dxa"/>
          </w:tcPr>
          <w:p w:rsidR="008B1A80" w:rsidRPr="00861DB1" w:rsidRDefault="008B1A80" w:rsidP="00106F42">
            <w:pPr>
              <w:autoSpaceDE w:val="0"/>
              <w:autoSpaceDN w:val="0"/>
              <w:adjustRightInd w:val="0"/>
              <w:ind w:right="60"/>
              <w:jc w:val="both"/>
              <w:rPr>
                <w:color w:val="000000"/>
                <w:sz w:val="14"/>
                <w:szCs w:val="18"/>
              </w:rPr>
            </w:pPr>
            <w:r w:rsidRPr="00861DB1">
              <w:rPr>
                <w:color w:val="000000"/>
                <w:sz w:val="14"/>
                <w:szCs w:val="18"/>
              </w:rPr>
              <w:t>Carence vitaminique</w:t>
            </w:r>
          </w:p>
        </w:tc>
        <w:tc>
          <w:tcPr>
            <w:tcW w:w="962" w:type="dxa"/>
            <w:vMerge/>
          </w:tcPr>
          <w:p w:rsidR="008B1A80" w:rsidRPr="00861DB1" w:rsidRDefault="008B1A80" w:rsidP="00106F42">
            <w:pPr>
              <w:autoSpaceDE w:val="0"/>
              <w:autoSpaceDN w:val="0"/>
              <w:adjustRightInd w:val="0"/>
              <w:jc w:val="both"/>
              <w:rPr>
                <w:color w:val="000000"/>
                <w:sz w:val="14"/>
                <w:szCs w:val="18"/>
              </w:rPr>
            </w:pPr>
          </w:p>
        </w:tc>
        <w:bookmarkStart w:id="0" w:name="_GoBack"/>
        <w:bookmarkEnd w:id="0"/>
      </w:tr>
      <w:tr w:rsidR="00861DB1" w:rsidRPr="00861DB1" w:rsidTr="00861DB1">
        <w:trPr>
          <w:trHeight w:val="452"/>
        </w:trPr>
        <w:tc>
          <w:tcPr>
            <w:tcW w:w="1053" w:type="dxa"/>
            <w:tcBorders>
              <w:bottom w:val="single" w:sz="4" w:space="0" w:color="auto"/>
            </w:tcBorders>
          </w:tcPr>
          <w:p w:rsidR="008B1A80" w:rsidRPr="00861DB1" w:rsidRDefault="008B1A80" w:rsidP="00106F42">
            <w:pPr>
              <w:autoSpaceDE w:val="0"/>
              <w:autoSpaceDN w:val="0"/>
              <w:adjustRightInd w:val="0"/>
              <w:ind w:left="60" w:right="60"/>
              <w:jc w:val="both"/>
              <w:rPr>
                <w:color w:val="000000"/>
                <w:sz w:val="14"/>
                <w:szCs w:val="18"/>
              </w:rPr>
            </w:pPr>
            <w:proofErr w:type="spellStart"/>
            <w:r w:rsidRPr="00861DB1">
              <w:rPr>
                <w:color w:val="000000"/>
                <w:sz w:val="14"/>
                <w:szCs w:val="18"/>
              </w:rPr>
              <w:t>Hypoparathyroïdie</w:t>
            </w:r>
            <w:proofErr w:type="spellEnd"/>
          </w:p>
        </w:tc>
        <w:tc>
          <w:tcPr>
            <w:tcW w:w="842" w:type="dxa"/>
          </w:tcPr>
          <w:p w:rsidR="00447F91" w:rsidRPr="00861DB1" w:rsidRDefault="008B1A80" w:rsidP="00447F91">
            <w:pPr>
              <w:autoSpaceDE w:val="0"/>
              <w:autoSpaceDN w:val="0"/>
              <w:adjustRightInd w:val="0"/>
              <w:ind w:left="60" w:right="60"/>
              <w:jc w:val="center"/>
              <w:rPr>
                <w:color w:val="000000"/>
                <w:sz w:val="14"/>
                <w:szCs w:val="18"/>
              </w:rPr>
            </w:pPr>
            <w:r w:rsidRPr="00861DB1">
              <w:rPr>
                <w:color w:val="000000"/>
                <w:sz w:val="14"/>
                <w:szCs w:val="18"/>
              </w:rPr>
              <w:t>3</w:t>
            </w:r>
          </w:p>
          <w:p w:rsidR="008B1A80" w:rsidRPr="00861DB1" w:rsidRDefault="008B1A80" w:rsidP="00447F91">
            <w:pPr>
              <w:autoSpaceDE w:val="0"/>
              <w:autoSpaceDN w:val="0"/>
              <w:adjustRightInd w:val="0"/>
              <w:ind w:left="60" w:right="60"/>
              <w:jc w:val="center"/>
              <w:rPr>
                <w:color w:val="000000"/>
                <w:sz w:val="14"/>
                <w:szCs w:val="18"/>
              </w:rPr>
            </w:pPr>
            <w:r w:rsidRPr="00861DB1">
              <w:rPr>
                <w:color w:val="000000"/>
                <w:sz w:val="14"/>
                <w:szCs w:val="18"/>
              </w:rPr>
              <w:t>(37,5%)</w:t>
            </w:r>
          </w:p>
        </w:tc>
        <w:tc>
          <w:tcPr>
            <w:tcW w:w="1082" w:type="dxa"/>
          </w:tcPr>
          <w:p w:rsidR="00447F91" w:rsidRPr="00861DB1" w:rsidRDefault="008B1A80" w:rsidP="00447F91">
            <w:pPr>
              <w:autoSpaceDE w:val="0"/>
              <w:autoSpaceDN w:val="0"/>
              <w:adjustRightInd w:val="0"/>
              <w:ind w:left="60" w:right="60"/>
              <w:jc w:val="center"/>
              <w:rPr>
                <w:color w:val="000000"/>
                <w:sz w:val="14"/>
                <w:szCs w:val="18"/>
              </w:rPr>
            </w:pPr>
            <w:r w:rsidRPr="00861DB1">
              <w:rPr>
                <w:color w:val="000000"/>
                <w:sz w:val="14"/>
                <w:szCs w:val="18"/>
              </w:rPr>
              <w:t>3</w:t>
            </w:r>
          </w:p>
          <w:p w:rsidR="008B1A80" w:rsidRPr="00861DB1" w:rsidRDefault="008B1A80" w:rsidP="00447F91">
            <w:pPr>
              <w:autoSpaceDE w:val="0"/>
              <w:autoSpaceDN w:val="0"/>
              <w:adjustRightInd w:val="0"/>
              <w:ind w:left="60" w:right="60"/>
              <w:jc w:val="center"/>
              <w:rPr>
                <w:color w:val="000000"/>
                <w:sz w:val="14"/>
                <w:szCs w:val="18"/>
              </w:rPr>
            </w:pPr>
            <w:r w:rsidRPr="00861DB1">
              <w:rPr>
                <w:color w:val="000000"/>
                <w:sz w:val="14"/>
                <w:szCs w:val="18"/>
              </w:rPr>
              <w:t>(37,5%)</w:t>
            </w:r>
          </w:p>
        </w:tc>
        <w:tc>
          <w:tcPr>
            <w:tcW w:w="1086" w:type="dxa"/>
          </w:tcPr>
          <w:p w:rsidR="00447F91" w:rsidRPr="00861DB1" w:rsidRDefault="008B1A80" w:rsidP="00447F91">
            <w:pPr>
              <w:autoSpaceDE w:val="0"/>
              <w:autoSpaceDN w:val="0"/>
              <w:adjustRightInd w:val="0"/>
              <w:ind w:left="60" w:right="60"/>
              <w:jc w:val="center"/>
              <w:rPr>
                <w:color w:val="000000"/>
                <w:sz w:val="14"/>
                <w:szCs w:val="18"/>
              </w:rPr>
            </w:pPr>
            <w:r w:rsidRPr="00861DB1">
              <w:rPr>
                <w:color w:val="000000"/>
                <w:sz w:val="14"/>
                <w:szCs w:val="18"/>
              </w:rPr>
              <w:t>2</w:t>
            </w:r>
          </w:p>
          <w:p w:rsidR="008B1A80" w:rsidRPr="00861DB1" w:rsidRDefault="008B1A80" w:rsidP="00447F91">
            <w:pPr>
              <w:autoSpaceDE w:val="0"/>
              <w:autoSpaceDN w:val="0"/>
              <w:adjustRightInd w:val="0"/>
              <w:ind w:left="60" w:right="60"/>
              <w:jc w:val="center"/>
              <w:rPr>
                <w:color w:val="000000"/>
                <w:sz w:val="14"/>
                <w:szCs w:val="18"/>
              </w:rPr>
            </w:pPr>
            <w:r w:rsidRPr="00861DB1">
              <w:rPr>
                <w:color w:val="000000"/>
                <w:sz w:val="14"/>
                <w:szCs w:val="18"/>
              </w:rPr>
              <w:t>(25,0%)</w:t>
            </w:r>
          </w:p>
        </w:tc>
        <w:tc>
          <w:tcPr>
            <w:tcW w:w="962" w:type="dxa"/>
          </w:tcPr>
          <w:p w:rsidR="00447F91" w:rsidRPr="00861DB1" w:rsidRDefault="008B1A80" w:rsidP="00447F91">
            <w:pPr>
              <w:autoSpaceDE w:val="0"/>
              <w:autoSpaceDN w:val="0"/>
              <w:adjustRightInd w:val="0"/>
              <w:ind w:left="60" w:right="60"/>
              <w:jc w:val="center"/>
              <w:rPr>
                <w:color w:val="000000"/>
                <w:sz w:val="14"/>
                <w:szCs w:val="18"/>
              </w:rPr>
            </w:pPr>
            <w:r w:rsidRPr="00861DB1">
              <w:rPr>
                <w:color w:val="000000"/>
                <w:sz w:val="14"/>
                <w:szCs w:val="18"/>
              </w:rPr>
              <w:t>8</w:t>
            </w:r>
          </w:p>
          <w:p w:rsidR="008B1A80" w:rsidRPr="00861DB1" w:rsidRDefault="008B1A80" w:rsidP="00447F91">
            <w:pPr>
              <w:autoSpaceDE w:val="0"/>
              <w:autoSpaceDN w:val="0"/>
              <w:adjustRightInd w:val="0"/>
              <w:ind w:left="60" w:right="60"/>
              <w:jc w:val="center"/>
              <w:rPr>
                <w:color w:val="000000"/>
                <w:sz w:val="14"/>
                <w:szCs w:val="18"/>
              </w:rPr>
            </w:pPr>
            <w:r w:rsidRPr="00861DB1">
              <w:rPr>
                <w:color w:val="000000"/>
                <w:sz w:val="14"/>
                <w:szCs w:val="18"/>
              </w:rPr>
              <w:t>(100,0%)</w:t>
            </w:r>
          </w:p>
        </w:tc>
      </w:tr>
      <w:tr w:rsidR="00861DB1" w:rsidRPr="00861DB1" w:rsidTr="00861DB1">
        <w:trPr>
          <w:trHeight w:val="478"/>
        </w:trPr>
        <w:tc>
          <w:tcPr>
            <w:tcW w:w="1053" w:type="dxa"/>
            <w:tcBorders>
              <w:top w:val="single" w:sz="4" w:space="0" w:color="auto"/>
              <w:bottom w:val="single" w:sz="4" w:space="0" w:color="auto"/>
            </w:tcBorders>
          </w:tcPr>
          <w:p w:rsidR="008B1A80" w:rsidRPr="00861DB1" w:rsidRDefault="008B1A80" w:rsidP="00106F42">
            <w:pPr>
              <w:autoSpaceDE w:val="0"/>
              <w:autoSpaceDN w:val="0"/>
              <w:adjustRightInd w:val="0"/>
              <w:ind w:right="60"/>
              <w:jc w:val="both"/>
              <w:rPr>
                <w:color w:val="000000"/>
                <w:sz w:val="14"/>
                <w:szCs w:val="18"/>
              </w:rPr>
            </w:pPr>
            <w:r w:rsidRPr="00861DB1">
              <w:rPr>
                <w:color w:val="000000"/>
                <w:sz w:val="14"/>
                <w:szCs w:val="18"/>
              </w:rPr>
              <w:t>PTH normale</w:t>
            </w:r>
          </w:p>
        </w:tc>
        <w:tc>
          <w:tcPr>
            <w:tcW w:w="842" w:type="dxa"/>
          </w:tcPr>
          <w:p w:rsidR="00447F91" w:rsidRPr="00861DB1" w:rsidRDefault="008B1A80" w:rsidP="00447F91">
            <w:pPr>
              <w:autoSpaceDE w:val="0"/>
              <w:autoSpaceDN w:val="0"/>
              <w:adjustRightInd w:val="0"/>
              <w:ind w:left="60" w:right="60"/>
              <w:jc w:val="center"/>
              <w:rPr>
                <w:color w:val="000000"/>
                <w:sz w:val="14"/>
                <w:szCs w:val="18"/>
              </w:rPr>
            </w:pPr>
            <w:r w:rsidRPr="00861DB1">
              <w:rPr>
                <w:color w:val="000000"/>
                <w:sz w:val="14"/>
                <w:szCs w:val="18"/>
              </w:rPr>
              <w:t>21</w:t>
            </w:r>
          </w:p>
          <w:p w:rsidR="008B1A80" w:rsidRPr="00861DB1" w:rsidRDefault="008B1A80" w:rsidP="00447F91">
            <w:pPr>
              <w:autoSpaceDE w:val="0"/>
              <w:autoSpaceDN w:val="0"/>
              <w:adjustRightInd w:val="0"/>
              <w:ind w:left="60" w:right="60"/>
              <w:jc w:val="center"/>
              <w:rPr>
                <w:color w:val="000000"/>
                <w:sz w:val="14"/>
                <w:szCs w:val="18"/>
              </w:rPr>
            </w:pPr>
            <w:r w:rsidRPr="00861DB1">
              <w:rPr>
                <w:color w:val="000000"/>
                <w:sz w:val="14"/>
                <w:szCs w:val="18"/>
              </w:rPr>
              <w:t>(52,5)</w:t>
            </w:r>
          </w:p>
        </w:tc>
        <w:tc>
          <w:tcPr>
            <w:tcW w:w="1082" w:type="dxa"/>
          </w:tcPr>
          <w:p w:rsidR="00447F91" w:rsidRPr="00861DB1" w:rsidRDefault="008B1A80" w:rsidP="00447F91">
            <w:pPr>
              <w:autoSpaceDE w:val="0"/>
              <w:autoSpaceDN w:val="0"/>
              <w:adjustRightInd w:val="0"/>
              <w:ind w:left="60" w:right="60"/>
              <w:jc w:val="center"/>
              <w:rPr>
                <w:color w:val="000000"/>
                <w:sz w:val="14"/>
                <w:szCs w:val="18"/>
              </w:rPr>
            </w:pPr>
            <w:r w:rsidRPr="00861DB1">
              <w:rPr>
                <w:color w:val="000000"/>
                <w:sz w:val="14"/>
                <w:szCs w:val="18"/>
              </w:rPr>
              <w:t>19</w:t>
            </w:r>
          </w:p>
          <w:p w:rsidR="008B1A80" w:rsidRPr="00861DB1" w:rsidRDefault="008B1A80" w:rsidP="00447F91">
            <w:pPr>
              <w:autoSpaceDE w:val="0"/>
              <w:autoSpaceDN w:val="0"/>
              <w:adjustRightInd w:val="0"/>
              <w:ind w:left="60" w:right="60"/>
              <w:jc w:val="center"/>
              <w:rPr>
                <w:color w:val="000000"/>
                <w:sz w:val="14"/>
                <w:szCs w:val="18"/>
              </w:rPr>
            </w:pPr>
            <w:r w:rsidRPr="00861DB1">
              <w:rPr>
                <w:color w:val="000000"/>
                <w:sz w:val="14"/>
                <w:szCs w:val="18"/>
              </w:rPr>
              <w:t>(47,5%)</w:t>
            </w:r>
          </w:p>
        </w:tc>
        <w:tc>
          <w:tcPr>
            <w:tcW w:w="1086" w:type="dxa"/>
          </w:tcPr>
          <w:p w:rsidR="008B1A80" w:rsidRPr="00861DB1" w:rsidRDefault="008B1A80" w:rsidP="00447F91">
            <w:pPr>
              <w:autoSpaceDE w:val="0"/>
              <w:autoSpaceDN w:val="0"/>
              <w:adjustRightInd w:val="0"/>
              <w:ind w:left="60" w:right="60"/>
              <w:jc w:val="center"/>
              <w:rPr>
                <w:color w:val="000000"/>
                <w:sz w:val="14"/>
                <w:szCs w:val="18"/>
              </w:rPr>
            </w:pPr>
            <w:r w:rsidRPr="00861DB1">
              <w:rPr>
                <w:color w:val="000000"/>
                <w:sz w:val="14"/>
                <w:szCs w:val="18"/>
              </w:rPr>
              <w:t>0</w:t>
            </w:r>
          </w:p>
        </w:tc>
        <w:tc>
          <w:tcPr>
            <w:tcW w:w="962" w:type="dxa"/>
          </w:tcPr>
          <w:p w:rsidR="00447F91" w:rsidRPr="00861DB1" w:rsidRDefault="008B1A80" w:rsidP="00447F91">
            <w:pPr>
              <w:autoSpaceDE w:val="0"/>
              <w:autoSpaceDN w:val="0"/>
              <w:adjustRightInd w:val="0"/>
              <w:ind w:right="60"/>
              <w:jc w:val="center"/>
              <w:rPr>
                <w:color w:val="000000"/>
                <w:sz w:val="14"/>
                <w:szCs w:val="18"/>
              </w:rPr>
            </w:pPr>
            <w:r w:rsidRPr="00861DB1">
              <w:rPr>
                <w:color w:val="000000"/>
                <w:sz w:val="14"/>
                <w:szCs w:val="18"/>
              </w:rPr>
              <w:t>40</w:t>
            </w:r>
          </w:p>
          <w:p w:rsidR="008B1A80" w:rsidRPr="00861DB1" w:rsidRDefault="008B1A80" w:rsidP="00447F91">
            <w:pPr>
              <w:autoSpaceDE w:val="0"/>
              <w:autoSpaceDN w:val="0"/>
              <w:adjustRightInd w:val="0"/>
              <w:ind w:right="60"/>
              <w:jc w:val="center"/>
              <w:rPr>
                <w:color w:val="000000"/>
                <w:sz w:val="14"/>
                <w:szCs w:val="18"/>
              </w:rPr>
            </w:pPr>
            <w:r w:rsidRPr="00861DB1">
              <w:rPr>
                <w:color w:val="000000"/>
                <w:sz w:val="14"/>
                <w:szCs w:val="18"/>
              </w:rPr>
              <w:t>(100,0%)</w:t>
            </w:r>
          </w:p>
        </w:tc>
      </w:tr>
      <w:tr w:rsidR="00861DB1" w:rsidRPr="00861DB1" w:rsidTr="00861DB1">
        <w:trPr>
          <w:trHeight w:val="478"/>
        </w:trPr>
        <w:tc>
          <w:tcPr>
            <w:tcW w:w="1053" w:type="dxa"/>
            <w:tcBorders>
              <w:top w:val="single" w:sz="4" w:space="0" w:color="auto"/>
            </w:tcBorders>
          </w:tcPr>
          <w:p w:rsidR="008B1A80" w:rsidRPr="00861DB1" w:rsidRDefault="008B1A80" w:rsidP="00106F42">
            <w:pPr>
              <w:autoSpaceDE w:val="0"/>
              <w:autoSpaceDN w:val="0"/>
              <w:adjustRightInd w:val="0"/>
              <w:ind w:left="60" w:right="60"/>
              <w:jc w:val="both"/>
              <w:rPr>
                <w:color w:val="000000"/>
                <w:sz w:val="14"/>
                <w:szCs w:val="18"/>
              </w:rPr>
            </w:pPr>
            <w:r w:rsidRPr="00861DB1">
              <w:rPr>
                <w:color w:val="000000"/>
                <w:sz w:val="14"/>
                <w:szCs w:val="18"/>
              </w:rPr>
              <w:t>Hyperparathyroïdie</w:t>
            </w:r>
          </w:p>
        </w:tc>
        <w:tc>
          <w:tcPr>
            <w:tcW w:w="842" w:type="dxa"/>
          </w:tcPr>
          <w:p w:rsidR="00447F91" w:rsidRPr="00861DB1" w:rsidRDefault="008B1A80" w:rsidP="00447F91">
            <w:pPr>
              <w:autoSpaceDE w:val="0"/>
              <w:autoSpaceDN w:val="0"/>
              <w:adjustRightInd w:val="0"/>
              <w:ind w:left="60" w:right="60"/>
              <w:jc w:val="center"/>
              <w:rPr>
                <w:color w:val="000000"/>
                <w:sz w:val="14"/>
                <w:szCs w:val="18"/>
              </w:rPr>
            </w:pPr>
            <w:r w:rsidRPr="00861DB1">
              <w:rPr>
                <w:color w:val="000000"/>
                <w:sz w:val="14"/>
                <w:szCs w:val="18"/>
              </w:rPr>
              <w:t>21</w:t>
            </w:r>
          </w:p>
          <w:p w:rsidR="008B1A80" w:rsidRPr="00861DB1" w:rsidRDefault="008B1A80" w:rsidP="00447F91">
            <w:pPr>
              <w:autoSpaceDE w:val="0"/>
              <w:autoSpaceDN w:val="0"/>
              <w:adjustRightInd w:val="0"/>
              <w:ind w:left="60" w:right="60"/>
              <w:jc w:val="center"/>
              <w:rPr>
                <w:color w:val="000000"/>
                <w:sz w:val="14"/>
                <w:szCs w:val="18"/>
              </w:rPr>
            </w:pPr>
            <w:r w:rsidRPr="00861DB1">
              <w:rPr>
                <w:color w:val="000000"/>
                <w:sz w:val="14"/>
                <w:szCs w:val="18"/>
              </w:rPr>
              <w:t>(38,9%)</w:t>
            </w:r>
          </w:p>
        </w:tc>
        <w:tc>
          <w:tcPr>
            <w:tcW w:w="1082" w:type="dxa"/>
          </w:tcPr>
          <w:p w:rsidR="00447F91" w:rsidRPr="00861DB1" w:rsidRDefault="008B1A80" w:rsidP="00447F91">
            <w:pPr>
              <w:autoSpaceDE w:val="0"/>
              <w:autoSpaceDN w:val="0"/>
              <w:adjustRightInd w:val="0"/>
              <w:ind w:left="60" w:right="60"/>
              <w:jc w:val="center"/>
              <w:rPr>
                <w:color w:val="000000"/>
                <w:sz w:val="14"/>
                <w:szCs w:val="18"/>
              </w:rPr>
            </w:pPr>
            <w:r w:rsidRPr="00861DB1">
              <w:rPr>
                <w:color w:val="000000"/>
                <w:sz w:val="14"/>
                <w:szCs w:val="18"/>
              </w:rPr>
              <w:t>33</w:t>
            </w:r>
          </w:p>
          <w:p w:rsidR="008B1A80" w:rsidRPr="00861DB1" w:rsidRDefault="008B1A80" w:rsidP="00447F91">
            <w:pPr>
              <w:autoSpaceDE w:val="0"/>
              <w:autoSpaceDN w:val="0"/>
              <w:adjustRightInd w:val="0"/>
              <w:ind w:left="60" w:right="60"/>
              <w:jc w:val="center"/>
              <w:rPr>
                <w:color w:val="000000"/>
                <w:sz w:val="14"/>
                <w:szCs w:val="18"/>
              </w:rPr>
            </w:pPr>
            <w:r w:rsidRPr="00861DB1">
              <w:rPr>
                <w:color w:val="000000"/>
                <w:sz w:val="14"/>
                <w:szCs w:val="18"/>
              </w:rPr>
              <w:t>(61,1%)</w:t>
            </w:r>
          </w:p>
        </w:tc>
        <w:tc>
          <w:tcPr>
            <w:tcW w:w="1086" w:type="dxa"/>
          </w:tcPr>
          <w:p w:rsidR="008B1A80" w:rsidRPr="00861DB1" w:rsidRDefault="008B1A80" w:rsidP="00447F91">
            <w:pPr>
              <w:autoSpaceDE w:val="0"/>
              <w:autoSpaceDN w:val="0"/>
              <w:adjustRightInd w:val="0"/>
              <w:ind w:left="60" w:right="60"/>
              <w:jc w:val="center"/>
              <w:rPr>
                <w:color w:val="000000"/>
                <w:sz w:val="14"/>
                <w:szCs w:val="18"/>
              </w:rPr>
            </w:pPr>
            <w:r w:rsidRPr="00861DB1">
              <w:rPr>
                <w:color w:val="000000"/>
                <w:sz w:val="14"/>
                <w:szCs w:val="18"/>
              </w:rPr>
              <w:t>0</w:t>
            </w:r>
          </w:p>
        </w:tc>
        <w:tc>
          <w:tcPr>
            <w:tcW w:w="962" w:type="dxa"/>
          </w:tcPr>
          <w:p w:rsidR="00447F91" w:rsidRPr="00861DB1" w:rsidRDefault="008B1A80" w:rsidP="00447F91">
            <w:pPr>
              <w:autoSpaceDE w:val="0"/>
              <w:autoSpaceDN w:val="0"/>
              <w:adjustRightInd w:val="0"/>
              <w:ind w:left="60" w:right="60"/>
              <w:jc w:val="center"/>
              <w:rPr>
                <w:color w:val="000000"/>
                <w:sz w:val="14"/>
                <w:szCs w:val="18"/>
              </w:rPr>
            </w:pPr>
            <w:r w:rsidRPr="00861DB1">
              <w:rPr>
                <w:color w:val="000000"/>
                <w:sz w:val="14"/>
                <w:szCs w:val="18"/>
              </w:rPr>
              <w:t>54</w:t>
            </w:r>
          </w:p>
          <w:p w:rsidR="008B1A80" w:rsidRPr="00861DB1" w:rsidRDefault="008B1A80" w:rsidP="00447F91">
            <w:pPr>
              <w:autoSpaceDE w:val="0"/>
              <w:autoSpaceDN w:val="0"/>
              <w:adjustRightInd w:val="0"/>
              <w:ind w:left="60" w:right="60"/>
              <w:jc w:val="center"/>
              <w:rPr>
                <w:color w:val="000000"/>
                <w:sz w:val="14"/>
                <w:szCs w:val="18"/>
              </w:rPr>
            </w:pPr>
            <w:r w:rsidRPr="00861DB1">
              <w:rPr>
                <w:color w:val="000000"/>
                <w:sz w:val="14"/>
                <w:szCs w:val="18"/>
              </w:rPr>
              <w:t>(100,0%)</w:t>
            </w:r>
          </w:p>
        </w:tc>
      </w:tr>
      <w:tr w:rsidR="00861DB1" w:rsidRPr="00861DB1" w:rsidTr="00861DB1">
        <w:trPr>
          <w:trHeight w:val="452"/>
        </w:trPr>
        <w:tc>
          <w:tcPr>
            <w:tcW w:w="1053" w:type="dxa"/>
          </w:tcPr>
          <w:p w:rsidR="008B1A80" w:rsidRPr="00861DB1" w:rsidRDefault="008B1A80" w:rsidP="00106F42">
            <w:pPr>
              <w:autoSpaceDE w:val="0"/>
              <w:autoSpaceDN w:val="0"/>
              <w:adjustRightInd w:val="0"/>
              <w:ind w:left="60" w:right="60"/>
              <w:jc w:val="both"/>
              <w:rPr>
                <w:color w:val="000000"/>
                <w:sz w:val="14"/>
                <w:szCs w:val="18"/>
              </w:rPr>
            </w:pPr>
            <w:r w:rsidRPr="00861DB1">
              <w:rPr>
                <w:color w:val="000000"/>
                <w:sz w:val="14"/>
                <w:szCs w:val="18"/>
              </w:rPr>
              <w:t>Total</w:t>
            </w:r>
          </w:p>
        </w:tc>
        <w:tc>
          <w:tcPr>
            <w:tcW w:w="842" w:type="dxa"/>
          </w:tcPr>
          <w:p w:rsidR="00447F91" w:rsidRPr="00861DB1" w:rsidRDefault="008B1A80" w:rsidP="00447F91">
            <w:pPr>
              <w:autoSpaceDE w:val="0"/>
              <w:autoSpaceDN w:val="0"/>
              <w:adjustRightInd w:val="0"/>
              <w:ind w:left="60" w:right="60"/>
              <w:jc w:val="center"/>
              <w:rPr>
                <w:color w:val="000000"/>
                <w:sz w:val="14"/>
                <w:szCs w:val="18"/>
              </w:rPr>
            </w:pPr>
            <w:r w:rsidRPr="00861DB1">
              <w:rPr>
                <w:color w:val="000000"/>
                <w:sz w:val="14"/>
                <w:szCs w:val="18"/>
              </w:rPr>
              <w:t>45</w:t>
            </w:r>
          </w:p>
          <w:p w:rsidR="008B1A80" w:rsidRPr="00861DB1" w:rsidRDefault="008B1A80" w:rsidP="00447F91">
            <w:pPr>
              <w:autoSpaceDE w:val="0"/>
              <w:autoSpaceDN w:val="0"/>
              <w:adjustRightInd w:val="0"/>
              <w:ind w:left="60" w:right="60"/>
              <w:jc w:val="center"/>
              <w:rPr>
                <w:color w:val="000000"/>
                <w:sz w:val="14"/>
                <w:szCs w:val="18"/>
              </w:rPr>
            </w:pPr>
            <w:r w:rsidRPr="00861DB1">
              <w:rPr>
                <w:color w:val="000000"/>
                <w:sz w:val="14"/>
                <w:szCs w:val="18"/>
              </w:rPr>
              <w:t>(44,1%)</w:t>
            </w:r>
          </w:p>
        </w:tc>
        <w:tc>
          <w:tcPr>
            <w:tcW w:w="1082" w:type="dxa"/>
          </w:tcPr>
          <w:p w:rsidR="00447F91" w:rsidRPr="00861DB1" w:rsidRDefault="008B1A80" w:rsidP="00447F91">
            <w:pPr>
              <w:autoSpaceDE w:val="0"/>
              <w:autoSpaceDN w:val="0"/>
              <w:adjustRightInd w:val="0"/>
              <w:ind w:left="60" w:right="60"/>
              <w:jc w:val="center"/>
              <w:rPr>
                <w:color w:val="000000"/>
                <w:sz w:val="14"/>
                <w:szCs w:val="18"/>
              </w:rPr>
            </w:pPr>
            <w:r w:rsidRPr="00861DB1">
              <w:rPr>
                <w:color w:val="000000"/>
                <w:sz w:val="14"/>
                <w:szCs w:val="18"/>
              </w:rPr>
              <w:t>55</w:t>
            </w:r>
          </w:p>
          <w:p w:rsidR="008B1A80" w:rsidRPr="00861DB1" w:rsidRDefault="008B1A80" w:rsidP="00447F91">
            <w:pPr>
              <w:autoSpaceDE w:val="0"/>
              <w:autoSpaceDN w:val="0"/>
              <w:adjustRightInd w:val="0"/>
              <w:ind w:left="60" w:right="60"/>
              <w:jc w:val="center"/>
              <w:rPr>
                <w:color w:val="000000"/>
                <w:sz w:val="14"/>
                <w:szCs w:val="18"/>
              </w:rPr>
            </w:pPr>
            <w:r w:rsidRPr="00861DB1">
              <w:rPr>
                <w:color w:val="000000"/>
                <w:sz w:val="14"/>
                <w:szCs w:val="18"/>
              </w:rPr>
              <w:t>(53,94 %)</w:t>
            </w:r>
          </w:p>
        </w:tc>
        <w:tc>
          <w:tcPr>
            <w:tcW w:w="1086" w:type="dxa"/>
          </w:tcPr>
          <w:p w:rsidR="00447F91" w:rsidRPr="00861DB1" w:rsidRDefault="008B1A80" w:rsidP="00447F91">
            <w:pPr>
              <w:autoSpaceDE w:val="0"/>
              <w:autoSpaceDN w:val="0"/>
              <w:adjustRightInd w:val="0"/>
              <w:ind w:left="60" w:right="60"/>
              <w:jc w:val="center"/>
              <w:rPr>
                <w:color w:val="000000"/>
                <w:sz w:val="14"/>
                <w:szCs w:val="18"/>
              </w:rPr>
            </w:pPr>
            <w:r w:rsidRPr="00861DB1">
              <w:rPr>
                <w:color w:val="000000"/>
                <w:sz w:val="14"/>
                <w:szCs w:val="18"/>
              </w:rPr>
              <w:t>2</w:t>
            </w:r>
          </w:p>
          <w:p w:rsidR="008B1A80" w:rsidRPr="00861DB1" w:rsidRDefault="008B1A80" w:rsidP="00447F91">
            <w:pPr>
              <w:autoSpaceDE w:val="0"/>
              <w:autoSpaceDN w:val="0"/>
              <w:adjustRightInd w:val="0"/>
              <w:ind w:left="60" w:right="60"/>
              <w:jc w:val="center"/>
              <w:rPr>
                <w:color w:val="000000"/>
                <w:sz w:val="14"/>
                <w:szCs w:val="18"/>
              </w:rPr>
            </w:pPr>
            <w:r w:rsidRPr="00861DB1">
              <w:rPr>
                <w:color w:val="000000"/>
                <w:sz w:val="14"/>
                <w:szCs w:val="18"/>
              </w:rPr>
              <w:t>(1,96 %)</w:t>
            </w:r>
          </w:p>
        </w:tc>
        <w:tc>
          <w:tcPr>
            <w:tcW w:w="962" w:type="dxa"/>
          </w:tcPr>
          <w:p w:rsidR="00447F91" w:rsidRPr="00861DB1" w:rsidRDefault="008B1A80" w:rsidP="00447F91">
            <w:pPr>
              <w:autoSpaceDE w:val="0"/>
              <w:autoSpaceDN w:val="0"/>
              <w:adjustRightInd w:val="0"/>
              <w:ind w:left="60" w:right="60"/>
              <w:jc w:val="center"/>
              <w:rPr>
                <w:color w:val="000000"/>
                <w:sz w:val="14"/>
                <w:szCs w:val="18"/>
              </w:rPr>
            </w:pPr>
            <w:r w:rsidRPr="00861DB1">
              <w:rPr>
                <w:color w:val="000000"/>
                <w:sz w:val="14"/>
                <w:szCs w:val="18"/>
              </w:rPr>
              <w:t>102</w:t>
            </w:r>
          </w:p>
          <w:p w:rsidR="008B1A80" w:rsidRPr="00861DB1" w:rsidRDefault="008B1A80" w:rsidP="00447F91">
            <w:pPr>
              <w:autoSpaceDE w:val="0"/>
              <w:autoSpaceDN w:val="0"/>
              <w:adjustRightInd w:val="0"/>
              <w:ind w:left="60" w:right="60"/>
              <w:jc w:val="center"/>
              <w:rPr>
                <w:color w:val="000000"/>
                <w:sz w:val="14"/>
                <w:szCs w:val="18"/>
              </w:rPr>
            </w:pPr>
            <w:r w:rsidRPr="00861DB1">
              <w:rPr>
                <w:color w:val="000000"/>
                <w:sz w:val="14"/>
                <w:szCs w:val="18"/>
              </w:rPr>
              <w:t>(100,0%)</w:t>
            </w:r>
          </w:p>
        </w:tc>
      </w:tr>
    </w:tbl>
    <w:p w:rsidR="008B1A80" w:rsidRPr="0098145B" w:rsidRDefault="008B1A80" w:rsidP="008B1A80">
      <w:pPr>
        <w:autoSpaceDE w:val="0"/>
        <w:autoSpaceDN w:val="0"/>
        <w:adjustRightInd w:val="0"/>
        <w:jc w:val="both"/>
        <w:rPr>
          <w:sz w:val="18"/>
          <w:szCs w:val="18"/>
        </w:rPr>
      </w:pPr>
      <w:r w:rsidRPr="0098145B">
        <w:rPr>
          <w:sz w:val="18"/>
          <w:szCs w:val="18"/>
        </w:rPr>
        <w:t xml:space="preserve">Khi 2= 22,775   </w:t>
      </w:r>
      <w:proofErr w:type="spellStart"/>
      <w:r w:rsidRPr="0098145B">
        <w:rPr>
          <w:sz w:val="18"/>
          <w:szCs w:val="18"/>
        </w:rPr>
        <w:t>ddl</w:t>
      </w:r>
      <w:proofErr w:type="spellEnd"/>
      <w:r w:rsidRPr="0098145B">
        <w:rPr>
          <w:sz w:val="18"/>
          <w:szCs w:val="18"/>
        </w:rPr>
        <w:t xml:space="preserve">= 4    </w:t>
      </w:r>
      <w:r w:rsidRPr="0098145B">
        <w:rPr>
          <w:b/>
          <w:sz w:val="18"/>
          <w:szCs w:val="18"/>
        </w:rPr>
        <w:t>p=10</w:t>
      </w:r>
      <w:r w:rsidRPr="0098145B">
        <w:rPr>
          <w:b/>
          <w:sz w:val="18"/>
          <w:szCs w:val="18"/>
          <w:vertAlign w:val="superscript"/>
        </w:rPr>
        <w:t>-6</w:t>
      </w:r>
    </w:p>
    <w:p w:rsidR="008B1A80" w:rsidRPr="0098145B" w:rsidRDefault="008B1A80" w:rsidP="008B1A80">
      <w:pPr>
        <w:autoSpaceDE w:val="0"/>
        <w:autoSpaceDN w:val="0"/>
        <w:adjustRightInd w:val="0"/>
        <w:jc w:val="both"/>
        <w:rPr>
          <w:sz w:val="18"/>
          <w:szCs w:val="18"/>
        </w:rPr>
      </w:pPr>
    </w:p>
    <w:p w:rsidR="008B1A80" w:rsidRPr="0098145B" w:rsidRDefault="008B1A80" w:rsidP="008B1A80">
      <w:pPr>
        <w:jc w:val="both"/>
        <w:rPr>
          <w:sz w:val="18"/>
          <w:szCs w:val="18"/>
        </w:rPr>
      </w:pPr>
    </w:p>
    <w:p w:rsidR="008B1A80" w:rsidRPr="0098145B" w:rsidRDefault="008B1A80" w:rsidP="008B1A80">
      <w:pPr>
        <w:jc w:val="both"/>
        <w:rPr>
          <w:sz w:val="18"/>
          <w:szCs w:val="18"/>
        </w:rPr>
      </w:pPr>
    </w:p>
    <w:p w:rsidR="00344A5F" w:rsidRDefault="00344A5F" w:rsidP="008B1A80">
      <w:pPr>
        <w:jc w:val="both"/>
        <w:rPr>
          <w:b/>
          <w:sz w:val="18"/>
          <w:szCs w:val="18"/>
        </w:rPr>
      </w:pPr>
    </w:p>
    <w:p w:rsidR="00344A5F" w:rsidRDefault="00344A5F" w:rsidP="008B1A80">
      <w:pPr>
        <w:jc w:val="both"/>
        <w:rPr>
          <w:b/>
          <w:sz w:val="18"/>
          <w:szCs w:val="18"/>
        </w:rPr>
      </w:pPr>
    </w:p>
    <w:p w:rsidR="008B1A80" w:rsidRDefault="008B1A80" w:rsidP="008B1A80">
      <w:pPr>
        <w:jc w:val="both"/>
        <w:rPr>
          <w:sz w:val="18"/>
          <w:szCs w:val="18"/>
        </w:rPr>
      </w:pPr>
      <w:r w:rsidRPr="0098145B">
        <w:rPr>
          <w:b/>
          <w:sz w:val="18"/>
          <w:szCs w:val="18"/>
        </w:rPr>
        <w:t>Tableau VI</w:t>
      </w:r>
      <w:r w:rsidRPr="0098145B">
        <w:rPr>
          <w:sz w:val="18"/>
          <w:szCs w:val="18"/>
        </w:rPr>
        <w:t xml:space="preserve"> : répartition des patients en fonction du sexe et la </w:t>
      </w:r>
      <w:proofErr w:type="spellStart"/>
      <w:r w:rsidRPr="0098145B">
        <w:rPr>
          <w:sz w:val="18"/>
          <w:szCs w:val="18"/>
        </w:rPr>
        <w:t>PTHi</w:t>
      </w:r>
      <w:proofErr w:type="spellEnd"/>
    </w:p>
    <w:p w:rsidR="00447F91" w:rsidRDefault="00447F91" w:rsidP="008B1A80">
      <w:pPr>
        <w:jc w:val="both"/>
        <w:rPr>
          <w:sz w:val="18"/>
          <w:szCs w:val="18"/>
        </w:rPr>
      </w:pPr>
    </w:p>
    <w:p w:rsidR="00447F91" w:rsidRPr="0098145B" w:rsidRDefault="00447F91" w:rsidP="008B1A80">
      <w:pPr>
        <w:jc w:val="both"/>
        <w:rPr>
          <w:sz w:val="18"/>
          <w:szCs w:val="18"/>
        </w:rPr>
      </w:pPr>
    </w:p>
    <w:tbl>
      <w:tblPr>
        <w:tblW w:w="4779" w:type="dxa"/>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30"/>
        <w:gridCol w:w="504"/>
        <w:gridCol w:w="1033"/>
        <w:gridCol w:w="903"/>
        <w:gridCol w:w="906"/>
        <w:gridCol w:w="903"/>
      </w:tblGrid>
      <w:tr w:rsidR="008B1A80" w:rsidRPr="00861DB1" w:rsidTr="00861DB1">
        <w:trPr>
          <w:gridBefore w:val="2"/>
          <w:wBefore w:w="1034" w:type="dxa"/>
          <w:cantSplit/>
          <w:trHeight w:val="664"/>
        </w:trPr>
        <w:tc>
          <w:tcPr>
            <w:tcW w:w="2842" w:type="dxa"/>
            <w:gridSpan w:val="3"/>
            <w:tcBorders>
              <w:top w:val="single" w:sz="16" w:space="0" w:color="000000"/>
              <w:left w:val="single" w:sz="16" w:space="0" w:color="000000"/>
            </w:tcBorders>
            <w:shd w:val="clear" w:color="auto" w:fill="FFFFFF"/>
          </w:tcPr>
          <w:p w:rsidR="008B1A80" w:rsidRPr="00861DB1" w:rsidRDefault="008B1A80" w:rsidP="00106F42">
            <w:pPr>
              <w:autoSpaceDE w:val="0"/>
              <w:autoSpaceDN w:val="0"/>
              <w:adjustRightInd w:val="0"/>
              <w:ind w:left="60" w:right="60"/>
              <w:jc w:val="both"/>
              <w:rPr>
                <w:color w:val="000000"/>
                <w:sz w:val="16"/>
                <w:szCs w:val="18"/>
              </w:rPr>
            </w:pPr>
            <w:proofErr w:type="spellStart"/>
            <w:r w:rsidRPr="00861DB1">
              <w:rPr>
                <w:color w:val="000000"/>
                <w:sz w:val="16"/>
                <w:szCs w:val="18"/>
              </w:rPr>
              <w:t>Phosphatémie</w:t>
            </w:r>
            <w:proofErr w:type="spellEnd"/>
          </w:p>
        </w:tc>
        <w:tc>
          <w:tcPr>
            <w:tcW w:w="903" w:type="dxa"/>
            <w:vMerge w:val="restart"/>
            <w:tcBorders>
              <w:top w:val="single" w:sz="16" w:space="0" w:color="000000"/>
              <w:right w:val="single" w:sz="16" w:space="0" w:color="000000"/>
            </w:tcBorders>
            <w:shd w:val="clear" w:color="auto" w:fill="FFFFFF"/>
          </w:tcPr>
          <w:p w:rsidR="008B1A80" w:rsidRPr="00861DB1" w:rsidRDefault="008B1A80" w:rsidP="00106F42">
            <w:pPr>
              <w:autoSpaceDE w:val="0"/>
              <w:autoSpaceDN w:val="0"/>
              <w:adjustRightInd w:val="0"/>
              <w:ind w:left="60" w:right="60"/>
              <w:jc w:val="both"/>
              <w:rPr>
                <w:color w:val="000000"/>
                <w:sz w:val="16"/>
                <w:szCs w:val="18"/>
              </w:rPr>
            </w:pPr>
            <w:r w:rsidRPr="00861DB1">
              <w:rPr>
                <w:color w:val="000000"/>
                <w:sz w:val="16"/>
                <w:szCs w:val="18"/>
              </w:rPr>
              <w:t>Total</w:t>
            </w:r>
          </w:p>
        </w:tc>
      </w:tr>
      <w:tr w:rsidR="00861DB1" w:rsidRPr="00861DB1" w:rsidTr="00861DB1">
        <w:trPr>
          <w:gridBefore w:val="2"/>
          <w:wBefore w:w="1034" w:type="dxa"/>
          <w:cantSplit/>
          <w:trHeight w:val="630"/>
        </w:trPr>
        <w:tc>
          <w:tcPr>
            <w:tcW w:w="1033" w:type="dxa"/>
            <w:tcBorders>
              <w:left w:val="single" w:sz="16" w:space="0" w:color="000000"/>
              <w:bottom w:val="single" w:sz="16" w:space="0" w:color="000000"/>
            </w:tcBorders>
            <w:shd w:val="clear" w:color="auto" w:fill="FFFFFF"/>
          </w:tcPr>
          <w:p w:rsidR="008B1A80" w:rsidRPr="00861DB1" w:rsidRDefault="008B1A80" w:rsidP="00106F42">
            <w:pPr>
              <w:autoSpaceDE w:val="0"/>
              <w:autoSpaceDN w:val="0"/>
              <w:adjustRightInd w:val="0"/>
              <w:ind w:left="60" w:right="60"/>
              <w:jc w:val="both"/>
              <w:rPr>
                <w:color w:val="000000"/>
                <w:sz w:val="16"/>
                <w:szCs w:val="18"/>
              </w:rPr>
            </w:pPr>
            <w:proofErr w:type="spellStart"/>
            <w:r w:rsidRPr="00861DB1">
              <w:rPr>
                <w:color w:val="000000"/>
                <w:sz w:val="16"/>
                <w:szCs w:val="18"/>
              </w:rPr>
              <w:t>Hypoparathyroïdie</w:t>
            </w:r>
            <w:proofErr w:type="spellEnd"/>
          </w:p>
        </w:tc>
        <w:tc>
          <w:tcPr>
            <w:tcW w:w="903" w:type="dxa"/>
            <w:tcBorders>
              <w:bottom w:val="single" w:sz="16" w:space="0" w:color="000000"/>
            </w:tcBorders>
            <w:shd w:val="clear" w:color="auto" w:fill="FFFFFF"/>
          </w:tcPr>
          <w:p w:rsidR="008B1A80" w:rsidRPr="00861DB1" w:rsidRDefault="008B1A80" w:rsidP="00106F42">
            <w:pPr>
              <w:autoSpaceDE w:val="0"/>
              <w:autoSpaceDN w:val="0"/>
              <w:adjustRightInd w:val="0"/>
              <w:ind w:left="60" w:right="60"/>
              <w:jc w:val="both"/>
              <w:rPr>
                <w:color w:val="000000"/>
                <w:sz w:val="16"/>
                <w:szCs w:val="18"/>
              </w:rPr>
            </w:pPr>
            <w:r w:rsidRPr="00861DB1">
              <w:rPr>
                <w:color w:val="000000"/>
                <w:sz w:val="16"/>
                <w:szCs w:val="18"/>
              </w:rPr>
              <w:t>PTH normale</w:t>
            </w:r>
          </w:p>
        </w:tc>
        <w:tc>
          <w:tcPr>
            <w:tcW w:w="905" w:type="dxa"/>
            <w:tcBorders>
              <w:bottom w:val="single" w:sz="16" w:space="0" w:color="000000"/>
            </w:tcBorders>
            <w:shd w:val="clear" w:color="auto" w:fill="FFFFFF"/>
          </w:tcPr>
          <w:p w:rsidR="008B1A80" w:rsidRPr="00861DB1" w:rsidRDefault="008B1A80" w:rsidP="00106F42">
            <w:pPr>
              <w:autoSpaceDE w:val="0"/>
              <w:autoSpaceDN w:val="0"/>
              <w:adjustRightInd w:val="0"/>
              <w:ind w:left="60" w:right="60"/>
              <w:jc w:val="both"/>
              <w:rPr>
                <w:color w:val="000000"/>
                <w:sz w:val="16"/>
                <w:szCs w:val="18"/>
              </w:rPr>
            </w:pPr>
            <w:r w:rsidRPr="00861DB1">
              <w:rPr>
                <w:color w:val="000000"/>
                <w:sz w:val="16"/>
                <w:szCs w:val="18"/>
              </w:rPr>
              <w:t>Hyperparathyroïdie</w:t>
            </w:r>
          </w:p>
        </w:tc>
        <w:tc>
          <w:tcPr>
            <w:tcW w:w="903" w:type="dxa"/>
            <w:vMerge/>
            <w:tcBorders>
              <w:top w:val="single" w:sz="16" w:space="0" w:color="000000"/>
              <w:right w:val="single" w:sz="16" w:space="0" w:color="000000"/>
            </w:tcBorders>
            <w:shd w:val="clear" w:color="auto" w:fill="FFFFFF"/>
          </w:tcPr>
          <w:p w:rsidR="008B1A80" w:rsidRPr="00861DB1" w:rsidRDefault="008B1A80" w:rsidP="00106F42">
            <w:pPr>
              <w:autoSpaceDE w:val="0"/>
              <w:autoSpaceDN w:val="0"/>
              <w:adjustRightInd w:val="0"/>
              <w:jc w:val="both"/>
              <w:rPr>
                <w:color w:val="000000"/>
                <w:sz w:val="16"/>
                <w:szCs w:val="18"/>
              </w:rPr>
            </w:pPr>
          </w:p>
        </w:tc>
      </w:tr>
      <w:tr w:rsidR="00861DB1" w:rsidRPr="00861DB1" w:rsidTr="00861DB1">
        <w:trPr>
          <w:cantSplit/>
          <w:trHeight w:val="284"/>
        </w:trPr>
        <w:tc>
          <w:tcPr>
            <w:tcW w:w="530" w:type="dxa"/>
            <w:vMerge w:val="restart"/>
            <w:tcBorders>
              <w:top w:val="single" w:sz="16" w:space="0" w:color="000000"/>
              <w:left w:val="single" w:sz="16" w:space="0" w:color="000000"/>
              <w:bottom w:val="nil"/>
              <w:right w:val="nil"/>
            </w:tcBorders>
            <w:shd w:val="clear" w:color="auto" w:fill="FFFFFF"/>
            <w:vAlign w:val="center"/>
          </w:tcPr>
          <w:p w:rsidR="008B1A80" w:rsidRPr="00861DB1" w:rsidRDefault="008B1A80" w:rsidP="00106F42">
            <w:pPr>
              <w:autoSpaceDE w:val="0"/>
              <w:autoSpaceDN w:val="0"/>
              <w:adjustRightInd w:val="0"/>
              <w:ind w:left="60" w:right="60"/>
              <w:jc w:val="both"/>
              <w:rPr>
                <w:color w:val="000000"/>
                <w:sz w:val="16"/>
                <w:szCs w:val="18"/>
              </w:rPr>
            </w:pPr>
            <w:r w:rsidRPr="00861DB1">
              <w:rPr>
                <w:color w:val="000000"/>
                <w:sz w:val="16"/>
                <w:szCs w:val="18"/>
              </w:rPr>
              <w:t>Sexe</w:t>
            </w:r>
          </w:p>
        </w:tc>
        <w:tc>
          <w:tcPr>
            <w:tcW w:w="503" w:type="dxa"/>
            <w:tcBorders>
              <w:top w:val="single" w:sz="16" w:space="0" w:color="000000"/>
              <w:left w:val="nil"/>
              <w:bottom w:val="nil"/>
              <w:right w:val="single" w:sz="16" w:space="0" w:color="000000"/>
            </w:tcBorders>
            <w:shd w:val="clear" w:color="auto" w:fill="FFFFFF"/>
            <w:vAlign w:val="center"/>
          </w:tcPr>
          <w:p w:rsidR="008B1A80" w:rsidRPr="00861DB1" w:rsidRDefault="00447F91" w:rsidP="00106F42">
            <w:pPr>
              <w:autoSpaceDE w:val="0"/>
              <w:autoSpaceDN w:val="0"/>
              <w:adjustRightInd w:val="0"/>
              <w:ind w:right="60"/>
              <w:jc w:val="both"/>
              <w:rPr>
                <w:color w:val="000000"/>
                <w:sz w:val="16"/>
                <w:szCs w:val="18"/>
              </w:rPr>
            </w:pPr>
            <w:r w:rsidRPr="00861DB1">
              <w:rPr>
                <w:color w:val="000000"/>
                <w:sz w:val="16"/>
                <w:szCs w:val="18"/>
              </w:rPr>
              <w:t>M</w:t>
            </w:r>
          </w:p>
        </w:tc>
        <w:tc>
          <w:tcPr>
            <w:tcW w:w="1033" w:type="dxa"/>
            <w:tcBorders>
              <w:top w:val="single" w:sz="16" w:space="0" w:color="000000"/>
              <w:left w:val="single" w:sz="16" w:space="0" w:color="000000"/>
              <w:bottom w:val="nil"/>
            </w:tcBorders>
            <w:shd w:val="clear" w:color="auto" w:fill="FFFFFF"/>
            <w:vAlign w:val="center"/>
          </w:tcPr>
          <w:p w:rsidR="00447F91"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1</w:t>
            </w:r>
          </w:p>
          <w:p w:rsidR="008B1A80"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(1,9%)</w:t>
            </w:r>
          </w:p>
        </w:tc>
        <w:tc>
          <w:tcPr>
            <w:tcW w:w="903" w:type="dxa"/>
            <w:tcBorders>
              <w:top w:val="single" w:sz="16" w:space="0" w:color="000000"/>
              <w:bottom w:val="nil"/>
            </w:tcBorders>
            <w:shd w:val="clear" w:color="auto" w:fill="FFFFFF"/>
            <w:vAlign w:val="center"/>
          </w:tcPr>
          <w:p w:rsidR="00447F91"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27</w:t>
            </w:r>
          </w:p>
          <w:p w:rsidR="008B1A80"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(50,0%)</w:t>
            </w:r>
          </w:p>
        </w:tc>
        <w:tc>
          <w:tcPr>
            <w:tcW w:w="905" w:type="dxa"/>
            <w:tcBorders>
              <w:top w:val="single" w:sz="16" w:space="0" w:color="000000"/>
              <w:bottom w:val="nil"/>
            </w:tcBorders>
            <w:shd w:val="clear" w:color="auto" w:fill="FFFFFF"/>
            <w:vAlign w:val="center"/>
          </w:tcPr>
          <w:p w:rsidR="00447F91"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26</w:t>
            </w:r>
          </w:p>
          <w:p w:rsidR="008B1A80"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(48,1%)</w:t>
            </w:r>
          </w:p>
        </w:tc>
        <w:tc>
          <w:tcPr>
            <w:tcW w:w="903" w:type="dxa"/>
            <w:tcBorders>
              <w:top w:val="single" w:sz="16" w:space="0" w:color="000000"/>
              <w:bottom w:val="nil"/>
              <w:right w:val="single" w:sz="16" w:space="0" w:color="000000"/>
            </w:tcBorders>
            <w:shd w:val="clear" w:color="auto" w:fill="FFFFFF"/>
            <w:vAlign w:val="center"/>
          </w:tcPr>
          <w:p w:rsidR="00447F91"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54</w:t>
            </w:r>
          </w:p>
          <w:p w:rsidR="008B1A80"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(100,0%)</w:t>
            </w:r>
          </w:p>
        </w:tc>
      </w:tr>
      <w:tr w:rsidR="00861DB1" w:rsidRPr="00861DB1" w:rsidTr="00861DB1">
        <w:trPr>
          <w:cantSplit/>
          <w:trHeight w:val="284"/>
        </w:trPr>
        <w:tc>
          <w:tcPr>
            <w:tcW w:w="530" w:type="dxa"/>
            <w:vMerge/>
            <w:tcBorders>
              <w:top w:val="single" w:sz="16" w:space="0" w:color="000000"/>
              <w:left w:val="single" w:sz="16" w:space="0" w:color="000000"/>
              <w:bottom w:val="nil"/>
              <w:right w:val="nil"/>
            </w:tcBorders>
            <w:shd w:val="clear" w:color="auto" w:fill="FFFFFF"/>
            <w:vAlign w:val="center"/>
          </w:tcPr>
          <w:p w:rsidR="008B1A80" w:rsidRPr="00861DB1" w:rsidRDefault="008B1A80" w:rsidP="00106F42">
            <w:pPr>
              <w:autoSpaceDE w:val="0"/>
              <w:autoSpaceDN w:val="0"/>
              <w:adjustRightInd w:val="0"/>
              <w:jc w:val="both"/>
              <w:rPr>
                <w:color w:val="000000"/>
                <w:sz w:val="16"/>
                <w:szCs w:val="18"/>
              </w:rPr>
            </w:pPr>
          </w:p>
        </w:tc>
        <w:tc>
          <w:tcPr>
            <w:tcW w:w="503" w:type="dxa"/>
            <w:tcBorders>
              <w:top w:val="nil"/>
              <w:left w:val="nil"/>
              <w:bottom w:val="nil"/>
              <w:right w:val="single" w:sz="16" w:space="0" w:color="000000"/>
            </w:tcBorders>
            <w:shd w:val="clear" w:color="auto" w:fill="FFFFFF"/>
            <w:vAlign w:val="center"/>
          </w:tcPr>
          <w:p w:rsidR="008B1A80" w:rsidRPr="00861DB1" w:rsidRDefault="00447F91" w:rsidP="00106F42">
            <w:pPr>
              <w:autoSpaceDE w:val="0"/>
              <w:autoSpaceDN w:val="0"/>
              <w:adjustRightInd w:val="0"/>
              <w:ind w:right="60"/>
              <w:jc w:val="both"/>
              <w:rPr>
                <w:color w:val="000000"/>
                <w:sz w:val="16"/>
                <w:szCs w:val="18"/>
              </w:rPr>
            </w:pPr>
            <w:r w:rsidRPr="00861DB1">
              <w:rPr>
                <w:color w:val="000000"/>
                <w:sz w:val="16"/>
                <w:szCs w:val="18"/>
              </w:rPr>
              <w:t>F</w:t>
            </w:r>
          </w:p>
        </w:tc>
        <w:tc>
          <w:tcPr>
            <w:tcW w:w="1033" w:type="dxa"/>
            <w:tcBorders>
              <w:top w:val="nil"/>
              <w:left w:val="single" w:sz="16" w:space="0" w:color="000000"/>
              <w:bottom w:val="nil"/>
            </w:tcBorders>
            <w:shd w:val="clear" w:color="auto" w:fill="FFFFFF"/>
            <w:vAlign w:val="center"/>
          </w:tcPr>
          <w:p w:rsidR="00447F91"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7</w:t>
            </w:r>
          </w:p>
          <w:p w:rsidR="008B1A80"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(14,6%)</w:t>
            </w:r>
          </w:p>
        </w:tc>
        <w:tc>
          <w:tcPr>
            <w:tcW w:w="903" w:type="dxa"/>
            <w:tcBorders>
              <w:top w:val="nil"/>
              <w:bottom w:val="nil"/>
            </w:tcBorders>
            <w:shd w:val="clear" w:color="auto" w:fill="FFFFFF"/>
            <w:vAlign w:val="center"/>
          </w:tcPr>
          <w:p w:rsidR="00447F91"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13</w:t>
            </w:r>
          </w:p>
          <w:p w:rsidR="008B1A80"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(27,1%)</w:t>
            </w:r>
          </w:p>
        </w:tc>
        <w:tc>
          <w:tcPr>
            <w:tcW w:w="905" w:type="dxa"/>
            <w:tcBorders>
              <w:top w:val="nil"/>
              <w:bottom w:val="nil"/>
            </w:tcBorders>
            <w:shd w:val="clear" w:color="auto" w:fill="FFFFFF"/>
            <w:vAlign w:val="center"/>
          </w:tcPr>
          <w:p w:rsidR="00447F91"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28</w:t>
            </w:r>
          </w:p>
          <w:p w:rsidR="008B1A80"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(58,3%)</w:t>
            </w:r>
          </w:p>
        </w:tc>
        <w:tc>
          <w:tcPr>
            <w:tcW w:w="903" w:type="dxa"/>
            <w:tcBorders>
              <w:top w:val="nil"/>
              <w:bottom w:val="nil"/>
              <w:right w:val="single" w:sz="16" w:space="0" w:color="000000"/>
            </w:tcBorders>
            <w:shd w:val="clear" w:color="auto" w:fill="FFFFFF"/>
            <w:vAlign w:val="center"/>
          </w:tcPr>
          <w:p w:rsidR="00447F91"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48</w:t>
            </w:r>
          </w:p>
          <w:p w:rsidR="008B1A80"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(100,0%)</w:t>
            </w:r>
          </w:p>
        </w:tc>
      </w:tr>
      <w:tr w:rsidR="00861DB1" w:rsidRPr="00861DB1" w:rsidTr="00861DB1">
        <w:trPr>
          <w:cantSplit/>
          <w:trHeight w:val="630"/>
        </w:trPr>
        <w:tc>
          <w:tcPr>
            <w:tcW w:w="1033" w:type="dxa"/>
            <w:gridSpan w:val="2"/>
            <w:tcBorders>
              <w:top w:val="nil"/>
              <w:left w:val="single" w:sz="16" w:space="0" w:color="000000"/>
              <w:bottom w:val="single" w:sz="16" w:space="0" w:color="000000"/>
              <w:right w:val="single" w:sz="16" w:space="0" w:color="000000"/>
            </w:tcBorders>
            <w:shd w:val="clear" w:color="auto" w:fill="FFFFFF"/>
            <w:vAlign w:val="center"/>
          </w:tcPr>
          <w:p w:rsidR="008B1A80" w:rsidRPr="00861DB1" w:rsidRDefault="008B1A80" w:rsidP="00106F42">
            <w:pPr>
              <w:autoSpaceDE w:val="0"/>
              <w:autoSpaceDN w:val="0"/>
              <w:adjustRightInd w:val="0"/>
              <w:ind w:right="60"/>
              <w:jc w:val="both"/>
              <w:rPr>
                <w:color w:val="000000"/>
                <w:sz w:val="16"/>
                <w:szCs w:val="18"/>
              </w:rPr>
            </w:pPr>
            <w:r w:rsidRPr="00861DB1">
              <w:rPr>
                <w:color w:val="000000"/>
                <w:sz w:val="16"/>
                <w:szCs w:val="18"/>
              </w:rPr>
              <w:t xml:space="preserve">             Total</w:t>
            </w:r>
          </w:p>
        </w:tc>
        <w:tc>
          <w:tcPr>
            <w:tcW w:w="1033" w:type="dxa"/>
            <w:tcBorders>
              <w:top w:val="nil"/>
              <w:left w:val="single" w:sz="16" w:space="0" w:color="000000"/>
              <w:bottom w:val="single" w:sz="18" w:space="0" w:color="auto"/>
            </w:tcBorders>
            <w:shd w:val="clear" w:color="auto" w:fill="FFFFFF"/>
            <w:vAlign w:val="center"/>
          </w:tcPr>
          <w:p w:rsidR="00447F91"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8</w:t>
            </w:r>
          </w:p>
          <w:p w:rsidR="008B1A80"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(7,8%)</w:t>
            </w:r>
          </w:p>
        </w:tc>
        <w:tc>
          <w:tcPr>
            <w:tcW w:w="903" w:type="dxa"/>
            <w:tcBorders>
              <w:top w:val="nil"/>
              <w:bottom w:val="single" w:sz="18" w:space="0" w:color="auto"/>
            </w:tcBorders>
            <w:shd w:val="clear" w:color="auto" w:fill="FFFFFF"/>
            <w:vAlign w:val="center"/>
          </w:tcPr>
          <w:p w:rsidR="00447F91"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40</w:t>
            </w:r>
          </w:p>
          <w:p w:rsidR="008B1A80"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(39,2%)</w:t>
            </w:r>
          </w:p>
        </w:tc>
        <w:tc>
          <w:tcPr>
            <w:tcW w:w="905" w:type="dxa"/>
            <w:tcBorders>
              <w:top w:val="nil"/>
              <w:bottom w:val="single" w:sz="18" w:space="0" w:color="auto"/>
            </w:tcBorders>
            <w:shd w:val="clear" w:color="auto" w:fill="FFFFFF"/>
            <w:vAlign w:val="center"/>
          </w:tcPr>
          <w:p w:rsidR="00447F91"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54</w:t>
            </w:r>
          </w:p>
          <w:p w:rsidR="008B1A80"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(52,94%)</w:t>
            </w:r>
          </w:p>
        </w:tc>
        <w:tc>
          <w:tcPr>
            <w:tcW w:w="903" w:type="dxa"/>
            <w:tcBorders>
              <w:top w:val="nil"/>
              <w:bottom w:val="single" w:sz="18" w:space="0" w:color="auto"/>
              <w:right w:val="single" w:sz="16" w:space="0" w:color="000000"/>
            </w:tcBorders>
            <w:shd w:val="clear" w:color="auto" w:fill="FFFFFF"/>
            <w:vAlign w:val="center"/>
          </w:tcPr>
          <w:p w:rsidR="00447F91"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102</w:t>
            </w:r>
          </w:p>
          <w:p w:rsidR="008B1A80" w:rsidRPr="00861DB1" w:rsidRDefault="008B1A80" w:rsidP="00447F91">
            <w:pPr>
              <w:autoSpaceDE w:val="0"/>
              <w:autoSpaceDN w:val="0"/>
              <w:adjustRightInd w:val="0"/>
              <w:ind w:left="60" w:right="60"/>
              <w:jc w:val="center"/>
              <w:rPr>
                <w:color w:val="000000"/>
                <w:sz w:val="16"/>
                <w:szCs w:val="18"/>
              </w:rPr>
            </w:pPr>
            <w:r w:rsidRPr="00861DB1">
              <w:rPr>
                <w:color w:val="000000"/>
                <w:sz w:val="16"/>
                <w:szCs w:val="18"/>
              </w:rPr>
              <w:t>(100,0%)</w:t>
            </w:r>
          </w:p>
        </w:tc>
      </w:tr>
    </w:tbl>
    <w:p w:rsidR="008B1A80" w:rsidRPr="0098145B" w:rsidRDefault="008B1A80" w:rsidP="008B1A80">
      <w:pPr>
        <w:autoSpaceDE w:val="0"/>
        <w:autoSpaceDN w:val="0"/>
        <w:adjustRightInd w:val="0"/>
        <w:jc w:val="both"/>
        <w:rPr>
          <w:sz w:val="18"/>
          <w:szCs w:val="18"/>
        </w:rPr>
      </w:pPr>
      <w:r w:rsidRPr="0098145B">
        <w:rPr>
          <w:sz w:val="18"/>
          <w:szCs w:val="18"/>
        </w:rPr>
        <w:t xml:space="preserve">   Khi2=9,153     </w:t>
      </w:r>
      <w:proofErr w:type="spellStart"/>
      <w:r w:rsidRPr="0098145B">
        <w:rPr>
          <w:sz w:val="18"/>
          <w:szCs w:val="18"/>
        </w:rPr>
        <w:t>ddl</w:t>
      </w:r>
      <w:proofErr w:type="spellEnd"/>
      <w:r w:rsidRPr="0098145B">
        <w:rPr>
          <w:sz w:val="18"/>
          <w:szCs w:val="18"/>
        </w:rPr>
        <w:t xml:space="preserve">= 2       </w:t>
      </w:r>
      <w:r w:rsidRPr="0098145B">
        <w:rPr>
          <w:b/>
          <w:sz w:val="18"/>
          <w:szCs w:val="18"/>
        </w:rPr>
        <w:t>p= 0,010</w:t>
      </w:r>
      <w:r w:rsidRPr="0098145B">
        <w:rPr>
          <w:sz w:val="18"/>
          <w:szCs w:val="18"/>
        </w:rPr>
        <w:t xml:space="preserve"> </w:t>
      </w:r>
    </w:p>
    <w:p w:rsidR="008B1A80" w:rsidRPr="0098145B" w:rsidRDefault="008B1A80" w:rsidP="008B1A80">
      <w:pPr>
        <w:jc w:val="both"/>
        <w:rPr>
          <w:b/>
          <w:sz w:val="18"/>
          <w:szCs w:val="18"/>
        </w:rPr>
      </w:pPr>
    </w:p>
    <w:p w:rsidR="008B1A80" w:rsidRDefault="008B1A80" w:rsidP="003A4D51">
      <w:pPr>
        <w:jc w:val="both"/>
        <w:rPr>
          <w:sz w:val="18"/>
          <w:szCs w:val="18"/>
        </w:rPr>
      </w:pPr>
    </w:p>
    <w:p w:rsidR="003A4D51" w:rsidRPr="0098145B" w:rsidRDefault="003A4D51" w:rsidP="003A4D51">
      <w:pPr>
        <w:jc w:val="both"/>
        <w:rPr>
          <w:sz w:val="18"/>
          <w:szCs w:val="18"/>
        </w:rPr>
      </w:pPr>
    </w:p>
    <w:p w:rsidR="00344A5F" w:rsidRDefault="00344A5F" w:rsidP="003A4D51">
      <w:pPr>
        <w:jc w:val="both"/>
        <w:rPr>
          <w:b/>
          <w:sz w:val="20"/>
          <w:szCs w:val="20"/>
        </w:rPr>
        <w:sectPr w:rsidR="00344A5F" w:rsidSect="00861DB1">
          <w:type w:val="continuous"/>
          <w:pgSz w:w="11906" w:h="16838" w:code="9"/>
          <w:pgMar w:top="1134" w:right="851" w:bottom="1418" w:left="1134" w:header="708" w:footer="708" w:gutter="0"/>
          <w:cols w:num="2" w:space="708"/>
          <w:docGrid w:linePitch="360"/>
        </w:sectPr>
      </w:pPr>
    </w:p>
    <w:p w:rsidR="00577B56" w:rsidRPr="00F814AD" w:rsidRDefault="001723C9" w:rsidP="003A4D51">
      <w:pPr>
        <w:jc w:val="both"/>
        <w:rPr>
          <w:b/>
          <w:sz w:val="20"/>
          <w:szCs w:val="20"/>
        </w:rPr>
      </w:pPr>
      <w:r w:rsidRPr="00F814AD">
        <w:rPr>
          <w:b/>
          <w:sz w:val="20"/>
          <w:szCs w:val="20"/>
        </w:rPr>
        <w:lastRenderedPageBreak/>
        <w:t>DISCUSSION</w:t>
      </w:r>
      <w:r w:rsidR="00577B56" w:rsidRPr="00F814AD">
        <w:rPr>
          <w:b/>
          <w:sz w:val="20"/>
          <w:szCs w:val="20"/>
        </w:rPr>
        <w:t> :</w:t>
      </w:r>
    </w:p>
    <w:p w:rsidR="003A4D51" w:rsidRPr="0098145B" w:rsidRDefault="003A4D51" w:rsidP="003A4D51">
      <w:pPr>
        <w:jc w:val="both"/>
        <w:rPr>
          <w:sz w:val="18"/>
          <w:szCs w:val="18"/>
        </w:rPr>
      </w:pPr>
      <w:r w:rsidRPr="0098145B">
        <w:rPr>
          <w:sz w:val="18"/>
          <w:szCs w:val="18"/>
        </w:rPr>
        <w:t xml:space="preserve">Cette étude a permis de mettre en évidence que 5,9% des patients avaient les trois principaux paramètres (une calcémie, une </w:t>
      </w:r>
      <w:proofErr w:type="spellStart"/>
      <w:r w:rsidRPr="0098145B">
        <w:rPr>
          <w:sz w:val="18"/>
          <w:szCs w:val="18"/>
        </w:rPr>
        <w:t>phosphatémie</w:t>
      </w:r>
      <w:proofErr w:type="spellEnd"/>
      <w:r w:rsidRPr="0098145B">
        <w:rPr>
          <w:sz w:val="18"/>
          <w:szCs w:val="18"/>
        </w:rPr>
        <w:t xml:space="preserve">, une PTH intacte), dans les limites de KDIGO 2009. Alors qu’elle était de 17,78% dans l’étude de </w:t>
      </w:r>
      <w:proofErr w:type="spellStart"/>
      <w:r w:rsidRPr="0098145B">
        <w:rPr>
          <w:sz w:val="18"/>
          <w:szCs w:val="18"/>
        </w:rPr>
        <w:t>Mahamat</w:t>
      </w:r>
      <w:proofErr w:type="spellEnd"/>
      <w:r w:rsidRPr="0098145B">
        <w:rPr>
          <w:sz w:val="18"/>
          <w:szCs w:val="18"/>
        </w:rPr>
        <w:t xml:space="preserve"> et al à Dakar [11], </w:t>
      </w:r>
      <w:proofErr w:type="spellStart"/>
      <w:r w:rsidRPr="0098145B">
        <w:rPr>
          <w:sz w:val="18"/>
          <w:szCs w:val="18"/>
        </w:rPr>
        <w:t>Benabdellah</w:t>
      </w:r>
      <w:proofErr w:type="spellEnd"/>
      <w:r w:rsidRPr="0098145B">
        <w:rPr>
          <w:sz w:val="18"/>
          <w:szCs w:val="18"/>
        </w:rPr>
        <w:t xml:space="preserve"> N et al, au Maroc [12], A. </w:t>
      </w:r>
      <w:proofErr w:type="spellStart"/>
      <w:r w:rsidRPr="0098145B">
        <w:rPr>
          <w:sz w:val="18"/>
          <w:szCs w:val="18"/>
        </w:rPr>
        <w:t>Gbaguidi</w:t>
      </w:r>
      <w:proofErr w:type="spellEnd"/>
      <w:r w:rsidRPr="0098145B">
        <w:rPr>
          <w:sz w:val="18"/>
          <w:szCs w:val="18"/>
        </w:rPr>
        <w:t xml:space="preserve"> et al en Martinique [13] et de 10% selon A. </w:t>
      </w:r>
      <w:proofErr w:type="spellStart"/>
      <w:r w:rsidRPr="0098145B">
        <w:rPr>
          <w:sz w:val="18"/>
          <w:szCs w:val="18"/>
        </w:rPr>
        <w:t>Laradi</w:t>
      </w:r>
      <w:proofErr w:type="spellEnd"/>
      <w:r w:rsidRPr="0098145B">
        <w:rPr>
          <w:sz w:val="18"/>
          <w:szCs w:val="18"/>
        </w:rPr>
        <w:t xml:space="preserve"> et al En France [1].</w:t>
      </w:r>
      <w:r>
        <w:rPr>
          <w:sz w:val="18"/>
          <w:szCs w:val="18"/>
        </w:rPr>
        <w:t xml:space="preserve"> </w:t>
      </w:r>
      <w:r w:rsidRPr="0098145B">
        <w:rPr>
          <w:sz w:val="18"/>
          <w:szCs w:val="18"/>
        </w:rPr>
        <w:t xml:space="preserve">L’âge moyen était de 48,92 ans, avec des extrêmes de 22 ans et 84 ans. La tranche d’âge 30- 50 ans était la plus représentée soit 51 %. A Dakar, l’âge moyen était 50,24±14,594   et les extrêmes de 19 et 93 ans [11]. Au Maroc [12], en Tunisie [14] et au Martinique [13] l’âge moyen était respectivement 49,8 ans, 46,4±14,9 avec des extrêmes de 17- 85 ans, et 65,5 ans.  L’âge moyen plus élevé en Martinique s’expliquerait par l’espérance de vie plus élevée.  Dans notre étude, on notait une prédominance masculine avec 52,9 % des patients dialysés, avec </w:t>
      </w:r>
      <w:proofErr w:type="gramStart"/>
      <w:r w:rsidRPr="0098145B">
        <w:rPr>
          <w:sz w:val="18"/>
          <w:szCs w:val="18"/>
        </w:rPr>
        <w:t>un</w:t>
      </w:r>
      <w:proofErr w:type="gramEnd"/>
      <w:r w:rsidRPr="0098145B">
        <w:rPr>
          <w:sz w:val="18"/>
          <w:szCs w:val="18"/>
        </w:rPr>
        <w:t xml:space="preserve"> sex-ratio de 1,13. </w:t>
      </w:r>
      <w:proofErr w:type="gramStart"/>
      <w:r w:rsidRPr="0098145B">
        <w:rPr>
          <w:sz w:val="18"/>
          <w:szCs w:val="18"/>
        </w:rPr>
        <w:t>Le</w:t>
      </w:r>
      <w:proofErr w:type="gramEnd"/>
      <w:r w:rsidRPr="0098145B">
        <w:rPr>
          <w:sz w:val="18"/>
          <w:szCs w:val="18"/>
        </w:rPr>
        <w:t xml:space="preserve"> sex-ratio   était respectivement 1, 04, 1,5, 0, 9 et 0,45 à Dakar [11], en Tunisie [14], au Maroc et en Martinique [13].  Cette prédominance masculine  s’expliquerait par le niveau économique plus bas dans la population féminine dans nos contrées.</w:t>
      </w:r>
      <w:r>
        <w:rPr>
          <w:sz w:val="18"/>
          <w:szCs w:val="18"/>
        </w:rPr>
        <w:t xml:space="preserve"> </w:t>
      </w:r>
      <w:r w:rsidRPr="0098145B">
        <w:rPr>
          <w:sz w:val="18"/>
          <w:szCs w:val="18"/>
        </w:rPr>
        <w:t xml:space="preserve">                                                                                                                                                                                                                                                                                                                                                                                                                                                                                                                                                                                                                                                                                                                                                                                                                                                                                                                                                                                                                                                                                                                                                                                                                                                                                                                                                                                                                                                                                                                                                                                                                                                                                                                                                                                                                                                                                                                                                                                                                                                                                                                                                                                                                                                                                                                                                                                                                                                                                                                                                                                                                           </w:t>
      </w:r>
      <w:r w:rsidRPr="0098145B">
        <w:rPr>
          <w:sz w:val="18"/>
          <w:szCs w:val="18"/>
        </w:rPr>
        <w:lastRenderedPageBreak/>
        <w:t xml:space="preserve">La néphropathie causale était dominée par la néphropathie vasculaire dans 31,4%, la glomérulonéphrite chronique dans 15,7% et de la néphropathie diabétique dans 10,8%. Elle n’a pas pu être déterminée dans 33,33% des cas pouvant être expliqué par le faible niveau du plateau sanitaire, les conditions économiques et la consultation le plus souvent tardive. Par contre à Dakar </w:t>
      </w:r>
      <w:proofErr w:type="spellStart"/>
      <w:r w:rsidRPr="0098145B">
        <w:rPr>
          <w:sz w:val="18"/>
          <w:szCs w:val="18"/>
        </w:rPr>
        <w:t>Mahamat</w:t>
      </w:r>
      <w:proofErr w:type="spellEnd"/>
      <w:r w:rsidRPr="0098145B">
        <w:rPr>
          <w:sz w:val="18"/>
          <w:szCs w:val="18"/>
        </w:rPr>
        <w:t xml:space="preserve"> [11] retrouvait une prédominance de la néphropathie vasculaire soit 51,1%. En Martinique [13], les principales néphropathies étaient vasculaires (37%) et diabétique (20%). </w:t>
      </w:r>
    </w:p>
    <w:p w:rsidR="00577B56" w:rsidRPr="00F814AD" w:rsidRDefault="001723C9" w:rsidP="000B24E4">
      <w:pPr>
        <w:autoSpaceDE w:val="0"/>
        <w:autoSpaceDN w:val="0"/>
        <w:adjustRightInd w:val="0"/>
        <w:jc w:val="both"/>
        <w:rPr>
          <w:b/>
          <w:color w:val="000000"/>
          <w:sz w:val="20"/>
          <w:szCs w:val="20"/>
          <w:lang w:eastAsia="fr-FR"/>
        </w:rPr>
      </w:pPr>
      <w:r w:rsidRPr="00F814AD">
        <w:rPr>
          <w:b/>
          <w:color w:val="000000"/>
          <w:sz w:val="20"/>
          <w:szCs w:val="20"/>
          <w:lang w:eastAsia="fr-FR"/>
        </w:rPr>
        <w:t>CONCLUSION</w:t>
      </w:r>
      <w:r w:rsidR="00577B56" w:rsidRPr="00F814AD">
        <w:rPr>
          <w:b/>
          <w:color w:val="000000"/>
          <w:sz w:val="20"/>
          <w:szCs w:val="20"/>
          <w:lang w:eastAsia="fr-FR"/>
        </w:rPr>
        <w:t> :</w:t>
      </w:r>
    </w:p>
    <w:p w:rsidR="003A4D51" w:rsidRPr="0098145B" w:rsidRDefault="003A4D51" w:rsidP="003A4D51">
      <w:pPr>
        <w:jc w:val="both"/>
        <w:rPr>
          <w:sz w:val="18"/>
          <w:szCs w:val="18"/>
        </w:rPr>
      </w:pPr>
      <w:r w:rsidRPr="0098145B">
        <w:rPr>
          <w:sz w:val="18"/>
          <w:szCs w:val="18"/>
        </w:rPr>
        <w:t>La prise en charge des TMO chez le patient hémodialysé chronique reste un domaine complexe et en constante évolution. Les dernières recommandations de KDIGO permettent d'appliquer une stratégie thérapeutique individualisée afin d'optimiser la prise en charge de ces troubles. Toutefois, dans un contexte socio-économique délicat, les recommandations sont difficiles à atteindre dans notre contexte. Donc le pourcentage de patients qui obéissent aux critères demeure non satisfaisant.</w:t>
      </w:r>
    </w:p>
    <w:p w:rsidR="00577B56" w:rsidRPr="00F814AD" w:rsidRDefault="00577B56" w:rsidP="000B24E4">
      <w:pPr>
        <w:jc w:val="both"/>
        <w:rPr>
          <w:sz w:val="20"/>
          <w:szCs w:val="20"/>
          <w:lang w:eastAsia="fr-FR"/>
        </w:rPr>
      </w:pPr>
    </w:p>
    <w:p w:rsidR="00577B56" w:rsidRPr="00F814AD" w:rsidRDefault="00577B56" w:rsidP="000B24E4">
      <w:pPr>
        <w:jc w:val="both"/>
        <w:rPr>
          <w:sz w:val="20"/>
          <w:szCs w:val="20"/>
          <w:lang w:eastAsia="fr-FR"/>
        </w:rPr>
      </w:pPr>
    </w:p>
    <w:p w:rsidR="000B24E4" w:rsidRDefault="000B24E4" w:rsidP="00F814AD">
      <w:pPr>
        <w:rPr>
          <w:sz w:val="20"/>
          <w:szCs w:val="20"/>
          <w:lang w:eastAsia="fr-FR"/>
        </w:rPr>
        <w:sectPr w:rsidR="000B24E4" w:rsidSect="00861DB1">
          <w:type w:val="continuous"/>
          <w:pgSz w:w="11906" w:h="16838" w:code="9"/>
          <w:pgMar w:top="1134" w:right="851" w:bottom="1418" w:left="1134" w:header="708" w:footer="708" w:gutter="0"/>
          <w:cols w:num="2" w:space="708"/>
          <w:docGrid w:linePitch="360"/>
        </w:sectPr>
      </w:pPr>
    </w:p>
    <w:p w:rsidR="00DB2943" w:rsidRPr="004E0EC1" w:rsidRDefault="00DB2943" w:rsidP="00F814AD">
      <w:pPr>
        <w:rPr>
          <w:b/>
          <w:sz w:val="20"/>
          <w:szCs w:val="20"/>
        </w:rPr>
      </w:pPr>
    </w:p>
    <w:p w:rsidR="00DB2943" w:rsidRPr="004E0EC1" w:rsidRDefault="00DB2943" w:rsidP="00F814AD">
      <w:pPr>
        <w:rPr>
          <w:b/>
          <w:sz w:val="20"/>
          <w:szCs w:val="20"/>
        </w:rPr>
      </w:pPr>
    </w:p>
    <w:p w:rsidR="007035C8" w:rsidRPr="004B6AE0" w:rsidRDefault="001723C9" w:rsidP="00F814AD">
      <w:pPr>
        <w:rPr>
          <w:b/>
          <w:sz w:val="20"/>
          <w:szCs w:val="20"/>
          <w:lang w:val="en-US"/>
        </w:rPr>
      </w:pPr>
      <w:r w:rsidRPr="004B6AE0">
        <w:rPr>
          <w:b/>
          <w:sz w:val="20"/>
          <w:szCs w:val="20"/>
          <w:lang w:val="en-US"/>
        </w:rPr>
        <w:t>REFERENCES</w:t>
      </w:r>
      <w:r w:rsidR="00577B56" w:rsidRPr="004B6AE0">
        <w:rPr>
          <w:b/>
          <w:sz w:val="20"/>
          <w:szCs w:val="20"/>
          <w:lang w:val="en-US"/>
        </w:rPr>
        <w:t>:</w:t>
      </w:r>
    </w:p>
    <w:p w:rsidR="003A4D51" w:rsidRPr="0098145B" w:rsidRDefault="003A4D51" w:rsidP="003A4D51">
      <w:pPr>
        <w:pStyle w:val="Default"/>
        <w:jc w:val="both"/>
        <w:rPr>
          <w:sz w:val="18"/>
          <w:szCs w:val="18"/>
        </w:rPr>
      </w:pPr>
      <w:r w:rsidRPr="0098145B">
        <w:rPr>
          <w:sz w:val="18"/>
          <w:szCs w:val="18"/>
        </w:rPr>
        <w:t xml:space="preserve">1. </w:t>
      </w:r>
      <w:proofErr w:type="spellStart"/>
      <w:r w:rsidRPr="0098145B">
        <w:rPr>
          <w:sz w:val="18"/>
          <w:szCs w:val="18"/>
        </w:rPr>
        <w:t>Laradi</w:t>
      </w:r>
      <w:proofErr w:type="spellEnd"/>
      <w:r w:rsidRPr="0098145B">
        <w:rPr>
          <w:sz w:val="18"/>
          <w:szCs w:val="18"/>
        </w:rPr>
        <w:t xml:space="preserve"> A, Babinet F. Profil épidémiologique et statut phosphocalcique des patients incidents pris en dialyse entre octobre 2010 et avril 2011. Néphrologie et thérapeutique. 2011;7(5): 421.</w:t>
      </w:r>
    </w:p>
    <w:p w:rsidR="003A4D51" w:rsidRPr="0098145B" w:rsidRDefault="003A4D51" w:rsidP="003A4D51">
      <w:pPr>
        <w:pStyle w:val="Default"/>
        <w:jc w:val="both"/>
        <w:rPr>
          <w:sz w:val="18"/>
          <w:szCs w:val="18"/>
        </w:rPr>
      </w:pPr>
      <w:r w:rsidRPr="0098145B">
        <w:rPr>
          <w:sz w:val="18"/>
          <w:szCs w:val="18"/>
        </w:rPr>
        <w:t xml:space="preserve">2.  </w:t>
      </w:r>
      <w:proofErr w:type="spellStart"/>
      <w:r w:rsidRPr="0098145B">
        <w:rPr>
          <w:sz w:val="18"/>
          <w:szCs w:val="18"/>
        </w:rPr>
        <w:t>Zellama</w:t>
      </w:r>
      <w:proofErr w:type="spellEnd"/>
      <w:r w:rsidRPr="0098145B">
        <w:rPr>
          <w:sz w:val="18"/>
          <w:szCs w:val="18"/>
        </w:rPr>
        <w:t xml:space="preserve">  D et coll.  </w:t>
      </w:r>
      <w:r w:rsidRPr="0098145B">
        <w:rPr>
          <w:bCs/>
          <w:sz w:val="18"/>
          <w:szCs w:val="18"/>
        </w:rPr>
        <w:t xml:space="preserve">Evaluation des troubles du métabolisme minéral et osseux dans une population de patients  hémodialyses, selon les recommandations des  KDIGO et KDOQI.   </w:t>
      </w:r>
      <w:r w:rsidRPr="0098145B">
        <w:rPr>
          <w:sz w:val="18"/>
          <w:szCs w:val="18"/>
        </w:rPr>
        <w:t>Dialyse / Néphrologie &amp; Thérapeutique. 2011 ; 7 : 301–343.</w:t>
      </w:r>
    </w:p>
    <w:p w:rsidR="003A4D51" w:rsidRPr="0098145B" w:rsidRDefault="003A4D51" w:rsidP="003A4D51">
      <w:pPr>
        <w:pStyle w:val="Default"/>
        <w:jc w:val="both"/>
        <w:rPr>
          <w:sz w:val="18"/>
          <w:szCs w:val="18"/>
        </w:rPr>
      </w:pPr>
    </w:p>
    <w:p w:rsidR="003A4D51" w:rsidRPr="0098145B" w:rsidRDefault="003A4D51" w:rsidP="003A4D51">
      <w:pPr>
        <w:autoSpaceDE w:val="0"/>
        <w:autoSpaceDN w:val="0"/>
        <w:adjustRightInd w:val="0"/>
        <w:jc w:val="both"/>
        <w:rPr>
          <w:bCs/>
          <w:color w:val="4D4D4D"/>
          <w:sz w:val="18"/>
          <w:szCs w:val="18"/>
        </w:rPr>
      </w:pPr>
      <w:r w:rsidRPr="0098145B">
        <w:rPr>
          <w:sz w:val="18"/>
          <w:szCs w:val="18"/>
        </w:rPr>
        <w:t xml:space="preserve">3.  </w:t>
      </w:r>
      <w:proofErr w:type="spellStart"/>
      <w:r w:rsidRPr="0098145B">
        <w:rPr>
          <w:sz w:val="18"/>
          <w:szCs w:val="18"/>
        </w:rPr>
        <w:t>Said</w:t>
      </w:r>
      <w:proofErr w:type="spellEnd"/>
      <w:r w:rsidRPr="0098145B">
        <w:rPr>
          <w:sz w:val="18"/>
          <w:szCs w:val="18"/>
        </w:rPr>
        <w:t xml:space="preserve"> Kamel, </w:t>
      </w:r>
      <w:proofErr w:type="spellStart"/>
      <w:r w:rsidRPr="0098145B">
        <w:rPr>
          <w:sz w:val="18"/>
          <w:szCs w:val="18"/>
        </w:rPr>
        <w:t>Tilman</w:t>
      </w:r>
      <w:proofErr w:type="spellEnd"/>
      <w:r w:rsidRPr="0098145B">
        <w:rPr>
          <w:sz w:val="18"/>
          <w:szCs w:val="18"/>
        </w:rPr>
        <w:t xml:space="preserve"> </w:t>
      </w:r>
      <w:proofErr w:type="spellStart"/>
      <w:r w:rsidRPr="0098145B">
        <w:rPr>
          <w:sz w:val="18"/>
          <w:szCs w:val="18"/>
        </w:rPr>
        <w:t>Druekea</w:t>
      </w:r>
      <w:proofErr w:type="spellEnd"/>
      <w:r w:rsidRPr="0098145B">
        <w:rPr>
          <w:sz w:val="18"/>
          <w:szCs w:val="18"/>
        </w:rPr>
        <w:t xml:space="preserve">,  </w:t>
      </w:r>
      <w:proofErr w:type="spellStart"/>
      <w:r w:rsidRPr="0098145B">
        <w:rPr>
          <w:sz w:val="18"/>
          <w:szCs w:val="18"/>
        </w:rPr>
        <w:t>Ziad</w:t>
      </w:r>
      <w:proofErr w:type="spellEnd"/>
      <w:r w:rsidRPr="0098145B">
        <w:rPr>
          <w:sz w:val="18"/>
          <w:szCs w:val="18"/>
        </w:rPr>
        <w:t xml:space="preserve"> Massy. Troubles minéraux et osseux de la maladie rénale chronique (TMO-MRC) :</w:t>
      </w:r>
      <w:r w:rsidRPr="0098145B">
        <w:rPr>
          <w:b/>
          <w:bCs/>
          <w:color w:val="4D4D4D"/>
          <w:sz w:val="18"/>
          <w:szCs w:val="18"/>
        </w:rPr>
        <w:t xml:space="preserve"> </w:t>
      </w:r>
      <w:r w:rsidRPr="0098145B">
        <w:rPr>
          <w:bCs/>
          <w:sz w:val="18"/>
          <w:szCs w:val="18"/>
        </w:rPr>
        <w:t>revue francophone des laboratoires - septembre-octobre 2013 - n°455.</w:t>
      </w:r>
    </w:p>
    <w:p w:rsidR="003A4D51" w:rsidRPr="0098145B" w:rsidRDefault="003A4D51" w:rsidP="003A4D51">
      <w:pPr>
        <w:jc w:val="both"/>
        <w:rPr>
          <w:sz w:val="18"/>
          <w:szCs w:val="18"/>
        </w:rPr>
      </w:pPr>
      <w:r w:rsidRPr="0098145B">
        <w:rPr>
          <w:bCs/>
          <w:color w:val="4D4D4D"/>
          <w:sz w:val="18"/>
          <w:szCs w:val="18"/>
        </w:rPr>
        <w:t>4.</w:t>
      </w:r>
      <w:r w:rsidRPr="0098145B">
        <w:rPr>
          <w:sz w:val="18"/>
          <w:szCs w:val="18"/>
        </w:rPr>
        <w:t xml:space="preserve">  Haute autorité de santé « évaluation médico-économique des stratégies de prise en charge de l’insuffisance rénale en France » (2010).</w:t>
      </w:r>
    </w:p>
    <w:p w:rsidR="003A4D51" w:rsidRPr="0098145B" w:rsidRDefault="003A4D51" w:rsidP="003A4D51">
      <w:pPr>
        <w:autoSpaceDE w:val="0"/>
        <w:autoSpaceDN w:val="0"/>
        <w:adjustRightInd w:val="0"/>
        <w:jc w:val="both"/>
        <w:rPr>
          <w:bCs/>
          <w:iCs/>
          <w:sz w:val="18"/>
          <w:szCs w:val="18"/>
        </w:rPr>
      </w:pPr>
      <w:r w:rsidRPr="0098145B">
        <w:rPr>
          <w:bCs/>
          <w:iCs/>
          <w:sz w:val="18"/>
          <w:szCs w:val="18"/>
        </w:rPr>
        <w:lastRenderedPageBreak/>
        <w:t>5. Rapport annuel 2009.  « </w:t>
      </w:r>
      <w:proofErr w:type="spellStart"/>
      <w:r w:rsidRPr="0098145B">
        <w:rPr>
          <w:bCs/>
          <w:iCs/>
          <w:sz w:val="18"/>
          <w:szCs w:val="18"/>
        </w:rPr>
        <w:t>Reseau</w:t>
      </w:r>
      <w:proofErr w:type="spellEnd"/>
      <w:r w:rsidRPr="0098145B">
        <w:rPr>
          <w:bCs/>
          <w:iCs/>
          <w:sz w:val="18"/>
          <w:szCs w:val="18"/>
        </w:rPr>
        <w:t xml:space="preserve"> Epidémiologique et Information en Néphrologie » (2009) ;</w:t>
      </w:r>
    </w:p>
    <w:p w:rsidR="003A4D51" w:rsidRPr="0098145B" w:rsidRDefault="003A4D51" w:rsidP="003A4D51">
      <w:pPr>
        <w:autoSpaceDE w:val="0"/>
        <w:autoSpaceDN w:val="0"/>
        <w:adjustRightInd w:val="0"/>
        <w:jc w:val="both"/>
        <w:rPr>
          <w:sz w:val="18"/>
          <w:szCs w:val="18"/>
        </w:rPr>
      </w:pPr>
      <w:r w:rsidRPr="0098145B">
        <w:rPr>
          <w:color w:val="000000"/>
          <w:sz w:val="18"/>
          <w:szCs w:val="18"/>
        </w:rPr>
        <w:t xml:space="preserve">6. Marie </w:t>
      </w:r>
      <w:proofErr w:type="spellStart"/>
      <w:proofErr w:type="gramStart"/>
      <w:r w:rsidRPr="0098145B">
        <w:rPr>
          <w:color w:val="000000"/>
          <w:sz w:val="18"/>
          <w:szCs w:val="18"/>
        </w:rPr>
        <w:t>Courbebaisse</w:t>
      </w:r>
      <w:proofErr w:type="spellEnd"/>
      <w:r w:rsidRPr="0098145B">
        <w:rPr>
          <w:color w:val="000000"/>
          <w:sz w:val="18"/>
          <w:szCs w:val="18"/>
        </w:rPr>
        <w:t xml:space="preserve"> </w:t>
      </w:r>
      <w:r w:rsidRPr="0098145B">
        <w:rPr>
          <w:color w:val="000066"/>
          <w:sz w:val="18"/>
          <w:szCs w:val="18"/>
        </w:rPr>
        <w:t>,</w:t>
      </w:r>
      <w:proofErr w:type="gramEnd"/>
      <w:r w:rsidRPr="0098145B">
        <w:rPr>
          <w:color w:val="000000"/>
          <w:sz w:val="18"/>
          <w:szCs w:val="18"/>
        </w:rPr>
        <w:t xml:space="preserve"> Jean-Claude </w:t>
      </w:r>
      <w:proofErr w:type="spellStart"/>
      <w:r w:rsidRPr="0098145B">
        <w:rPr>
          <w:color w:val="000000"/>
          <w:sz w:val="18"/>
          <w:szCs w:val="18"/>
        </w:rPr>
        <w:t>Souberbielle</w:t>
      </w:r>
      <w:proofErr w:type="spellEnd"/>
      <w:r w:rsidRPr="0098145B">
        <w:rPr>
          <w:color w:val="000000"/>
          <w:sz w:val="18"/>
          <w:szCs w:val="18"/>
        </w:rPr>
        <w:t xml:space="preserve"> . </w:t>
      </w:r>
      <w:r w:rsidRPr="0098145B">
        <w:rPr>
          <w:sz w:val="18"/>
          <w:szCs w:val="18"/>
        </w:rPr>
        <w:t xml:space="preserve">Equilibre phosphocalcique : régulation et explorations. </w:t>
      </w:r>
      <w:r w:rsidRPr="0098145B">
        <w:rPr>
          <w:color w:val="000066"/>
          <w:sz w:val="18"/>
          <w:szCs w:val="18"/>
        </w:rPr>
        <w:t xml:space="preserve"> </w:t>
      </w:r>
      <w:r w:rsidRPr="0098145B">
        <w:rPr>
          <w:sz w:val="18"/>
          <w:szCs w:val="18"/>
        </w:rPr>
        <w:t>Néphrologie &amp; thérapeutique.  2011 ; 7 : 118–138.</w:t>
      </w:r>
    </w:p>
    <w:p w:rsidR="003A4D51" w:rsidRPr="0098145B" w:rsidRDefault="003A4D51" w:rsidP="008B1A80">
      <w:pPr>
        <w:shd w:val="clear" w:color="auto" w:fill="FFFFFF"/>
        <w:ind w:right="570"/>
        <w:jc w:val="both"/>
        <w:rPr>
          <w:rFonts w:eastAsia="Arial Unicode MS"/>
          <w:iCs/>
          <w:sz w:val="18"/>
          <w:szCs w:val="18"/>
          <w:lang w:eastAsia="fr-FR"/>
        </w:rPr>
      </w:pPr>
      <w:r w:rsidRPr="0098145B">
        <w:rPr>
          <w:sz w:val="18"/>
          <w:szCs w:val="18"/>
        </w:rPr>
        <w:t xml:space="preserve">7.  </w:t>
      </w:r>
      <w:r w:rsidRPr="0098145B">
        <w:rPr>
          <w:bCs/>
          <w:color w:val="000000"/>
          <w:sz w:val="18"/>
          <w:szCs w:val="18"/>
        </w:rPr>
        <w:t>Spas-</w:t>
      </w:r>
      <w:proofErr w:type="spellStart"/>
      <w:r w:rsidRPr="0098145B">
        <w:rPr>
          <w:bCs/>
          <w:color w:val="000000"/>
          <w:sz w:val="18"/>
          <w:szCs w:val="18"/>
        </w:rPr>
        <w:t>Defasque</w:t>
      </w:r>
      <w:proofErr w:type="spellEnd"/>
      <w:r w:rsidRPr="0098145B">
        <w:rPr>
          <w:bCs/>
          <w:color w:val="000000"/>
          <w:sz w:val="18"/>
          <w:szCs w:val="18"/>
        </w:rPr>
        <w:t xml:space="preserve"> E, Lefebvre G, </w:t>
      </w:r>
      <w:proofErr w:type="spellStart"/>
      <w:r w:rsidRPr="0098145B">
        <w:rPr>
          <w:bCs/>
          <w:color w:val="000000"/>
          <w:sz w:val="18"/>
          <w:szCs w:val="18"/>
        </w:rPr>
        <w:t>Herbinet</w:t>
      </w:r>
      <w:proofErr w:type="spellEnd"/>
      <w:r w:rsidRPr="0098145B">
        <w:rPr>
          <w:bCs/>
          <w:color w:val="000000"/>
          <w:sz w:val="18"/>
          <w:szCs w:val="18"/>
        </w:rPr>
        <w:t xml:space="preserve"> P, </w:t>
      </w:r>
      <w:proofErr w:type="spellStart"/>
      <w:r w:rsidRPr="0098145B">
        <w:rPr>
          <w:bCs/>
          <w:color w:val="000000"/>
          <w:sz w:val="18"/>
          <w:szCs w:val="18"/>
        </w:rPr>
        <w:t>Cotten</w:t>
      </w:r>
      <w:proofErr w:type="spellEnd"/>
      <w:r w:rsidRPr="0098145B">
        <w:rPr>
          <w:b/>
          <w:bCs/>
          <w:sz w:val="18"/>
          <w:szCs w:val="18"/>
        </w:rPr>
        <w:t xml:space="preserve">  </w:t>
      </w:r>
      <w:proofErr w:type="spellStart"/>
      <w:r w:rsidRPr="0098145B">
        <w:rPr>
          <w:bCs/>
          <w:sz w:val="18"/>
          <w:szCs w:val="18"/>
        </w:rPr>
        <w:t>A</w:t>
      </w:r>
      <w:r w:rsidRPr="0098145B">
        <w:rPr>
          <w:sz w:val="18"/>
          <w:szCs w:val="18"/>
        </w:rPr>
        <w:t>.Troubles</w:t>
      </w:r>
      <w:proofErr w:type="spellEnd"/>
      <w:r w:rsidRPr="0098145B">
        <w:rPr>
          <w:sz w:val="18"/>
          <w:szCs w:val="18"/>
        </w:rPr>
        <w:t xml:space="preserve"> minéraux et osseux associés à la maladie rénale chronique </w:t>
      </w:r>
      <w:r w:rsidRPr="0098145B">
        <w:rPr>
          <w:rFonts w:eastAsia="Arial Unicode MS"/>
          <w:iCs/>
          <w:sz w:val="18"/>
          <w:szCs w:val="18"/>
          <w:lang w:eastAsia="fr-FR"/>
        </w:rPr>
        <w:t xml:space="preserve">Imagerie </w:t>
      </w:r>
      <w:proofErr w:type="spellStart"/>
      <w:r w:rsidRPr="0098145B">
        <w:rPr>
          <w:rFonts w:eastAsia="Arial Unicode MS"/>
          <w:iCs/>
          <w:sz w:val="18"/>
          <w:szCs w:val="18"/>
          <w:lang w:eastAsia="fr-FR"/>
        </w:rPr>
        <w:t>musculosquelettique</w:t>
      </w:r>
      <w:proofErr w:type="spellEnd"/>
      <w:r w:rsidRPr="0098145B">
        <w:rPr>
          <w:rFonts w:eastAsia="Arial Unicode MS"/>
          <w:iCs/>
          <w:sz w:val="18"/>
          <w:szCs w:val="18"/>
          <w:lang w:eastAsia="fr-FR"/>
        </w:rPr>
        <w:t>. Pathologies générales. Paris : Masson  2013 ; 2 : 445-460.</w:t>
      </w:r>
    </w:p>
    <w:p w:rsidR="003A4D51" w:rsidRPr="0098145B" w:rsidRDefault="003A4D51" w:rsidP="003A4D51">
      <w:pPr>
        <w:autoSpaceDE w:val="0"/>
        <w:autoSpaceDN w:val="0"/>
        <w:adjustRightInd w:val="0"/>
        <w:jc w:val="both"/>
        <w:rPr>
          <w:sz w:val="18"/>
          <w:szCs w:val="18"/>
        </w:rPr>
      </w:pPr>
      <w:r w:rsidRPr="0098145B">
        <w:rPr>
          <w:sz w:val="18"/>
          <w:szCs w:val="18"/>
        </w:rPr>
        <w:t xml:space="preserve">8. </w:t>
      </w:r>
      <w:proofErr w:type="spellStart"/>
      <w:r w:rsidRPr="0098145B">
        <w:rPr>
          <w:sz w:val="18"/>
          <w:szCs w:val="18"/>
        </w:rPr>
        <w:t>Parvex</w:t>
      </w:r>
      <w:proofErr w:type="spellEnd"/>
      <w:r w:rsidRPr="0098145B">
        <w:rPr>
          <w:sz w:val="18"/>
          <w:szCs w:val="18"/>
        </w:rPr>
        <w:t xml:space="preserve"> P.  </w:t>
      </w:r>
      <w:proofErr w:type="spellStart"/>
      <w:proofErr w:type="gramStart"/>
      <w:r w:rsidRPr="0098145B">
        <w:rPr>
          <w:sz w:val="18"/>
          <w:szCs w:val="18"/>
        </w:rPr>
        <w:t>hyperparathyroidie</w:t>
      </w:r>
      <w:proofErr w:type="spellEnd"/>
      <w:proofErr w:type="gramEnd"/>
      <w:r w:rsidRPr="0098145B">
        <w:rPr>
          <w:sz w:val="18"/>
          <w:szCs w:val="18"/>
        </w:rPr>
        <w:t xml:space="preserve"> et </w:t>
      </w:r>
      <w:proofErr w:type="spellStart"/>
      <w:r w:rsidRPr="0098145B">
        <w:rPr>
          <w:sz w:val="18"/>
          <w:szCs w:val="18"/>
        </w:rPr>
        <w:t>ostéodystrophie</w:t>
      </w:r>
      <w:proofErr w:type="spellEnd"/>
      <w:r w:rsidRPr="0098145B">
        <w:rPr>
          <w:sz w:val="18"/>
          <w:szCs w:val="18"/>
        </w:rPr>
        <w:t xml:space="preserve"> rénale. In: </w:t>
      </w:r>
      <w:proofErr w:type="spellStart"/>
      <w:r w:rsidRPr="0098145B">
        <w:rPr>
          <w:sz w:val="18"/>
          <w:szCs w:val="18"/>
        </w:rPr>
        <w:t>Cochat</w:t>
      </w:r>
      <w:proofErr w:type="spellEnd"/>
      <w:r w:rsidRPr="0098145B">
        <w:rPr>
          <w:sz w:val="18"/>
          <w:szCs w:val="18"/>
        </w:rPr>
        <w:t xml:space="preserve"> P, editor. Néphrologie pédiatrique. Paris : </w:t>
      </w:r>
      <w:proofErr w:type="spellStart"/>
      <w:r w:rsidRPr="0098145B">
        <w:rPr>
          <w:sz w:val="18"/>
          <w:szCs w:val="18"/>
        </w:rPr>
        <w:t>Doin</w:t>
      </w:r>
      <w:proofErr w:type="spellEnd"/>
      <w:r w:rsidRPr="0098145B">
        <w:rPr>
          <w:sz w:val="18"/>
          <w:szCs w:val="18"/>
        </w:rPr>
        <w:t xml:space="preserve"> ; 2011 ; 104-109.</w:t>
      </w:r>
    </w:p>
    <w:p w:rsidR="003A4D51" w:rsidRPr="0098145B" w:rsidRDefault="003A4D51" w:rsidP="003A4D51">
      <w:pPr>
        <w:pStyle w:val="Default"/>
        <w:jc w:val="both"/>
        <w:rPr>
          <w:sz w:val="18"/>
          <w:szCs w:val="18"/>
        </w:rPr>
      </w:pPr>
      <w:r w:rsidRPr="0098145B">
        <w:rPr>
          <w:sz w:val="18"/>
          <w:szCs w:val="18"/>
        </w:rPr>
        <w:t xml:space="preserve">9. Philippe Chauveau, Michel </w:t>
      </w:r>
      <w:proofErr w:type="spellStart"/>
      <w:r w:rsidRPr="0098145B">
        <w:rPr>
          <w:sz w:val="18"/>
          <w:szCs w:val="18"/>
        </w:rPr>
        <w:t>Aparicio</w:t>
      </w:r>
      <w:proofErr w:type="spellEnd"/>
      <w:r w:rsidRPr="0098145B">
        <w:rPr>
          <w:sz w:val="18"/>
          <w:szCs w:val="18"/>
        </w:rPr>
        <w:t>.  Ethnicité et vitamine D. Néphrologie &amp; thérapeutique. 2013 </w:t>
      </w:r>
      <w:proofErr w:type="gramStart"/>
      <w:r w:rsidRPr="0098145B">
        <w:rPr>
          <w:sz w:val="18"/>
          <w:szCs w:val="18"/>
        </w:rPr>
        <w:t>;9</w:t>
      </w:r>
      <w:proofErr w:type="gramEnd"/>
      <w:r w:rsidRPr="0098145B">
        <w:rPr>
          <w:sz w:val="18"/>
          <w:szCs w:val="18"/>
        </w:rPr>
        <w:t> : 398–402.</w:t>
      </w:r>
    </w:p>
    <w:p w:rsidR="003A4D51" w:rsidRPr="0098145B" w:rsidRDefault="003A4D51" w:rsidP="003A4D51">
      <w:pPr>
        <w:pStyle w:val="Default"/>
        <w:jc w:val="both"/>
        <w:rPr>
          <w:sz w:val="18"/>
          <w:szCs w:val="18"/>
        </w:rPr>
      </w:pPr>
      <w:r w:rsidRPr="0098145B">
        <w:rPr>
          <w:sz w:val="18"/>
          <w:szCs w:val="18"/>
        </w:rPr>
        <w:t xml:space="preserve">10. Fabrice Mac, </w:t>
      </w:r>
      <w:proofErr w:type="spellStart"/>
      <w:r w:rsidRPr="0098145B">
        <w:rPr>
          <w:sz w:val="18"/>
          <w:szCs w:val="18"/>
        </w:rPr>
        <w:t>Way</w:t>
      </w:r>
      <w:proofErr w:type="spellEnd"/>
      <w:r w:rsidRPr="0098145B">
        <w:rPr>
          <w:sz w:val="18"/>
          <w:szCs w:val="18"/>
        </w:rPr>
        <w:t xml:space="preserve"> Myriam, Lessard  Marie-Hélène,  </w:t>
      </w:r>
      <w:proofErr w:type="spellStart"/>
      <w:r w:rsidRPr="0098145B">
        <w:rPr>
          <w:sz w:val="18"/>
          <w:szCs w:val="18"/>
        </w:rPr>
        <w:t>Lafage</w:t>
      </w:r>
      <w:proofErr w:type="spellEnd"/>
      <w:r w:rsidRPr="0098145B">
        <w:rPr>
          <w:sz w:val="18"/>
          <w:szCs w:val="18"/>
        </w:rPr>
        <w:t>-</w:t>
      </w:r>
      <w:proofErr w:type="gramStart"/>
      <w:r w:rsidRPr="0098145B">
        <w:rPr>
          <w:sz w:val="18"/>
          <w:szCs w:val="18"/>
        </w:rPr>
        <w:t>Proust .</w:t>
      </w:r>
      <w:proofErr w:type="gramEnd"/>
      <w:r w:rsidRPr="0098145B">
        <w:rPr>
          <w:sz w:val="18"/>
          <w:szCs w:val="18"/>
        </w:rPr>
        <w:t xml:space="preserve"> Physiopathologie de l’</w:t>
      </w:r>
      <w:proofErr w:type="spellStart"/>
      <w:r w:rsidRPr="0098145B">
        <w:rPr>
          <w:sz w:val="18"/>
          <w:szCs w:val="18"/>
        </w:rPr>
        <w:t>ostéodystrophie</w:t>
      </w:r>
      <w:proofErr w:type="spellEnd"/>
      <w:r w:rsidRPr="0098145B">
        <w:rPr>
          <w:sz w:val="18"/>
          <w:szCs w:val="18"/>
        </w:rPr>
        <w:t xml:space="preserve"> rénale. Revue du rhumatisme.  2012 ; 79 : 18-21.</w:t>
      </w:r>
    </w:p>
    <w:p w:rsidR="00344A5F" w:rsidRDefault="00344A5F" w:rsidP="001723C9">
      <w:pPr>
        <w:jc w:val="both"/>
        <w:rPr>
          <w:b/>
          <w:sz w:val="20"/>
          <w:szCs w:val="20"/>
        </w:rPr>
        <w:sectPr w:rsidR="00344A5F" w:rsidSect="00861DB1">
          <w:type w:val="continuous"/>
          <w:pgSz w:w="11906" w:h="16838" w:code="9"/>
          <w:pgMar w:top="1134" w:right="851" w:bottom="1418" w:left="1134" w:header="708" w:footer="708" w:gutter="0"/>
          <w:cols w:num="2" w:space="708"/>
          <w:docGrid w:linePitch="360"/>
        </w:sectPr>
      </w:pPr>
    </w:p>
    <w:p w:rsidR="00BD37EB" w:rsidRDefault="00BD37EB" w:rsidP="001723C9">
      <w:pPr>
        <w:jc w:val="both"/>
        <w:rPr>
          <w:b/>
          <w:sz w:val="20"/>
          <w:szCs w:val="20"/>
        </w:rPr>
        <w:sectPr w:rsidR="00BD37EB" w:rsidSect="00861DB1">
          <w:type w:val="continuous"/>
          <w:pgSz w:w="11906" w:h="16838" w:code="9"/>
          <w:pgMar w:top="1134" w:right="851" w:bottom="1418" w:left="1134" w:header="708" w:footer="708" w:gutter="0"/>
          <w:cols w:num="2" w:space="708"/>
          <w:docGrid w:linePitch="360"/>
        </w:sectPr>
      </w:pPr>
    </w:p>
    <w:p w:rsidR="00861DB1" w:rsidRDefault="00861DB1" w:rsidP="001723C9">
      <w:pPr>
        <w:jc w:val="both"/>
        <w:rPr>
          <w:b/>
          <w:sz w:val="20"/>
          <w:szCs w:val="20"/>
        </w:rPr>
        <w:sectPr w:rsidR="00861DB1" w:rsidSect="008B1A80">
          <w:type w:val="continuous"/>
          <w:pgSz w:w="11906" w:h="16838" w:code="9"/>
          <w:pgMar w:top="1134" w:right="851" w:bottom="1418" w:left="1134" w:header="708" w:footer="708" w:gutter="0"/>
          <w:cols w:space="708"/>
          <w:docGrid w:linePitch="360"/>
        </w:sectPr>
      </w:pPr>
    </w:p>
    <w:p w:rsidR="00AD11AE" w:rsidRPr="00F814AD" w:rsidRDefault="00AD11AE" w:rsidP="001723C9">
      <w:pPr>
        <w:jc w:val="both"/>
        <w:rPr>
          <w:b/>
          <w:sz w:val="20"/>
          <w:szCs w:val="20"/>
        </w:rPr>
      </w:pPr>
    </w:p>
    <w:p w:rsidR="008B1A80" w:rsidRDefault="008B1A80" w:rsidP="00F814AD">
      <w:pPr>
        <w:rPr>
          <w:b/>
          <w:sz w:val="20"/>
          <w:szCs w:val="20"/>
        </w:rPr>
        <w:sectPr w:rsidR="008B1A80" w:rsidSect="008B1A80">
          <w:type w:val="continuous"/>
          <w:pgSz w:w="11906" w:h="16838" w:code="9"/>
          <w:pgMar w:top="1134" w:right="851" w:bottom="1418" w:left="1134" w:header="708" w:footer="708" w:gutter="0"/>
          <w:cols w:space="708"/>
          <w:docGrid w:linePitch="360"/>
        </w:sectPr>
      </w:pPr>
    </w:p>
    <w:p w:rsidR="007035C8" w:rsidRDefault="007035C8" w:rsidP="00F814AD">
      <w:pPr>
        <w:rPr>
          <w:b/>
          <w:sz w:val="20"/>
          <w:szCs w:val="20"/>
        </w:rPr>
      </w:pPr>
    </w:p>
    <w:sectPr w:rsidR="007035C8" w:rsidSect="00C73C7E">
      <w:type w:val="continuous"/>
      <w:pgSz w:w="11906" w:h="16838" w:code="9"/>
      <w:pgMar w:top="1134" w:right="851" w:bottom="1418"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C3B7A"/>
    <w:multiLevelType w:val="hybridMultilevel"/>
    <w:tmpl w:val="DE0E425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577B56"/>
    <w:rsid w:val="00081B46"/>
    <w:rsid w:val="00091970"/>
    <w:rsid w:val="000A16F6"/>
    <w:rsid w:val="000A530F"/>
    <w:rsid w:val="000B24E4"/>
    <w:rsid w:val="000D2460"/>
    <w:rsid w:val="000D7F7F"/>
    <w:rsid w:val="00112FB5"/>
    <w:rsid w:val="001130DB"/>
    <w:rsid w:val="00131084"/>
    <w:rsid w:val="001345B4"/>
    <w:rsid w:val="001463A9"/>
    <w:rsid w:val="001559E2"/>
    <w:rsid w:val="001673C8"/>
    <w:rsid w:val="001723C9"/>
    <w:rsid w:val="002010A6"/>
    <w:rsid w:val="00261344"/>
    <w:rsid w:val="00270CE9"/>
    <w:rsid w:val="002D0C2A"/>
    <w:rsid w:val="00312FDF"/>
    <w:rsid w:val="00320276"/>
    <w:rsid w:val="003263DD"/>
    <w:rsid w:val="00334BAE"/>
    <w:rsid w:val="00344A5F"/>
    <w:rsid w:val="00374BAE"/>
    <w:rsid w:val="00381AD9"/>
    <w:rsid w:val="003A4D51"/>
    <w:rsid w:val="003E549E"/>
    <w:rsid w:val="003F796A"/>
    <w:rsid w:val="0040565C"/>
    <w:rsid w:val="00415BC0"/>
    <w:rsid w:val="00447F91"/>
    <w:rsid w:val="004504F5"/>
    <w:rsid w:val="00457CD3"/>
    <w:rsid w:val="00472720"/>
    <w:rsid w:val="004B6AE0"/>
    <w:rsid w:val="004E0EC1"/>
    <w:rsid w:val="004F551C"/>
    <w:rsid w:val="00554414"/>
    <w:rsid w:val="00565617"/>
    <w:rsid w:val="00577B56"/>
    <w:rsid w:val="005B67E6"/>
    <w:rsid w:val="005E16E5"/>
    <w:rsid w:val="005E728C"/>
    <w:rsid w:val="005F4843"/>
    <w:rsid w:val="00621662"/>
    <w:rsid w:val="006354BC"/>
    <w:rsid w:val="00665B2E"/>
    <w:rsid w:val="006678CD"/>
    <w:rsid w:val="00677DB3"/>
    <w:rsid w:val="006854A8"/>
    <w:rsid w:val="006A5D80"/>
    <w:rsid w:val="006E2CE3"/>
    <w:rsid w:val="006E5A42"/>
    <w:rsid w:val="006F3F7A"/>
    <w:rsid w:val="006F4CCC"/>
    <w:rsid w:val="006F6A5E"/>
    <w:rsid w:val="007035C8"/>
    <w:rsid w:val="00713083"/>
    <w:rsid w:val="0071491A"/>
    <w:rsid w:val="00760FFD"/>
    <w:rsid w:val="007A26F0"/>
    <w:rsid w:val="007D591B"/>
    <w:rsid w:val="00817B96"/>
    <w:rsid w:val="00861DB1"/>
    <w:rsid w:val="00881946"/>
    <w:rsid w:val="008A119E"/>
    <w:rsid w:val="008B1A80"/>
    <w:rsid w:val="008C13F6"/>
    <w:rsid w:val="008C5456"/>
    <w:rsid w:val="00940E2B"/>
    <w:rsid w:val="009604CA"/>
    <w:rsid w:val="00977A35"/>
    <w:rsid w:val="00981B33"/>
    <w:rsid w:val="00982169"/>
    <w:rsid w:val="00990D99"/>
    <w:rsid w:val="009B20A4"/>
    <w:rsid w:val="00A27146"/>
    <w:rsid w:val="00A944A1"/>
    <w:rsid w:val="00A96595"/>
    <w:rsid w:val="00AB1805"/>
    <w:rsid w:val="00AD11AE"/>
    <w:rsid w:val="00AD4519"/>
    <w:rsid w:val="00AE0260"/>
    <w:rsid w:val="00AF0BB1"/>
    <w:rsid w:val="00B029BC"/>
    <w:rsid w:val="00B1730D"/>
    <w:rsid w:val="00B443EE"/>
    <w:rsid w:val="00B65850"/>
    <w:rsid w:val="00B75DE5"/>
    <w:rsid w:val="00BB2455"/>
    <w:rsid w:val="00BD37EB"/>
    <w:rsid w:val="00C076B0"/>
    <w:rsid w:val="00C11AD0"/>
    <w:rsid w:val="00C43911"/>
    <w:rsid w:val="00C44F0E"/>
    <w:rsid w:val="00C72BE8"/>
    <w:rsid w:val="00C73C7E"/>
    <w:rsid w:val="00CA65DD"/>
    <w:rsid w:val="00D05ED1"/>
    <w:rsid w:val="00D12333"/>
    <w:rsid w:val="00D27E04"/>
    <w:rsid w:val="00D36367"/>
    <w:rsid w:val="00D414D5"/>
    <w:rsid w:val="00D460DB"/>
    <w:rsid w:val="00D565FF"/>
    <w:rsid w:val="00D65B3D"/>
    <w:rsid w:val="00DA1331"/>
    <w:rsid w:val="00DB2943"/>
    <w:rsid w:val="00DF5BE2"/>
    <w:rsid w:val="00E077D8"/>
    <w:rsid w:val="00E10BDD"/>
    <w:rsid w:val="00E10D65"/>
    <w:rsid w:val="00E167B0"/>
    <w:rsid w:val="00E26575"/>
    <w:rsid w:val="00E52354"/>
    <w:rsid w:val="00E977BD"/>
    <w:rsid w:val="00EC1B0C"/>
    <w:rsid w:val="00EC677A"/>
    <w:rsid w:val="00EF67CA"/>
    <w:rsid w:val="00F074A2"/>
    <w:rsid w:val="00F370EF"/>
    <w:rsid w:val="00F543A6"/>
    <w:rsid w:val="00F73941"/>
    <w:rsid w:val="00F753BE"/>
    <w:rsid w:val="00F814AD"/>
    <w:rsid w:val="00FB727C"/>
    <w:rsid w:val="00FD1693"/>
    <w:rsid w:val="00FD1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42994DC-E8B6-4A96-8390-B1B05D43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B56"/>
    <w:pPr>
      <w:spacing w:after="0" w:line="240" w:lineRule="auto"/>
    </w:pPr>
    <w:rPr>
      <w:rFonts w:ascii="Times New Roman" w:eastAsia="MS Mincho" w:hAnsi="Times New Roman" w:cs="Times New Roman"/>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77B56"/>
    <w:pPr>
      <w:autoSpaceDE w:val="0"/>
      <w:autoSpaceDN w:val="0"/>
      <w:adjustRightInd w:val="0"/>
      <w:spacing w:after="0" w:line="240" w:lineRule="auto"/>
    </w:pPr>
    <w:rPr>
      <w:rFonts w:ascii="Times New Roman" w:eastAsia="MS Mincho" w:hAnsi="Times New Roman" w:cs="Times New Roman"/>
      <w:color w:val="000000"/>
      <w:sz w:val="24"/>
      <w:szCs w:val="24"/>
      <w:lang w:eastAsia="fr-FR"/>
    </w:rPr>
  </w:style>
  <w:style w:type="character" w:customStyle="1" w:styleId="A2">
    <w:name w:val="A2"/>
    <w:uiPriority w:val="99"/>
    <w:rsid w:val="00577B56"/>
    <w:rPr>
      <w:color w:val="000000"/>
      <w:sz w:val="22"/>
      <w:szCs w:val="22"/>
    </w:rPr>
  </w:style>
  <w:style w:type="paragraph" w:customStyle="1" w:styleId="Pa2">
    <w:name w:val="Pa2"/>
    <w:basedOn w:val="Default"/>
    <w:next w:val="Default"/>
    <w:uiPriority w:val="99"/>
    <w:rsid w:val="00577B56"/>
    <w:pPr>
      <w:spacing w:line="241" w:lineRule="atLeast"/>
    </w:pPr>
    <w:rPr>
      <w:rFonts w:ascii="Arial" w:hAnsi="Arial" w:cs="Arial"/>
      <w:color w:val="auto"/>
    </w:rPr>
  </w:style>
  <w:style w:type="character" w:customStyle="1" w:styleId="A0">
    <w:name w:val="A0"/>
    <w:uiPriority w:val="99"/>
    <w:rsid w:val="00577B56"/>
    <w:rPr>
      <w:color w:val="000000"/>
      <w:sz w:val="20"/>
      <w:szCs w:val="20"/>
    </w:rPr>
  </w:style>
  <w:style w:type="table" w:styleId="Grilledutableau">
    <w:name w:val="Table Grid"/>
    <w:basedOn w:val="TableauNormal"/>
    <w:rsid w:val="00577B56"/>
    <w:pPr>
      <w:spacing w:after="0" w:line="240" w:lineRule="auto"/>
    </w:pPr>
    <w:rPr>
      <w:rFonts w:ascii="Times New Roman" w:eastAsia="MS Mincho"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HTML">
    <w:name w:val="HTML Preformatted"/>
    <w:basedOn w:val="Normal"/>
    <w:link w:val="PrformatHTMLCar"/>
    <w:uiPriority w:val="99"/>
    <w:unhideWhenUsed/>
    <w:rsid w:val="00577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577B56"/>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F753BE"/>
    <w:rPr>
      <w:rFonts w:ascii="Tahoma" w:hAnsi="Tahoma" w:cs="Tahoma"/>
      <w:sz w:val="16"/>
      <w:szCs w:val="16"/>
    </w:rPr>
  </w:style>
  <w:style w:type="character" w:customStyle="1" w:styleId="TextedebullesCar">
    <w:name w:val="Texte de bulles Car"/>
    <w:basedOn w:val="Policepardfaut"/>
    <w:link w:val="Textedebulles"/>
    <w:uiPriority w:val="99"/>
    <w:semiHidden/>
    <w:rsid w:val="00F753BE"/>
    <w:rPr>
      <w:rFonts w:ascii="Tahoma" w:eastAsia="MS Mincho" w:hAnsi="Tahoma" w:cs="Tahoma"/>
      <w:sz w:val="16"/>
      <w:szCs w:val="16"/>
      <w:lang w:eastAsia="ja-JP"/>
    </w:rPr>
  </w:style>
  <w:style w:type="paragraph" w:styleId="Bibliographie">
    <w:name w:val="Bibliography"/>
    <w:basedOn w:val="Normal"/>
    <w:next w:val="Normal"/>
    <w:uiPriority w:val="37"/>
    <w:unhideWhenUsed/>
    <w:rsid w:val="00AD11AE"/>
    <w:pPr>
      <w:tabs>
        <w:tab w:val="left" w:pos="504"/>
      </w:tabs>
      <w:spacing w:after="240"/>
      <w:ind w:left="504" w:hanging="504"/>
    </w:pPr>
  </w:style>
  <w:style w:type="character" w:customStyle="1" w:styleId="A1">
    <w:name w:val="A1"/>
    <w:uiPriority w:val="99"/>
    <w:rsid w:val="00AD11AE"/>
    <w:rPr>
      <w:rFonts w:cs="Bookman Old Style"/>
      <w:color w:val="000000"/>
      <w:sz w:val="18"/>
      <w:szCs w:val="18"/>
    </w:rPr>
  </w:style>
  <w:style w:type="character" w:customStyle="1" w:styleId="A3">
    <w:name w:val="A3"/>
    <w:uiPriority w:val="99"/>
    <w:rsid w:val="00AD11AE"/>
    <w:rPr>
      <w:rFonts w:cs="Bookman Old Style"/>
      <w:color w:val="000000"/>
      <w:sz w:val="10"/>
      <w:szCs w:val="10"/>
    </w:rPr>
  </w:style>
  <w:style w:type="character" w:styleId="Lienhypertexte">
    <w:name w:val="Hyperlink"/>
    <w:basedOn w:val="Policepardfaut"/>
    <w:uiPriority w:val="99"/>
    <w:unhideWhenUsed/>
    <w:rsid w:val="00F370EF"/>
    <w:rPr>
      <w:color w:val="0000FF" w:themeColor="hyperlink"/>
      <w:u w:val="single"/>
    </w:rPr>
  </w:style>
  <w:style w:type="paragraph" w:styleId="Titre">
    <w:name w:val="Title"/>
    <w:basedOn w:val="Normal"/>
    <w:next w:val="Normal"/>
    <w:link w:val="TitreCar"/>
    <w:uiPriority w:val="10"/>
    <w:qFormat/>
    <w:rsid w:val="007D591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7D591B"/>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7D591B"/>
    <w:pPr>
      <w:spacing w:after="200" w:line="276" w:lineRule="auto"/>
    </w:pPr>
    <w:rPr>
      <w:rFonts w:asciiTheme="majorHAnsi" w:eastAsiaTheme="majorEastAsia" w:hAnsiTheme="majorHAnsi" w:cstheme="majorBidi"/>
      <w:i/>
      <w:iCs/>
      <w:color w:val="4F81BD" w:themeColor="accent1"/>
      <w:spacing w:val="15"/>
      <w:lang w:val="en-US" w:eastAsia="en-US" w:bidi="en-US"/>
    </w:rPr>
  </w:style>
  <w:style w:type="character" w:customStyle="1" w:styleId="Sous-titreCar">
    <w:name w:val="Sous-titre Car"/>
    <w:basedOn w:val="Policepardfaut"/>
    <w:link w:val="Sous-titre"/>
    <w:uiPriority w:val="11"/>
    <w:rsid w:val="007D591B"/>
    <w:rPr>
      <w:rFonts w:asciiTheme="majorHAnsi" w:eastAsiaTheme="majorEastAsia" w:hAnsiTheme="majorHAnsi" w:cstheme="majorBidi"/>
      <w:i/>
      <w:iCs/>
      <w:color w:val="4F81BD" w:themeColor="accent1"/>
      <w:spacing w:val="15"/>
      <w:sz w:val="24"/>
      <w:szCs w:val="24"/>
      <w:lang w:val="en-US" w:bidi="en-US"/>
    </w:rPr>
  </w:style>
  <w:style w:type="table" w:styleId="Tramemoyenne1-Accent1">
    <w:name w:val="Medium Shading 1 Accent 1"/>
    <w:basedOn w:val="TableauNormal"/>
    <w:uiPriority w:val="63"/>
    <w:rsid w:val="00AB180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emoyenne1-Accent1">
    <w:name w:val="Medium List 1 Accent 1"/>
    <w:basedOn w:val="TableauNormal"/>
    <w:uiPriority w:val="65"/>
    <w:rsid w:val="00AB1805"/>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NormalWeb">
    <w:name w:val="Normal (Web)"/>
    <w:basedOn w:val="Normal"/>
    <w:uiPriority w:val="99"/>
    <w:unhideWhenUsed/>
    <w:rsid w:val="000D7F7F"/>
    <w:pPr>
      <w:spacing w:before="100" w:beforeAutospacing="1" w:after="100" w:afterAutospacing="1"/>
    </w:pPr>
    <w:rPr>
      <w:rFonts w:eastAsia="Times New Roman"/>
      <w:lang w:val="en-GB" w:eastAsia="en-GB" w:bidi="km-KH"/>
    </w:rPr>
  </w:style>
  <w:style w:type="paragraph" w:styleId="Paragraphedeliste">
    <w:name w:val="List Paragraph"/>
    <w:basedOn w:val="Normal"/>
    <w:uiPriority w:val="34"/>
    <w:qFormat/>
    <w:rsid w:val="000D7F7F"/>
    <w:pPr>
      <w:spacing w:after="200" w:line="276" w:lineRule="auto"/>
      <w:ind w:left="720"/>
      <w:contextualSpacing/>
    </w:pPr>
    <w:rPr>
      <w:rFonts w:ascii="Calibri" w:eastAsia="Calibri" w:hAnsi="Calibri"/>
      <w:sz w:val="22"/>
      <w:szCs w:val="22"/>
      <w:lang w:eastAsia="en-US"/>
    </w:rPr>
  </w:style>
  <w:style w:type="table" w:styleId="TableauGrille4-Accentuation1">
    <w:name w:val="Grid Table 4 Accent 1"/>
    <w:basedOn w:val="TableauNormal"/>
    <w:uiPriority w:val="49"/>
    <w:rsid w:val="008B1A80"/>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1">
    <w:name w:val="Grid Table 2 Accent 1"/>
    <w:basedOn w:val="TableauNormal"/>
    <w:uiPriority w:val="47"/>
    <w:rsid w:val="00565617"/>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lledetableauclaire">
    <w:name w:val="Grid Table Light"/>
    <w:basedOn w:val="TableauNormal"/>
    <w:uiPriority w:val="40"/>
    <w:rsid w:val="00861DB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FC216-9C35-421A-8ABA-264B2A043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4</Pages>
  <Words>2528</Words>
  <Characters>13908</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Ambroise</cp:lastModifiedBy>
  <cp:revision>17</cp:revision>
  <dcterms:created xsi:type="dcterms:W3CDTF">2018-09-20T07:17:00Z</dcterms:created>
  <dcterms:modified xsi:type="dcterms:W3CDTF">2019-09-28T14:14:00Z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zotero-version="5.0.55"&gt;&lt;session id="y1EbyVTH"/&gt;&lt;style id="http://www.zotero.org/styles/vancouver" locale="fr-FR" hasBibliography="1" bibliographyStyleHasBeenSet="1"/&gt;&lt;prefs&gt;&lt;pref name="fieldType" value="Field"/&gt;&lt;/prefs&gt;&lt;/data&gt;</vt:lpwstr>
  </property>
</Properties>
</file>