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C7E" w:rsidRPr="00C73C7E" w:rsidRDefault="00BA5703" w:rsidP="00A27146">
      <w:pPr>
        <w:spacing w:after="120"/>
        <w:jc w:val="both"/>
        <w:rPr>
          <w:noProof/>
          <w:szCs w:val="20"/>
        </w:rPr>
      </w:pPr>
      <w:r>
        <w:rPr>
          <w:noProof/>
          <w:szCs w:val="20"/>
        </w:rPr>
        <w:t>Tuberculose chez l’enfant à Donka</w:t>
      </w:r>
      <w:r w:rsidR="00A75D4C">
        <w:rPr>
          <w:noProof/>
          <w:szCs w:val="20"/>
        </w:rPr>
        <w:tab/>
      </w:r>
      <w:r w:rsidR="00E465E0">
        <w:rPr>
          <w:noProof/>
          <w:szCs w:val="20"/>
        </w:rPr>
        <w:tab/>
      </w:r>
      <w:r w:rsidR="00E465E0">
        <w:rPr>
          <w:noProof/>
          <w:szCs w:val="20"/>
        </w:rPr>
        <w:tab/>
      </w:r>
      <w:r w:rsidR="00A55265">
        <w:rPr>
          <w:noProof/>
          <w:szCs w:val="20"/>
        </w:rPr>
        <w:t xml:space="preserve">      </w:t>
      </w:r>
      <w:r>
        <w:rPr>
          <w:noProof/>
          <w:szCs w:val="20"/>
        </w:rPr>
        <w:tab/>
      </w:r>
      <w:r>
        <w:rPr>
          <w:noProof/>
          <w:szCs w:val="20"/>
        </w:rPr>
        <w:tab/>
      </w:r>
      <w:r>
        <w:rPr>
          <w:noProof/>
          <w:szCs w:val="20"/>
        </w:rPr>
        <w:tab/>
      </w:r>
      <w:r>
        <w:rPr>
          <w:noProof/>
          <w:szCs w:val="20"/>
        </w:rPr>
        <w:tab/>
        <w:t xml:space="preserve">   </w:t>
      </w:r>
      <w:r w:rsidR="00A75D4C">
        <w:rPr>
          <w:noProof/>
          <w:szCs w:val="20"/>
        </w:rPr>
        <w:t>B</w:t>
      </w:r>
      <w:r>
        <w:rPr>
          <w:noProof/>
          <w:szCs w:val="20"/>
        </w:rPr>
        <w:t>arry Ihrahima</w:t>
      </w:r>
      <w:r w:rsidR="00C73C7E" w:rsidRPr="00C73C7E">
        <w:rPr>
          <w:noProof/>
          <w:szCs w:val="20"/>
        </w:rPr>
        <w:t xml:space="preserve"> et al</w:t>
      </w:r>
    </w:p>
    <w:p w:rsidR="00C73C7E" w:rsidRDefault="00C73C7E" w:rsidP="004B6AE0">
      <w:pPr>
        <w:spacing w:before="120" w:after="120"/>
        <w:jc w:val="both"/>
        <w:rPr>
          <w:b/>
          <w:noProof/>
          <w:szCs w:val="20"/>
        </w:rPr>
      </w:pPr>
      <w:r>
        <w:rPr>
          <w:b/>
          <w:noProof/>
          <w:szCs w:val="20"/>
        </w:rPr>
        <w:t>_________________________________________________________________________________</w:t>
      </w:r>
    </w:p>
    <w:p w:rsidR="007D591B" w:rsidRPr="007D591B" w:rsidRDefault="007D591B" w:rsidP="00A27146">
      <w:pPr>
        <w:spacing w:after="120"/>
        <w:jc w:val="both"/>
        <w:rPr>
          <w:b/>
          <w:bCs/>
          <w:sz w:val="20"/>
          <w:szCs w:val="20"/>
        </w:rPr>
      </w:pPr>
      <w:r>
        <w:rPr>
          <w:noProof/>
          <w:lang w:eastAsia="fr-FR"/>
        </w:rPr>
        <w:drawing>
          <wp:anchor distT="0" distB="0" distL="114300" distR="114300" simplePos="0" relativeHeight="251660288" behindDoc="1" locked="0" layoutInCell="1" allowOverlap="1">
            <wp:simplePos x="0" y="0"/>
            <wp:positionH relativeFrom="column">
              <wp:posOffset>-46990</wp:posOffset>
            </wp:positionH>
            <wp:positionV relativeFrom="paragraph">
              <wp:posOffset>-46990</wp:posOffset>
            </wp:positionV>
            <wp:extent cx="6296025" cy="631190"/>
            <wp:effectExtent l="0" t="0" r="9525" b="0"/>
            <wp:wrapTight wrapText="bothSides">
              <wp:wrapPolygon edited="0">
                <wp:start x="0" y="0"/>
                <wp:lineTo x="0" y="20861"/>
                <wp:lineTo x="21567" y="20861"/>
                <wp:lineTo x="21567" y="0"/>
                <wp:lineTo x="0" y="0"/>
              </wp:wrapPolygon>
            </wp:wrapTight>
            <wp:docPr id="2"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omepage Header"/>
                    <pic:cNvPicPr>
                      <a:picLocks noChangeAspect="1" noChangeArrowheads="1"/>
                    </pic:cNvPicPr>
                  </pic:nvPicPr>
                  <pic:blipFill>
                    <a:blip r:embed="rId6" cstate="print">
                      <a:extLst>
                        <a:ext uri="{28A0092B-C50C-407E-A947-70E740481C1C}">
                          <a14:useLocalDpi xmlns:a14="http://schemas.microsoft.com/office/drawing/2010/main" val="0"/>
                        </a:ext>
                      </a:extLst>
                    </a:blip>
                    <a:srcRect t="4517" b="12903"/>
                    <a:stretch>
                      <a:fillRect/>
                    </a:stretch>
                  </pic:blipFill>
                  <pic:spPr bwMode="auto">
                    <a:xfrm>
                      <a:off x="0" y="0"/>
                      <a:ext cx="6296025" cy="631190"/>
                    </a:xfrm>
                    <a:prstGeom prst="rect">
                      <a:avLst/>
                    </a:prstGeom>
                    <a:noFill/>
                  </pic:spPr>
                </pic:pic>
              </a:graphicData>
            </a:graphic>
          </wp:anchor>
        </w:drawing>
      </w:r>
      <w:r>
        <w:rPr>
          <w:b/>
          <w:noProof/>
          <w:szCs w:val="20"/>
        </w:rPr>
        <w:t>Article original</w:t>
      </w:r>
    </w:p>
    <w:p w:rsidR="00BA5703" w:rsidRDefault="00BA5703" w:rsidP="00BA5703">
      <w:pPr>
        <w:jc w:val="center"/>
        <w:rPr>
          <w:b/>
          <w:sz w:val="32"/>
          <w:szCs w:val="32"/>
        </w:rPr>
      </w:pPr>
      <w:r w:rsidRPr="00BA5703">
        <w:rPr>
          <w:b/>
          <w:sz w:val="32"/>
          <w:szCs w:val="32"/>
        </w:rPr>
        <w:t xml:space="preserve">Tuberculose </w:t>
      </w:r>
      <w:r>
        <w:rPr>
          <w:b/>
          <w:sz w:val="32"/>
          <w:szCs w:val="32"/>
        </w:rPr>
        <w:t>c</w:t>
      </w:r>
      <w:r w:rsidRPr="00BA5703">
        <w:rPr>
          <w:b/>
          <w:sz w:val="32"/>
          <w:szCs w:val="32"/>
        </w:rPr>
        <w:t xml:space="preserve">hez </w:t>
      </w:r>
      <w:r>
        <w:rPr>
          <w:b/>
          <w:sz w:val="32"/>
          <w:szCs w:val="32"/>
        </w:rPr>
        <w:t>l</w:t>
      </w:r>
      <w:r w:rsidRPr="00BA5703">
        <w:rPr>
          <w:b/>
          <w:sz w:val="32"/>
          <w:szCs w:val="32"/>
        </w:rPr>
        <w:t>’</w:t>
      </w:r>
      <w:r>
        <w:rPr>
          <w:b/>
          <w:sz w:val="32"/>
          <w:szCs w:val="32"/>
        </w:rPr>
        <w:t>E</w:t>
      </w:r>
      <w:r w:rsidRPr="00BA5703">
        <w:rPr>
          <w:b/>
          <w:sz w:val="32"/>
          <w:szCs w:val="32"/>
        </w:rPr>
        <w:t xml:space="preserve">nfant : Aspect Epidémiologique, Clinique </w:t>
      </w:r>
      <w:r>
        <w:rPr>
          <w:b/>
          <w:sz w:val="32"/>
          <w:szCs w:val="32"/>
        </w:rPr>
        <w:t>e</w:t>
      </w:r>
      <w:r w:rsidRPr="00BA5703">
        <w:rPr>
          <w:b/>
          <w:sz w:val="32"/>
          <w:szCs w:val="32"/>
        </w:rPr>
        <w:t xml:space="preserve">t Thérapeutique </w:t>
      </w:r>
      <w:r>
        <w:rPr>
          <w:b/>
          <w:sz w:val="32"/>
          <w:szCs w:val="32"/>
        </w:rPr>
        <w:t>a</w:t>
      </w:r>
      <w:r w:rsidRPr="00BA5703">
        <w:rPr>
          <w:b/>
          <w:sz w:val="32"/>
          <w:szCs w:val="32"/>
        </w:rPr>
        <w:t xml:space="preserve">u Service </w:t>
      </w:r>
      <w:r>
        <w:rPr>
          <w:b/>
          <w:sz w:val="32"/>
          <w:szCs w:val="32"/>
        </w:rPr>
        <w:t>d</w:t>
      </w:r>
      <w:r w:rsidRPr="00BA5703">
        <w:rPr>
          <w:b/>
          <w:sz w:val="32"/>
          <w:szCs w:val="32"/>
        </w:rPr>
        <w:t xml:space="preserve">e Pédiatrie </w:t>
      </w:r>
      <w:r>
        <w:rPr>
          <w:b/>
          <w:sz w:val="32"/>
          <w:szCs w:val="32"/>
        </w:rPr>
        <w:t>d</w:t>
      </w:r>
      <w:r w:rsidRPr="00BA5703">
        <w:rPr>
          <w:b/>
          <w:sz w:val="32"/>
          <w:szCs w:val="32"/>
        </w:rPr>
        <w:t xml:space="preserve">e </w:t>
      </w:r>
      <w:r>
        <w:rPr>
          <w:b/>
          <w:sz w:val="32"/>
          <w:szCs w:val="32"/>
        </w:rPr>
        <w:t>l</w:t>
      </w:r>
      <w:r w:rsidRPr="00BA5703">
        <w:rPr>
          <w:b/>
          <w:sz w:val="32"/>
          <w:szCs w:val="32"/>
        </w:rPr>
        <w:t>’</w:t>
      </w:r>
      <w:r>
        <w:rPr>
          <w:b/>
          <w:sz w:val="32"/>
          <w:szCs w:val="32"/>
        </w:rPr>
        <w:t>H</w:t>
      </w:r>
      <w:r w:rsidRPr="00BA5703">
        <w:rPr>
          <w:b/>
          <w:sz w:val="32"/>
          <w:szCs w:val="32"/>
        </w:rPr>
        <w:t xml:space="preserve">ôpital National </w:t>
      </w:r>
      <w:r>
        <w:rPr>
          <w:b/>
          <w:sz w:val="32"/>
          <w:szCs w:val="32"/>
        </w:rPr>
        <w:t>d</w:t>
      </w:r>
      <w:r w:rsidRPr="00BA5703">
        <w:rPr>
          <w:b/>
          <w:sz w:val="32"/>
          <w:szCs w:val="32"/>
        </w:rPr>
        <w:t xml:space="preserve">e </w:t>
      </w:r>
      <w:proofErr w:type="spellStart"/>
      <w:r w:rsidRPr="00BA5703">
        <w:rPr>
          <w:b/>
          <w:sz w:val="32"/>
          <w:szCs w:val="32"/>
        </w:rPr>
        <w:t>Donka</w:t>
      </w:r>
      <w:proofErr w:type="spellEnd"/>
      <w:r w:rsidRPr="00BA5703">
        <w:rPr>
          <w:b/>
          <w:sz w:val="32"/>
          <w:szCs w:val="32"/>
        </w:rPr>
        <w:t>.</w:t>
      </w:r>
    </w:p>
    <w:p w:rsidR="00BA5703" w:rsidRPr="00BA5703" w:rsidRDefault="00BA5703" w:rsidP="00BA5703">
      <w:pPr>
        <w:jc w:val="center"/>
        <w:rPr>
          <w:b/>
          <w:sz w:val="32"/>
          <w:szCs w:val="32"/>
        </w:rPr>
      </w:pPr>
      <w:bookmarkStart w:id="0" w:name="_GoBack"/>
      <w:bookmarkEnd w:id="0"/>
    </w:p>
    <w:p w:rsidR="00BA5703" w:rsidRPr="00BA5703" w:rsidRDefault="00BA5703" w:rsidP="00BA5703">
      <w:pPr>
        <w:jc w:val="center"/>
        <w:rPr>
          <w:b/>
          <w:color w:val="0070C0"/>
          <w:sz w:val="28"/>
          <w:szCs w:val="28"/>
          <w:lang w:val="en-CA"/>
        </w:rPr>
      </w:pPr>
      <w:r w:rsidRPr="00BA5703">
        <w:rPr>
          <w:b/>
          <w:color w:val="0070C0"/>
          <w:sz w:val="28"/>
          <w:szCs w:val="28"/>
          <w:lang w:val="en"/>
        </w:rPr>
        <w:t xml:space="preserve">Tuberculosis in Children: Epidemiological, Clinical and Therapeutic Aspects of Pediatrics at </w:t>
      </w:r>
      <w:proofErr w:type="spellStart"/>
      <w:r w:rsidRPr="00BA5703">
        <w:rPr>
          <w:b/>
          <w:color w:val="0070C0"/>
          <w:sz w:val="28"/>
          <w:szCs w:val="28"/>
          <w:lang w:val="en"/>
        </w:rPr>
        <w:t>Donka</w:t>
      </w:r>
      <w:proofErr w:type="spellEnd"/>
      <w:r w:rsidRPr="00BA5703">
        <w:rPr>
          <w:b/>
          <w:color w:val="0070C0"/>
          <w:sz w:val="28"/>
          <w:szCs w:val="28"/>
          <w:lang w:val="en"/>
        </w:rPr>
        <w:t xml:space="preserve"> National Hospital</w:t>
      </w:r>
    </w:p>
    <w:p w:rsidR="005743F4" w:rsidRPr="00E465E0" w:rsidRDefault="005743F4" w:rsidP="005743F4">
      <w:pPr>
        <w:jc w:val="center"/>
        <w:rPr>
          <w:b/>
          <w:lang w:val="en-US"/>
        </w:rPr>
      </w:pPr>
    </w:p>
    <w:p w:rsidR="00BA5703" w:rsidRPr="00BA5703" w:rsidRDefault="00BA5703" w:rsidP="00BA5703">
      <w:pPr>
        <w:jc w:val="center"/>
        <w:rPr>
          <w:b/>
          <w:lang w:val="en-CA"/>
        </w:rPr>
      </w:pPr>
      <w:r>
        <w:rPr>
          <w:b/>
          <w:lang w:val="en-CA"/>
        </w:rPr>
        <w:t xml:space="preserve">BARRY </w:t>
      </w:r>
      <w:proofErr w:type="spellStart"/>
      <w:r>
        <w:rPr>
          <w:b/>
          <w:lang w:val="en-CA"/>
        </w:rPr>
        <w:t>Ibrahima</w:t>
      </w:r>
      <w:proofErr w:type="spellEnd"/>
      <w:r>
        <w:rPr>
          <w:b/>
          <w:lang w:val="en-CA"/>
        </w:rPr>
        <w:t xml:space="preserve"> Koolo</w:t>
      </w:r>
      <w:r w:rsidRPr="00BA5703">
        <w:rPr>
          <w:b/>
          <w:vertAlign w:val="superscript"/>
          <w:lang w:val="en-CA"/>
        </w:rPr>
        <w:t>1</w:t>
      </w:r>
      <w:r>
        <w:rPr>
          <w:b/>
          <w:lang w:val="en-CA"/>
        </w:rPr>
        <w:t xml:space="preserve">, </w:t>
      </w:r>
      <w:r w:rsidRPr="00BA5703">
        <w:rPr>
          <w:b/>
          <w:lang w:val="en-CA"/>
        </w:rPr>
        <w:t>CAMARA Emmanuel</w:t>
      </w:r>
      <w:r w:rsidRPr="00BA5703">
        <w:rPr>
          <w:b/>
          <w:vertAlign w:val="superscript"/>
          <w:lang w:val="en-CA"/>
        </w:rPr>
        <w:t>1</w:t>
      </w:r>
      <w:r w:rsidRPr="00BA5703">
        <w:rPr>
          <w:b/>
          <w:lang w:val="en-CA"/>
        </w:rPr>
        <w:t>, ONDIMA Laurent Hermann Marion</w:t>
      </w:r>
      <w:r w:rsidRPr="00BA5703">
        <w:rPr>
          <w:b/>
          <w:vertAlign w:val="superscript"/>
          <w:lang w:val="en-CA"/>
        </w:rPr>
        <w:t>2</w:t>
      </w:r>
      <w:r w:rsidRPr="00BA5703">
        <w:rPr>
          <w:b/>
          <w:lang w:val="en-CA"/>
        </w:rPr>
        <w:t>,</w:t>
      </w:r>
      <w:r w:rsidRPr="00BA5703">
        <w:rPr>
          <w:b/>
          <w:vertAlign w:val="superscript"/>
          <w:lang w:val="en-CA"/>
        </w:rPr>
        <w:t xml:space="preserve"> </w:t>
      </w:r>
      <w:r w:rsidRPr="00BA5703">
        <w:rPr>
          <w:b/>
          <w:lang w:val="en-CA"/>
        </w:rPr>
        <w:t>DIOP Moustapha</w:t>
      </w:r>
      <w:r w:rsidRPr="00BA5703">
        <w:rPr>
          <w:b/>
          <w:vertAlign w:val="superscript"/>
          <w:lang w:val="en-CA"/>
        </w:rPr>
        <w:t>1</w:t>
      </w:r>
      <w:r w:rsidRPr="00BA5703">
        <w:rPr>
          <w:b/>
          <w:lang w:val="en-CA"/>
        </w:rPr>
        <w:t>, DIALLO Boubacar</w:t>
      </w:r>
      <w:r w:rsidRPr="00BA5703">
        <w:rPr>
          <w:b/>
          <w:vertAlign w:val="superscript"/>
          <w:lang w:val="en-CA"/>
        </w:rPr>
        <w:t>2</w:t>
      </w:r>
      <w:r w:rsidRPr="00BA5703">
        <w:rPr>
          <w:b/>
          <w:lang w:val="en-CA"/>
        </w:rPr>
        <w:t>, DIA Hassmiou</w:t>
      </w:r>
      <w:r w:rsidRPr="00BA5703">
        <w:rPr>
          <w:b/>
          <w:vertAlign w:val="superscript"/>
          <w:lang w:val="en-CA"/>
        </w:rPr>
        <w:t>3</w:t>
      </w:r>
      <w:r>
        <w:rPr>
          <w:b/>
          <w:lang w:val="en-CA"/>
        </w:rPr>
        <w:t xml:space="preserve">, </w:t>
      </w:r>
      <w:r w:rsidRPr="00BA5703">
        <w:rPr>
          <w:b/>
          <w:lang w:val="en-CA"/>
        </w:rPr>
        <w:t>BARRY Boubacar Baba</w:t>
      </w:r>
      <w:r w:rsidRPr="00BA5703">
        <w:rPr>
          <w:b/>
          <w:vertAlign w:val="superscript"/>
          <w:lang w:val="en-CA"/>
        </w:rPr>
        <w:t>1</w:t>
      </w:r>
      <w:r w:rsidRPr="00BA5703">
        <w:rPr>
          <w:b/>
          <w:lang w:val="en-CA"/>
        </w:rPr>
        <w:t>.</w:t>
      </w:r>
    </w:p>
    <w:p w:rsidR="007D591B" w:rsidRPr="00A75D4C" w:rsidRDefault="00E465E0" w:rsidP="00A75D4C">
      <w:pPr>
        <w:jc w:val="center"/>
        <w:rPr>
          <w:b/>
          <w:lang w:val="en-GB"/>
        </w:rPr>
      </w:pPr>
      <w:r>
        <w:rPr>
          <w:b/>
          <w:lang w:val="en-GB"/>
        </w:rPr>
        <w:t xml:space="preserve">    </w:t>
      </w:r>
    </w:p>
    <w:tbl>
      <w:tblPr>
        <w:tblW w:w="10173" w:type="dxa"/>
        <w:tblLook w:val="04A0" w:firstRow="1" w:lastRow="0" w:firstColumn="1" w:lastColumn="0" w:noHBand="0" w:noVBand="1"/>
      </w:tblPr>
      <w:tblGrid>
        <w:gridCol w:w="3227"/>
        <w:gridCol w:w="6946"/>
      </w:tblGrid>
      <w:tr w:rsidR="007D591B" w:rsidTr="000B24E4">
        <w:trPr>
          <w:trHeight w:val="98"/>
        </w:trPr>
        <w:tc>
          <w:tcPr>
            <w:tcW w:w="3227" w:type="dxa"/>
            <w:vMerge w:val="restart"/>
            <w:shd w:val="clear" w:color="auto" w:fill="D3DFEE"/>
            <w:hideMark/>
          </w:tcPr>
          <w:p w:rsidR="007D591B" w:rsidRPr="006E5A42" w:rsidRDefault="00E06561" w:rsidP="00B029BC">
            <w:pPr>
              <w:rPr>
                <w:b/>
                <w:bCs/>
                <w:color w:val="365F91"/>
                <w:sz w:val="18"/>
                <w:szCs w:val="18"/>
                <w:vertAlign w:val="superscript"/>
                <w:lang w:val="en-US"/>
              </w:rPr>
            </w:pPr>
            <w:r>
              <w:rPr>
                <w:noProof/>
                <w:sz w:val="22"/>
                <w:szCs w:val="22"/>
              </w:rPr>
              <w:pict>
                <v:shapetype id="_x0000_t202" coordsize="21600,21600" o:spt="202" path="m,l,21600r21600,l21600,xe">
                  <v:stroke joinstyle="miter"/>
                  <v:path gradientshapeok="t" o:connecttype="rect"/>
                </v:shapetype>
                <v:shape id="Zone de texte 9" o:spid="_x0000_s1026" type="#_x0000_t202" style="position:absolute;margin-left:-4.65pt;margin-top:9.65pt;width:151.15pt;height:38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" stroked="f">
                  <v:textbox style="mso-next-textbox:#Zone de texte 9">
                    <w:txbxContent>
                      <w:p w:rsidR="00BA5703" w:rsidRPr="00BA5703" w:rsidRDefault="00BA5703" w:rsidP="00BA5703">
                        <w:pPr>
                          <w:rPr>
                            <w:sz w:val="20"/>
                            <w:szCs w:val="20"/>
                          </w:rPr>
                        </w:pPr>
                        <w:r w:rsidRPr="00BA5703">
                          <w:rPr>
                            <w:sz w:val="20"/>
                            <w:szCs w:val="20"/>
                          </w:rPr>
                          <w:t xml:space="preserve">1- </w:t>
                        </w:r>
                        <w:r w:rsidRPr="00BA5703">
                          <w:rPr>
                            <w:sz w:val="20"/>
                            <w:szCs w:val="20"/>
                            <w:lang w:val="fr-CA"/>
                          </w:rPr>
                          <w:t xml:space="preserve">Service de Pédiatrie, Hôpital National </w:t>
                        </w:r>
                        <w:proofErr w:type="spellStart"/>
                        <w:r w:rsidRPr="00BA5703">
                          <w:rPr>
                            <w:sz w:val="20"/>
                            <w:szCs w:val="20"/>
                            <w:lang w:val="fr-CA"/>
                          </w:rPr>
                          <w:t>Donka</w:t>
                        </w:r>
                        <w:proofErr w:type="spellEnd"/>
                      </w:p>
                      <w:p w:rsidR="00BA5703" w:rsidRPr="00BA5703" w:rsidRDefault="00BA5703" w:rsidP="00BA5703">
                        <w:pPr>
                          <w:rPr>
                            <w:sz w:val="20"/>
                            <w:szCs w:val="20"/>
                            <w:lang w:val="fr-CA"/>
                          </w:rPr>
                        </w:pPr>
                        <w:r w:rsidRPr="00BA5703">
                          <w:rPr>
                            <w:sz w:val="20"/>
                            <w:szCs w:val="20"/>
                            <w:lang w:val="fr-CA"/>
                          </w:rPr>
                          <w:t xml:space="preserve">2- Institut de Nutrition et de Santé de l’Enfant (INSE), Hôpital National </w:t>
                        </w:r>
                        <w:proofErr w:type="spellStart"/>
                        <w:r w:rsidRPr="00BA5703">
                          <w:rPr>
                            <w:sz w:val="20"/>
                            <w:szCs w:val="20"/>
                            <w:lang w:val="fr-CA"/>
                          </w:rPr>
                          <w:t>Donka</w:t>
                        </w:r>
                        <w:proofErr w:type="spellEnd"/>
                        <w:r w:rsidRPr="00BA5703">
                          <w:rPr>
                            <w:sz w:val="20"/>
                            <w:szCs w:val="20"/>
                            <w:lang w:val="fr-CA"/>
                          </w:rPr>
                          <w:t>.</w:t>
                        </w:r>
                      </w:p>
                      <w:p w:rsidR="00BA5703" w:rsidRPr="00BA5703" w:rsidRDefault="00BA5703" w:rsidP="00BA5703">
                        <w:pPr>
                          <w:rPr>
                            <w:sz w:val="20"/>
                            <w:szCs w:val="20"/>
                            <w:lang w:val="fr-CA"/>
                          </w:rPr>
                        </w:pPr>
                        <w:r w:rsidRPr="00BA5703">
                          <w:rPr>
                            <w:sz w:val="20"/>
                            <w:szCs w:val="20"/>
                            <w:lang w:val="fr-CA"/>
                          </w:rPr>
                          <w:t xml:space="preserve">3- Service de Pédiatrie, Hôpital National Ignace </w:t>
                        </w:r>
                        <w:proofErr w:type="spellStart"/>
                        <w:r w:rsidRPr="00BA5703">
                          <w:rPr>
                            <w:sz w:val="20"/>
                            <w:szCs w:val="20"/>
                            <w:lang w:val="fr-CA"/>
                          </w:rPr>
                          <w:t>Deen</w:t>
                        </w:r>
                        <w:proofErr w:type="spellEnd"/>
                      </w:p>
                      <w:p w:rsidR="00EC1330" w:rsidRPr="00870CAE" w:rsidRDefault="00EC1330" w:rsidP="000A16F6">
                        <w:pPr>
                          <w:rPr>
                            <w:sz w:val="20"/>
                            <w:szCs w:val="20"/>
                          </w:rPr>
                        </w:pPr>
                      </w:p>
                      <w:p w:rsidR="00EC1330" w:rsidRDefault="00EC1330" w:rsidP="007D591B">
                        <w:pPr>
                          <w:rPr>
                            <w:b/>
                            <w:color w:val="000000"/>
                            <w:sz w:val="18"/>
                            <w:szCs w:val="20"/>
                          </w:rPr>
                        </w:pPr>
                        <w:r>
                          <w:rPr>
                            <w:b/>
                            <w:color w:val="000000"/>
                            <w:sz w:val="18"/>
                            <w:szCs w:val="20"/>
                          </w:rPr>
                          <w:t>Auteur correspondant :</w:t>
                        </w:r>
                      </w:p>
                      <w:p w:rsidR="00820B23" w:rsidRPr="00A55265" w:rsidRDefault="009C30CB" w:rsidP="00820B23">
                        <w:pPr>
                          <w:rPr>
                            <w:sz w:val="20"/>
                            <w:szCs w:val="20"/>
                          </w:rPr>
                        </w:pPr>
                        <w:r>
                          <w:rPr>
                            <w:sz w:val="20"/>
                            <w:szCs w:val="20"/>
                          </w:rPr>
                          <w:t xml:space="preserve">Barry Ibrahima </w:t>
                        </w:r>
                        <w:proofErr w:type="spellStart"/>
                        <w:r>
                          <w:rPr>
                            <w:sz w:val="20"/>
                            <w:szCs w:val="20"/>
                          </w:rPr>
                          <w:t>Koolo</w:t>
                        </w:r>
                        <w:proofErr w:type="spellEnd"/>
                        <w:r w:rsidR="00820B23" w:rsidRPr="00A55265">
                          <w:rPr>
                            <w:sz w:val="20"/>
                            <w:szCs w:val="20"/>
                          </w:rPr>
                          <w:t xml:space="preserve">, </w:t>
                        </w:r>
                      </w:p>
                      <w:p w:rsidR="00820B23" w:rsidRPr="009C30CB" w:rsidRDefault="00820B23" w:rsidP="00820B23">
                        <w:pPr>
                          <w:rPr>
                            <w:sz w:val="20"/>
                            <w:szCs w:val="20"/>
                          </w:rPr>
                        </w:pPr>
                        <w:proofErr w:type="gramStart"/>
                        <w:r w:rsidRPr="00A55265">
                          <w:rPr>
                            <w:sz w:val="20"/>
                            <w:szCs w:val="20"/>
                          </w:rPr>
                          <w:t>Email:</w:t>
                        </w:r>
                        <w:proofErr w:type="gramEnd"/>
                        <w:r w:rsidRPr="00A55265">
                          <w:rPr>
                            <w:sz w:val="20"/>
                            <w:szCs w:val="20"/>
                          </w:rPr>
                          <w:t xml:space="preserve"> </w:t>
                        </w:r>
                        <w:hyperlink r:id="rId7" w:history="1">
                          <w:r w:rsidR="009C30CB" w:rsidRPr="009C30CB">
                            <w:rPr>
                              <w:rStyle w:val="Lienhypertexte"/>
                              <w:sz w:val="20"/>
                              <w:szCs w:val="20"/>
                            </w:rPr>
                            <w:t>kholobarry@gmail.com</w:t>
                          </w:r>
                        </w:hyperlink>
                        <w:r w:rsidRPr="00A55265">
                          <w:rPr>
                            <w:sz w:val="20"/>
                            <w:szCs w:val="20"/>
                          </w:rPr>
                          <w:t xml:space="preserve"> </w:t>
                        </w:r>
                      </w:p>
                      <w:p w:rsidR="00EC1330" w:rsidRPr="00F814AD" w:rsidRDefault="00EC1330" w:rsidP="006E5A42">
                        <w:pPr>
                          <w:rPr>
                            <w:b/>
                            <w:sz w:val="20"/>
                            <w:szCs w:val="20"/>
                            <w:lang w:eastAsia="fr-FR"/>
                          </w:rPr>
                        </w:pPr>
                      </w:p>
                      <w:p w:rsidR="00EC1330" w:rsidRPr="000236DA" w:rsidRDefault="00EC1330" w:rsidP="00435408">
                        <w:pPr>
                          <w:rPr>
                            <w:sz w:val="20"/>
                            <w:szCs w:val="20"/>
                          </w:rPr>
                        </w:pPr>
                        <w:r>
                          <w:rPr>
                            <w:b/>
                            <w:bCs/>
                            <w:iCs/>
                            <w:sz w:val="18"/>
                            <w:szCs w:val="18"/>
                          </w:rPr>
                          <w:t>Mots clés : </w:t>
                        </w:r>
                        <w:r w:rsidR="009C30CB" w:rsidRPr="009C30CB">
                          <w:rPr>
                            <w:sz w:val="20"/>
                            <w:szCs w:val="20"/>
                          </w:rPr>
                          <w:t>Tuberculose, enfant, épidémiologique,</w:t>
                        </w:r>
                        <w:r w:rsidR="009C30CB">
                          <w:rPr>
                            <w:sz w:val="20"/>
                            <w:szCs w:val="20"/>
                          </w:rPr>
                          <w:t xml:space="preserve"> </w:t>
                        </w:r>
                        <w:r w:rsidR="009C30CB" w:rsidRPr="009C30CB">
                          <w:rPr>
                            <w:sz w:val="20"/>
                            <w:szCs w:val="20"/>
                          </w:rPr>
                          <w:t xml:space="preserve">thérapeutique, </w:t>
                        </w:r>
                        <w:proofErr w:type="spellStart"/>
                        <w:r w:rsidR="009C30CB" w:rsidRPr="009C30CB">
                          <w:rPr>
                            <w:sz w:val="20"/>
                            <w:szCs w:val="20"/>
                          </w:rPr>
                          <w:t>Donka</w:t>
                        </w:r>
                        <w:proofErr w:type="spellEnd"/>
                      </w:p>
                      <w:p w:rsidR="00EC1330" w:rsidRPr="00435408" w:rsidRDefault="00EC1330" w:rsidP="000236DA">
                        <w:pPr>
                          <w:rPr>
                            <w:sz w:val="18"/>
                            <w:szCs w:val="20"/>
                            <w:lang w:val="en-CA"/>
                          </w:rPr>
                        </w:pPr>
                        <w:r w:rsidRPr="006E5A42">
                          <w:rPr>
                            <w:b/>
                            <w:bCs/>
                            <w:iCs/>
                            <w:sz w:val="18"/>
                            <w:szCs w:val="20"/>
                            <w:lang w:val="en-US"/>
                          </w:rPr>
                          <w:t>Keywords</w:t>
                        </w:r>
                        <w:r>
                          <w:rPr>
                            <w:lang w:val="en-CA"/>
                          </w:rPr>
                          <w:t xml:space="preserve">: </w:t>
                        </w:r>
                        <w:r w:rsidR="009C30CB" w:rsidRPr="009C30CB">
                          <w:rPr>
                            <w:sz w:val="20"/>
                            <w:szCs w:val="20"/>
                            <w:lang w:val="en-US"/>
                          </w:rPr>
                          <w:t xml:space="preserve">Tuberculosis, epidemiological child, therapeutic </w:t>
                        </w:r>
                        <w:proofErr w:type="spellStart"/>
                        <w:r w:rsidR="009C30CB" w:rsidRPr="009C30CB">
                          <w:rPr>
                            <w:sz w:val="20"/>
                            <w:szCs w:val="20"/>
                            <w:lang w:val="en-US"/>
                          </w:rPr>
                          <w:t>Donka</w:t>
                        </w:r>
                        <w:proofErr w:type="spellEnd"/>
                      </w:p>
                    </w:txbxContent>
                  </v:textbox>
                </v:shape>
              </w:pict>
            </w:r>
          </w:p>
        </w:tc>
        <w:tc>
          <w:tcPr>
            <w:tcW w:w="6946" w:type="dxa"/>
            <w:shd w:val="clear" w:color="auto" w:fill="D3DFEE"/>
            <w:hideMark/>
          </w:tcPr>
          <w:p w:rsidR="007D591B" w:rsidRDefault="007D591B" w:rsidP="00B029BC">
            <w:pPr>
              <w:spacing w:after="120"/>
              <w:jc w:val="center"/>
              <w:rPr>
                <w:b/>
                <w:bCs/>
                <w:iCs/>
                <w:sz w:val="18"/>
                <w:szCs w:val="20"/>
              </w:rPr>
            </w:pPr>
            <w:r>
              <w:rPr>
                <w:b/>
                <w:bCs/>
                <w:iCs/>
                <w:sz w:val="18"/>
                <w:szCs w:val="20"/>
              </w:rPr>
              <w:t>RÉSUMÉ</w:t>
            </w:r>
          </w:p>
        </w:tc>
      </w:tr>
      <w:tr w:rsidR="007D591B" w:rsidTr="000B24E4">
        <w:trPr>
          <w:trHeight w:val="742"/>
        </w:trPr>
        <w:tc>
          <w:tcPr>
            <w:tcW w:w="3227" w:type="dxa"/>
            <w:vMerge/>
            <w:vAlign w:val="center"/>
            <w:hideMark/>
          </w:tcPr>
          <w:p w:rsidR="007D591B" w:rsidRDefault="007D591B" w:rsidP="00B029BC">
            <w:pPr>
              <w:rPr>
                <w:b/>
                <w:bCs/>
                <w:color w:val="365F91"/>
                <w:sz w:val="18"/>
                <w:szCs w:val="18"/>
                <w:vertAlign w:val="superscript"/>
              </w:rPr>
            </w:pPr>
          </w:p>
        </w:tc>
        <w:tc>
          <w:tcPr>
            <w:tcW w:w="6946" w:type="dxa"/>
            <w:hideMark/>
          </w:tcPr>
          <w:p w:rsidR="007D591B" w:rsidRPr="00597919" w:rsidRDefault="00320049" w:rsidP="00F74865">
            <w:pPr>
              <w:jc w:val="both"/>
              <w:rPr>
                <w:sz w:val="18"/>
                <w:szCs w:val="18"/>
              </w:rPr>
            </w:pPr>
            <w:r w:rsidRPr="00BB2B07">
              <w:rPr>
                <w:b/>
                <w:bCs/>
                <w:sz w:val="18"/>
                <w:szCs w:val="18"/>
              </w:rPr>
              <w:t>INTRODUCTION</w:t>
            </w:r>
            <w:r>
              <w:rPr>
                <w:sz w:val="18"/>
                <w:szCs w:val="18"/>
              </w:rPr>
              <w:t xml:space="preserve"> : </w:t>
            </w:r>
            <w:r w:rsidRPr="00BA41A3">
              <w:rPr>
                <w:sz w:val="18"/>
                <w:szCs w:val="18"/>
              </w:rPr>
              <w:t>La tuberculose représente un problème de santé publique à travers le monde ; l’augmentation des taux de tuberculeux est propulsée par l’épidémie du VIH. De diagnostic difficile chez l’enfant, elle est responsable de nombreux décès chez les moins de 15 ans dans les pays en développements.</w:t>
            </w:r>
            <w:r>
              <w:rPr>
                <w:sz w:val="18"/>
                <w:szCs w:val="18"/>
              </w:rPr>
              <w:t xml:space="preserve"> </w:t>
            </w:r>
            <w:r w:rsidRPr="00BA41A3">
              <w:rPr>
                <w:b/>
                <w:sz w:val="18"/>
                <w:szCs w:val="18"/>
              </w:rPr>
              <w:t>M</w:t>
            </w:r>
            <w:r>
              <w:rPr>
                <w:b/>
                <w:sz w:val="18"/>
                <w:szCs w:val="18"/>
              </w:rPr>
              <w:t xml:space="preserve">ETHODES : </w:t>
            </w:r>
            <w:r w:rsidRPr="00BA41A3">
              <w:rPr>
                <w:sz w:val="18"/>
                <w:szCs w:val="18"/>
              </w:rPr>
              <w:t xml:space="preserve"> Étude rétrospective, descriptive sur 5 ans consistant en une revue des dossiers d’enfants âgés de 0-15 ans, traités pour tuberculose dans le service de pédiatrie de </w:t>
            </w:r>
            <w:proofErr w:type="spellStart"/>
            <w:r w:rsidRPr="00BA41A3">
              <w:rPr>
                <w:sz w:val="18"/>
                <w:szCs w:val="18"/>
              </w:rPr>
              <w:t>Donka</w:t>
            </w:r>
            <w:proofErr w:type="spellEnd"/>
            <w:r>
              <w:rPr>
                <w:sz w:val="18"/>
                <w:szCs w:val="18"/>
              </w:rPr>
              <w:t xml:space="preserve">. </w:t>
            </w:r>
            <w:r w:rsidRPr="00BA41A3">
              <w:rPr>
                <w:b/>
                <w:sz w:val="18"/>
                <w:szCs w:val="18"/>
              </w:rPr>
              <w:t>C</w:t>
            </w:r>
            <w:r>
              <w:rPr>
                <w:b/>
                <w:sz w:val="18"/>
                <w:szCs w:val="18"/>
              </w:rPr>
              <w:t xml:space="preserve">OLLECTES DES DONNEES : </w:t>
            </w:r>
            <w:r w:rsidRPr="00BA41A3">
              <w:rPr>
                <w:sz w:val="18"/>
                <w:szCs w:val="18"/>
              </w:rPr>
              <w:t xml:space="preserve">Les données étaient collectées à partir des registres de suivi et des dossiers médicaux.  </w:t>
            </w:r>
            <w:r>
              <w:rPr>
                <w:sz w:val="18"/>
                <w:szCs w:val="18"/>
              </w:rPr>
              <w:t>Etaient</w:t>
            </w:r>
            <w:r w:rsidRPr="00BA41A3">
              <w:rPr>
                <w:sz w:val="18"/>
                <w:szCs w:val="18"/>
              </w:rPr>
              <w:t xml:space="preserve"> inclus</w:t>
            </w:r>
            <w:r>
              <w:rPr>
                <w:sz w:val="18"/>
                <w:szCs w:val="18"/>
              </w:rPr>
              <w:t>,</w:t>
            </w:r>
            <w:r w:rsidRPr="00BA41A3">
              <w:rPr>
                <w:sz w:val="18"/>
                <w:szCs w:val="18"/>
              </w:rPr>
              <w:t xml:space="preserve"> les enfants ayant un dossier médical complet, le diagnostic de la tuberculose était basé sur la présence de faisceaux d’arguments anamnestiques, cliniques, biologiques et radiologiques.</w:t>
            </w:r>
            <w:r>
              <w:rPr>
                <w:sz w:val="18"/>
                <w:szCs w:val="18"/>
              </w:rPr>
              <w:t xml:space="preserve"> </w:t>
            </w:r>
            <w:r w:rsidRPr="00BA41A3">
              <w:rPr>
                <w:b/>
                <w:sz w:val="18"/>
                <w:szCs w:val="18"/>
              </w:rPr>
              <w:t>R</w:t>
            </w:r>
            <w:r>
              <w:rPr>
                <w:b/>
                <w:sz w:val="18"/>
                <w:szCs w:val="18"/>
              </w:rPr>
              <w:t xml:space="preserve">ESULTATS : </w:t>
            </w:r>
            <w:r w:rsidRPr="00BA41A3">
              <w:rPr>
                <w:bCs/>
                <w:sz w:val="18"/>
                <w:szCs w:val="18"/>
              </w:rPr>
              <w:t xml:space="preserve">Nous avons colligé </w:t>
            </w:r>
            <w:r w:rsidRPr="00BA41A3">
              <w:rPr>
                <w:sz w:val="18"/>
                <w:szCs w:val="18"/>
              </w:rPr>
              <w:t>397 cas de tuberculose sur 17204 patients hospitalisés (2,3%) dont 57,2% de garçons</w:t>
            </w:r>
            <w:r>
              <w:rPr>
                <w:sz w:val="18"/>
                <w:szCs w:val="18"/>
              </w:rPr>
              <w:t xml:space="preserve">, soit </w:t>
            </w:r>
            <w:r w:rsidRPr="00BA41A3">
              <w:rPr>
                <w:sz w:val="18"/>
                <w:szCs w:val="18"/>
              </w:rPr>
              <w:t>un sexe ratio M/F de 1,33</w:t>
            </w:r>
            <w:r>
              <w:rPr>
                <w:sz w:val="18"/>
                <w:szCs w:val="18"/>
              </w:rPr>
              <w:t>. L’</w:t>
            </w:r>
            <w:r w:rsidRPr="00BA41A3">
              <w:rPr>
                <w:sz w:val="18"/>
                <w:szCs w:val="18"/>
              </w:rPr>
              <w:t>âge moyen</w:t>
            </w:r>
            <w:r>
              <w:rPr>
                <w:sz w:val="18"/>
                <w:szCs w:val="18"/>
              </w:rPr>
              <w:t xml:space="preserve"> des patients était</w:t>
            </w:r>
            <w:r w:rsidRPr="00BA41A3">
              <w:rPr>
                <w:sz w:val="18"/>
                <w:szCs w:val="18"/>
              </w:rPr>
              <w:t xml:space="preserve"> de 5 mois. Le </w:t>
            </w:r>
            <w:proofErr w:type="spellStart"/>
            <w:r w:rsidRPr="00BA41A3">
              <w:rPr>
                <w:sz w:val="18"/>
                <w:szCs w:val="18"/>
              </w:rPr>
              <w:t>co</w:t>
            </w:r>
            <w:r>
              <w:rPr>
                <w:sz w:val="18"/>
                <w:szCs w:val="18"/>
              </w:rPr>
              <w:t>ntage</w:t>
            </w:r>
            <w:proofErr w:type="spellEnd"/>
            <w:r>
              <w:rPr>
                <w:sz w:val="18"/>
                <w:szCs w:val="18"/>
              </w:rPr>
              <w:t xml:space="preserve"> à la tuberculose</w:t>
            </w:r>
            <w:r w:rsidRPr="00BA41A3">
              <w:rPr>
                <w:sz w:val="18"/>
                <w:szCs w:val="18"/>
              </w:rPr>
              <w:t xml:space="preserve"> a été évoqué chez 43,04%, l'IDR était positive chez 62.24%, le BK</w:t>
            </w:r>
            <w:r>
              <w:rPr>
                <w:sz w:val="18"/>
                <w:szCs w:val="18"/>
              </w:rPr>
              <w:t xml:space="preserve"> </w:t>
            </w:r>
            <w:r w:rsidRPr="00BA41A3">
              <w:rPr>
                <w:sz w:val="18"/>
                <w:szCs w:val="18"/>
              </w:rPr>
              <w:t xml:space="preserve">recherché chez 48 enfants avec 18.75% de positifs. Les localisations </w:t>
            </w:r>
            <w:proofErr w:type="spellStart"/>
            <w:r w:rsidRPr="00BA41A3">
              <w:rPr>
                <w:sz w:val="18"/>
                <w:szCs w:val="18"/>
              </w:rPr>
              <w:t>médiastino</w:t>
            </w:r>
            <w:proofErr w:type="spellEnd"/>
            <w:r w:rsidRPr="00BA41A3">
              <w:rPr>
                <w:sz w:val="18"/>
                <w:szCs w:val="18"/>
              </w:rPr>
              <w:t>-pulmonaires et ganglionnaires étaient plus observées, 84,54% de guérison, 10,05% perdus de vue et 5,41 % décès dont 61,9% chez les moins de 5 ans.</w:t>
            </w:r>
            <w:r>
              <w:rPr>
                <w:sz w:val="18"/>
                <w:szCs w:val="18"/>
              </w:rPr>
              <w:t xml:space="preserve"> </w:t>
            </w:r>
            <w:r w:rsidRPr="00BA41A3">
              <w:rPr>
                <w:b/>
                <w:sz w:val="18"/>
                <w:szCs w:val="18"/>
              </w:rPr>
              <w:t>C</w:t>
            </w:r>
            <w:r>
              <w:rPr>
                <w:b/>
                <w:sz w:val="18"/>
                <w:szCs w:val="18"/>
              </w:rPr>
              <w:t xml:space="preserve">ONCLUSION : </w:t>
            </w:r>
            <w:r w:rsidRPr="00BA41A3">
              <w:rPr>
                <w:sz w:val="18"/>
                <w:szCs w:val="18"/>
              </w:rPr>
              <w:t xml:space="preserve">La tuberculose est un problème de santé en Guinée, par son tableau clinique riche et polymorphe, son diagnostic biologique reste aléatoire. Les localisations </w:t>
            </w:r>
            <w:proofErr w:type="spellStart"/>
            <w:r w:rsidRPr="00BA41A3">
              <w:rPr>
                <w:sz w:val="18"/>
                <w:szCs w:val="18"/>
              </w:rPr>
              <w:t>médiastino</w:t>
            </w:r>
            <w:proofErr w:type="spellEnd"/>
            <w:r w:rsidRPr="00BA41A3">
              <w:rPr>
                <w:sz w:val="18"/>
                <w:szCs w:val="18"/>
              </w:rPr>
              <w:t>-pulmonaires et ganglionnaires étaient plus observées. L’évolution favorable pour la majorité de nos patients.</w:t>
            </w:r>
          </w:p>
        </w:tc>
      </w:tr>
      <w:tr w:rsidR="007D591B" w:rsidTr="000B24E4">
        <w:trPr>
          <w:trHeight w:val="237"/>
        </w:trPr>
        <w:tc>
          <w:tcPr>
            <w:tcW w:w="3227" w:type="dxa"/>
            <w:vMerge w:val="restart"/>
            <w:shd w:val="clear" w:color="auto" w:fill="D3DFEE"/>
          </w:tcPr>
          <w:p w:rsidR="007D591B" w:rsidRDefault="007D591B" w:rsidP="00B029BC">
            <w:pPr>
              <w:rPr>
                <w:b/>
                <w:bCs/>
                <w:color w:val="365F91"/>
                <w:sz w:val="18"/>
                <w:szCs w:val="18"/>
                <w:vertAlign w:val="superscript"/>
              </w:rPr>
            </w:pPr>
          </w:p>
        </w:tc>
        <w:tc>
          <w:tcPr>
            <w:tcW w:w="6946" w:type="dxa"/>
            <w:shd w:val="clear" w:color="auto" w:fill="D3DFEE"/>
            <w:hideMark/>
          </w:tcPr>
          <w:p w:rsidR="007D591B" w:rsidRDefault="007D591B" w:rsidP="000A16F6">
            <w:pPr>
              <w:jc w:val="center"/>
              <w:rPr>
                <w:bCs/>
                <w:iCs/>
                <w:sz w:val="18"/>
                <w:szCs w:val="20"/>
              </w:rPr>
            </w:pPr>
            <w:r>
              <w:rPr>
                <w:b/>
                <w:bCs/>
                <w:iCs/>
                <w:sz w:val="18"/>
                <w:szCs w:val="20"/>
              </w:rPr>
              <w:t>ABSTRACT</w:t>
            </w:r>
          </w:p>
        </w:tc>
      </w:tr>
      <w:tr w:rsidR="007D591B" w:rsidRPr="000F7558" w:rsidTr="000B24E4">
        <w:tc>
          <w:tcPr>
            <w:tcW w:w="3227" w:type="dxa"/>
            <w:vMerge/>
            <w:vAlign w:val="center"/>
            <w:hideMark/>
          </w:tcPr>
          <w:p w:rsidR="007D591B" w:rsidRDefault="007D591B" w:rsidP="00B029BC">
            <w:pPr>
              <w:rPr>
                <w:b/>
                <w:bCs/>
                <w:color w:val="365F91"/>
                <w:sz w:val="18"/>
                <w:szCs w:val="18"/>
                <w:vertAlign w:val="superscript"/>
              </w:rPr>
            </w:pPr>
          </w:p>
        </w:tc>
        <w:tc>
          <w:tcPr>
            <w:tcW w:w="6946" w:type="dxa"/>
            <w:hideMark/>
          </w:tcPr>
          <w:p w:rsidR="00597919" w:rsidRDefault="007D484F" w:rsidP="007D4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18"/>
                <w:szCs w:val="18"/>
                <w:lang w:val="en-US" w:eastAsia="fr-CA"/>
              </w:rPr>
            </w:pPr>
            <w:r w:rsidRPr="00811514">
              <w:rPr>
                <w:b/>
                <w:bCs/>
                <w:color w:val="222222"/>
                <w:sz w:val="18"/>
                <w:szCs w:val="18"/>
                <w:lang w:val="en-US" w:eastAsia="fr-CA"/>
              </w:rPr>
              <w:t>INTRODUCTION</w:t>
            </w:r>
            <w:r>
              <w:rPr>
                <w:color w:val="222222"/>
                <w:sz w:val="18"/>
                <w:szCs w:val="18"/>
                <w:lang w:val="en-US" w:eastAsia="fr-CA"/>
              </w:rPr>
              <w:t xml:space="preserve">: </w:t>
            </w:r>
            <w:r w:rsidRPr="00BA41A3">
              <w:rPr>
                <w:color w:val="222222"/>
                <w:sz w:val="18"/>
                <w:szCs w:val="18"/>
                <w:lang w:val="en-US" w:eastAsia="fr-CA"/>
              </w:rPr>
              <w:t>Tuberculosis is a public health problem around the world; the increase in tuberculosis rates is propelled by the HIV epidemic. Difficult diagnosis in children, it is responsible for many deaths in children under 15 years in developing countries.</w:t>
            </w:r>
            <w:r>
              <w:rPr>
                <w:color w:val="222222"/>
                <w:sz w:val="18"/>
                <w:szCs w:val="18"/>
                <w:lang w:val="en-US" w:eastAsia="fr-CA"/>
              </w:rPr>
              <w:t xml:space="preserve"> </w:t>
            </w:r>
            <w:r w:rsidRPr="00BA41A3">
              <w:rPr>
                <w:b/>
                <w:color w:val="222222"/>
                <w:sz w:val="18"/>
                <w:szCs w:val="18"/>
                <w:lang w:val="en-US" w:eastAsia="fr-CA"/>
              </w:rPr>
              <w:t>M</w:t>
            </w:r>
            <w:r>
              <w:rPr>
                <w:b/>
                <w:color w:val="222222"/>
                <w:sz w:val="18"/>
                <w:szCs w:val="18"/>
                <w:lang w:val="en-US" w:eastAsia="fr-CA"/>
              </w:rPr>
              <w:t xml:space="preserve">ETHODS: </w:t>
            </w:r>
            <w:r w:rsidRPr="00BA41A3">
              <w:rPr>
                <w:color w:val="222222"/>
                <w:sz w:val="18"/>
                <w:szCs w:val="18"/>
                <w:lang w:val="en-US" w:eastAsia="fr-CA"/>
              </w:rPr>
              <w:t xml:space="preserve">Retrospective, 5-year descriptive study consisting of a review of children aged 0-15 years treated for tuberculosis in the </w:t>
            </w:r>
            <w:proofErr w:type="spellStart"/>
            <w:r w:rsidRPr="00BA41A3">
              <w:rPr>
                <w:color w:val="222222"/>
                <w:sz w:val="18"/>
                <w:szCs w:val="18"/>
                <w:lang w:val="en-US" w:eastAsia="fr-CA"/>
              </w:rPr>
              <w:t>Donka</w:t>
            </w:r>
            <w:proofErr w:type="spellEnd"/>
            <w:r w:rsidRPr="00BA41A3">
              <w:rPr>
                <w:color w:val="222222"/>
                <w:sz w:val="18"/>
                <w:szCs w:val="18"/>
                <w:lang w:val="en-US" w:eastAsia="fr-CA"/>
              </w:rPr>
              <w:t xml:space="preserve"> pediatric ward.</w:t>
            </w:r>
            <w:r>
              <w:rPr>
                <w:color w:val="222222"/>
                <w:sz w:val="18"/>
                <w:szCs w:val="18"/>
                <w:lang w:val="en-US" w:eastAsia="fr-CA"/>
              </w:rPr>
              <w:t xml:space="preserve"> </w:t>
            </w:r>
            <w:r w:rsidRPr="00BA41A3">
              <w:rPr>
                <w:b/>
                <w:color w:val="222222"/>
                <w:sz w:val="18"/>
                <w:szCs w:val="18"/>
                <w:lang w:val="en-US" w:eastAsia="fr-CA"/>
              </w:rPr>
              <w:t>D</w:t>
            </w:r>
            <w:r>
              <w:rPr>
                <w:b/>
                <w:color w:val="222222"/>
                <w:sz w:val="18"/>
                <w:szCs w:val="18"/>
                <w:lang w:val="en-US" w:eastAsia="fr-CA"/>
              </w:rPr>
              <w:t>ATA COLLECTION:</w:t>
            </w:r>
            <w:r w:rsidRPr="00BA41A3">
              <w:rPr>
                <w:color w:val="222222"/>
                <w:sz w:val="18"/>
                <w:szCs w:val="18"/>
                <w:lang w:val="en-US" w:eastAsia="fr-CA"/>
              </w:rPr>
              <w:t> Data was collected from follow-up records and medical records. Included were children with a complete medical record, the diagnosis of tuberculosis was based on the presence of anamnestic, clinical, biological and radiological evidence bundles.</w:t>
            </w:r>
            <w:r>
              <w:rPr>
                <w:color w:val="222222"/>
                <w:sz w:val="18"/>
                <w:szCs w:val="18"/>
                <w:lang w:val="en-US" w:eastAsia="fr-CA"/>
              </w:rPr>
              <w:t xml:space="preserve"> </w:t>
            </w:r>
            <w:r w:rsidRPr="00BA41A3">
              <w:rPr>
                <w:b/>
                <w:color w:val="222222"/>
                <w:sz w:val="18"/>
                <w:szCs w:val="18"/>
                <w:lang w:val="en-US" w:eastAsia="fr-CA"/>
              </w:rPr>
              <w:t>R</w:t>
            </w:r>
            <w:r>
              <w:rPr>
                <w:b/>
                <w:color w:val="222222"/>
                <w:sz w:val="18"/>
                <w:szCs w:val="18"/>
                <w:lang w:val="en-US" w:eastAsia="fr-CA"/>
              </w:rPr>
              <w:t>ESULTS:</w:t>
            </w:r>
            <w:r w:rsidRPr="00BA41A3">
              <w:rPr>
                <w:color w:val="222222"/>
                <w:sz w:val="18"/>
                <w:szCs w:val="18"/>
                <w:lang w:val="en-US" w:eastAsia="fr-CA"/>
              </w:rPr>
              <w:t xml:space="preserve"> We collected 397 cases of tuberculosis out of 17204 inpatients (2.3%), of which 57.2% were boys. A sex ratio M / F of 1.33; average age of 5 months. The contagion was reported in 43.04%, the IDR was positive in 62.24%. The BK was found in 48 children with 18.75% positive, the </w:t>
            </w:r>
            <w:proofErr w:type="spellStart"/>
            <w:r w:rsidRPr="00BA41A3">
              <w:rPr>
                <w:color w:val="222222"/>
                <w:sz w:val="18"/>
                <w:szCs w:val="18"/>
                <w:lang w:val="en-US" w:eastAsia="fr-CA"/>
              </w:rPr>
              <w:t>mediastino</w:t>
            </w:r>
            <w:proofErr w:type="spellEnd"/>
            <w:r w:rsidRPr="00BA41A3">
              <w:rPr>
                <w:color w:val="222222"/>
                <w:sz w:val="18"/>
                <w:szCs w:val="18"/>
                <w:lang w:val="en-US" w:eastAsia="fr-CA"/>
              </w:rPr>
              <w:t>-pulmonary and ganglionic locations were more observed, 84.54% healing, 10, 05% lost to follow-up and 5.41% deaths, of which 61.9% were under 5 years old.</w:t>
            </w:r>
            <w:r>
              <w:rPr>
                <w:color w:val="222222"/>
                <w:sz w:val="18"/>
                <w:szCs w:val="18"/>
                <w:lang w:val="en-US" w:eastAsia="fr-CA"/>
              </w:rPr>
              <w:t xml:space="preserve"> </w:t>
            </w:r>
            <w:r w:rsidRPr="00BA41A3">
              <w:rPr>
                <w:b/>
                <w:color w:val="222222"/>
                <w:sz w:val="18"/>
                <w:szCs w:val="18"/>
                <w:lang w:eastAsia="fr-CA"/>
              </w:rPr>
              <w:t>C</w:t>
            </w:r>
            <w:r>
              <w:rPr>
                <w:b/>
                <w:color w:val="222222"/>
                <w:sz w:val="18"/>
                <w:szCs w:val="18"/>
                <w:lang w:eastAsia="fr-CA"/>
              </w:rPr>
              <w:t xml:space="preserve">ONCLUSION : </w:t>
            </w:r>
            <w:r w:rsidRPr="00BA41A3">
              <w:rPr>
                <w:color w:val="222222"/>
                <w:sz w:val="18"/>
                <w:szCs w:val="18"/>
                <w:lang w:val="en-US" w:eastAsia="fr-CA"/>
              </w:rPr>
              <w:t xml:space="preserve">Tuberculosis is a health problem in Guinea, by its rich and polymorphic clinical picture, its biological diagnosis remains random. The </w:t>
            </w:r>
            <w:proofErr w:type="spellStart"/>
            <w:r w:rsidRPr="00BA41A3">
              <w:rPr>
                <w:color w:val="222222"/>
                <w:sz w:val="18"/>
                <w:szCs w:val="18"/>
                <w:lang w:val="en-US" w:eastAsia="fr-CA"/>
              </w:rPr>
              <w:t>mediastino</w:t>
            </w:r>
            <w:proofErr w:type="spellEnd"/>
            <w:r w:rsidRPr="00BA41A3">
              <w:rPr>
                <w:color w:val="222222"/>
                <w:sz w:val="18"/>
                <w:szCs w:val="18"/>
                <w:lang w:val="en-US" w:eastAsia="fr-CA"/>
              </w:rPr>
              <w:t>-pulmonary and ganglionic sites were more observed. The favorable evolution for the majority of our patients.</w:t>
            </w:r>
          </w:p>
          <w:p w:rsidR="007D484F" w:rsidRDefault="007D484F" w:rsidP="007D4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18"/>
                <w:szCs w:val="18"/>
                <w:lang w:val="en-US" w:eastAsia="fr-CA"/>
              </w:rPr>
            </w:pPr>
          </w:p>
          <w:p w:rsidR="007D484F" w:rsidRDefault="007D484F" w:rsidP="007D4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18"/>
                <w:szCs w:val="18"/>
                <w:lang w:val="en-US" w:eastAsia="fr-CA"/>
              </w:rPr>
            </w:pPr>
          </w:p>
          <w:p w:rsidR="007D484F" w:rsidRDefault="007D484F" w:rsidP="007D4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18"/>
                <w:szCs w:val="18"/>
                <w:lang w:val="en-US" w:eastAsia="fr-CA"/>
              </w:rPr>
            </w:pPr>
          </w:p>
          <w:p w:rsidR="007D484F" w:rsidRPr="007D484F" w:rsidRDefault="007D484F" w:rsidP="007D4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18"/>
                <w:szCs w:val="18"/>
                <w:lang w:val="en-US" w:eastAsia="fr-CA"/>
              </w:rPr>
            </w:pPr>
          </w:p>
          <w:p w:rsidR="007D591B" w:rsidRPr="00F74865" w:rsidRDefault="007D591B" w:rsidP="00361EE4">
            <w:pPr>
              <w:jc w:val="both"/>
              <w:rPr>
                <w:sz w:val="18"/>
                <w:szCs w:val="18"/>
                <w:lang w:val="en-US"/>
              </w:rPr>
            </w:pPr>
          </w:p>
        </w:tc>
      </w:tr>
    </w:tbl>
    <w:p w:rsidR="00C11AD0" w:rsidRPr="00F74865" w:rsidRDefault="00C11AD0" w:rsidP="007D591B">
      <w:pPr>
        <w:jc w:val="both"/>
        <w:rPr>
          <w:rFonts w:eastAsia="Times New Roman"/>
          <w:b/>
          <w:bCs/>
          <w:sz w:val="20"/>
          <w:szCs w:val="20"/>
          <w:lang w:val="en-US"/>
        </w:rPr>
        <w:sectPr w:rsidR="00C11AD0" w:rsidRPr="00F74865" w:rsidSect="00F814AD">
          <w:pgSz w:w="11906" w:h="16838" w:code="9"/>
          <w:pgMar w:top="1134" w:right="851" w:bottom="1418" w:left="1134" w:header="708" w:footer="708" w:gutter="0"/>
          <w:cols w:space="708"/>
          <w:docGrid w:linePitch="360"/>
        </w:sectPr>
      </w:pPr>
    </w:p>
    <w:p w:rsidR="000B24E4" w:rsidRPr="00F74865" w:rsidRDefault="000B24E4" w:rsidP="007D591B">
      <w:pPr>
        <w:jc w:val="both"/>
        <w:rPr>
          <w:rFonts w:eastAsia="Times New Roman"/>
          <w:b/>
          <w:bCs/>
          <w:sz w:val="20"/>
          <w:szCs w:val="20"/>
          <w:lang w:val="en-US"/>
        </w:rPr>
        <w:sectPr w:rsidR="000B24E4" w:rsidRPr="00F74865" w:rsidSect="00C11AD0">
          <w:type w:val="continuous"/>
          <w:pgSz w:w="11906" w:h="16838" w:code="9"/>
          <w:pgMar w:top="1134" w:right="851" w:bottom="1418" w:left="1134" w:header="708" w:footer="708" w:gutter="0"/>
          <w:cols w:space="708"/>
          <w:docGrid w:linePitch="360"/>
        </w:sectPr>
      </w:pPr>
    </w:p>
    <w:p w:rsidR="00577B56" w:rsidRPr="000E5A7F" w:rsidRDefault="001723C9" w:rsidP="000B24E4">
      <w:pPr>
        <w:jc w:val="both"/>
        <w:rPr>
          <w:sz w:val="20"/>
          <w:szCs w:val="20"/>
        </w:rPr>
      </w:pPr>
      <w:r w:rsidRPr="000E5A7F">
        <w:rPr>
          <w:b/>
          <w:bCs/>
          <w:color w:val="000000"/>
          <w:sz w:val="20"/>
          <w:szCs w:val="20"/>
          <w:lang w:eastAsia="fr-FR"/>
        </w:rPr>
        <w:lastRenderedPageBreak/>
        <w:t>INTRODUCTION</w:t>
      </w:r>
      <w:r w:rsidR="00577B56" w:rsidRPr="000E5A7F">
        <w:rPr>
          <w:b/>
          <w:bCs/>
          <w:color w:val="000000"/>
          <w:sz w:val="20"/>
          <w:szCs w:val="20"/>
          <w:lang w:eastAsia="fr-FR"/>
        </w:rPr>
        <w:t> :</w:t>
      </w:r>
    </w:p>
    <w:p w:rsidR="007D484F" w:rsidRPr="000E5A7F" w:rsidRDefault="007D484F" w:rsidP="007D484F">
      <w:pPr>
        <w:jc w:val="both"/>
        <w:rPr>
          <w:sz w:val="20"/>
          <w:szCs w:val="20"/>
        </w:rPr>
      </w:pPr>
      <w:r w:rsidRPr="000E5A7F">
        <w:rPr>
          <w:sz w:val="20"/>
          <w:szCs w:val="20"/>
        </w:rPr>
        <w:t xml:space="preserve">La tuberculose représente un problème de santé publique car elle pose souvent une difficulté de diagnostic chez l’enfant en raison du manque de spécificité du tableau clinique, des examens biologiques et radiologiques. C’est l’une des pathologies infectieuses causant le plus de décès dans le monde, avec plus de 8 millions de nouveaux cas chaque année, plus d’un million de décès par an. Un million d’enfants âgés de 0 à 14 ans ont développé la maladie et 170.000 en sont morts en 2015, les </w:t>
      </w:r>
      <w:proofErr w:type="spellStart"/>
      <w:r w:rsidRPr="000E5A7F">
        <w:rPr>
          <w:sz w:val="20"/>
          <w:szCs w:val="20"/>
        </w:rPr>
        <w:t>co</w:t>
      </w:r>
      <w:proofErr w:type="spellEnd"/>
      <w:r w:rsidRPr="000E5A7F">
        <w:rPr>
          <w:sz w:val="20"/>
          <w:szCs w:val="20"/>
        </w:rPr>
        <w:t>- infections</w:t>
      </w:r>
      <w:r w:rsidRPr="000E5A7F">
        <w:rPr>
          <w:color w:val="FF0000"/>
          <w:sz w:val="20"/>
          <w:szCs w:val="20"/>
        </w:rPr>
        <w:t xml:space="preserve"> </w:t>
      </w:r>
      <w:r w:rsidRPr="000E5A7F">
        <w:rPr>
          <w:sz w:val="20"/>
          <w:szCs w:val="20"/>
        </w:rPr>
        <w:t>Tuberculose/VIH y contribuent dans une grande proportion</w:t>
      </w:r>
      <w:r w:rsidRPr="000E5A7F">
        <w:rPr>
          <w:b/>
          <w:sz w:val="20"/>
          <w:szCs w:val="20"/>
        </w:rPr>
        <w:t xml:space="preserve"> [1, 2, 3,4]</w:t>
      </w:r>
      <w:r w:rsidRPr="000E5A7F">
        <w:rPr>
          <w:sz w:val="20"/>
          <w:szCs w:val="20"/>
        </w:rPr>
        <w:t xml:space="preserve">. Sur l’ensemble de nouveaux cas en 2013 dans le monde, plus de la moitié vivait en Asie et 25% en Afrique ; avec les taux les plus élevés de cas de décès dans la population des pays en développement </w:t>
      </w:r>
      <w:r w:rsidRPr="000E5A7F">
        <w:rPr>
          <w:b/>
          <w:sz w:val="20"/>
          <w:szCs w:val="20"/>
        </w:rPr>
        <w:t xml:space="preserve">[5]. </w:t>
      </w:r>
      <w:r w:rsidRPr="000E5A7F">
        <w:rPr>
          <w:sz w:val="20"/>
          <w:szCs w:val="20"/>
        </w:rPr>
        <w:t>En Guinée comme dans beaucoup de pays en voie de développement, l’augmentation des taux de tuberculeux est propulsée par l’épidémie du virus de l’immunodéficience humaine (VIH).Sur le plan national, la prévalence de l’infection à VIH était de1.5% dans la population de 15 à 49 ans</w:t>
      </w:r>
      <w:r w:rsidRPr="000E5A7F">
        <w:rPr>
          <w:b/>
          <w:sz w:val="20"/>
          <w:szCs w:val="20"/>
          <w:lang w:val="fr-CA" w:eastAsia="fr-CA"/>
        </w:rPr>
        <w:t>[6]</w:t>
      </w:r>
      <w:r w:rsidRPr="000E5A7F">
        <w:rPr>
          <w:sz w:val="20"/>
          <w:szCs w:val="20"/>
        </w:rPr>
        <w:t xml:space="preserve"> ;en 2017 l’incidence de la tuberculose chez les moins de 14 ans était de 2.5/100000 ; 13972  nouveaux </w:t>
      </w:r>
      <w:r w:rsidRPr="000E5A7F">
        <w:rPr>
          <w:sz w:val="20"/>
          <w:szCs w:val="20"/>
          <w:lang w:val="fr-CA" w:eastAsia="fr-CA"/>
        </w:rPr>
        <w:t xml:space="preserve">cas ont été déclarés contre 13752 cas de rechute, la létalité était de 0.23% </w:t>
      </w:r>
      <w:r w:rsidRPr="000E5A7F">
        <w:rPr>
          <w:b/>
          <w:sz w:val="20"/>
          <w:szCs w:val="20"/>
          <w:lang w:val="fr-CA" w:eastAsia="fr-CA"/>
        </w:rPr>
        <w:t>[7]</w:t>
      </w:r>
      <w:r w:rsidRPr="000E5A7F">
        <w:rPr>
          <w:sz w:val="20"/>
          <w:szCs w:val="20"/>
        </w:rPr>
        <w:t xml:space="preserve">  ceci montrait à suffisance que la tuberculose constitue un problème de santé publique et que les enfants constituent un terrain de prédilection à cause de leur fragilité ;d’où l’objectif d’étudier les différents aspects de la tuberculose de l’enfant au service de pédiatrie de l’Hôpital National </w:t>
      </w:r>
      <w:proofErr w:type="spellStart"/>
      <w:r w:rsidRPr="000E5A7F">
        <w:rPr>
          <w:sz w:val="20"/>
          <w:szCs w:val="20"/>
        </w:rPr>
        <w:t>Donka</w:t>
      </w:r>
      <w:proofErr w:type="spellEnd"/>
      <w:r w:rsidRPr="000E5A7F">
        <w:rPr>
          <w:sz w:val="20"/>
          <w:szCs w:val="20"/>
        </w:rPr>
        <w:t>.</w:t>
      </w:r>
    </w:p>
    <w:p w:rsidR="00524B82" w:rsidRPr="000E5A7F" w:rsidRDefault="001723C9" w:rsidP="00524B82">
      <w:pPr>
        <w:jc w:val="both"/>
        <w:rPr>
          <w:b/>
          <w:sz w:val="20"/>
          <w:szCs w:val="20"/>
        </w:rPr>
      </w:pPr>
      <w:r w:rsidRPr="000E5A7F">
        <w:rPr>
          <w:b/>
          <w:sz w:val="20"/>
          <w:szCs w:val="20"/>
        </w:rPr>
        <w:t>MATERIELS ET METHODES</w:t>
      </w:r>
    </w:p>
    <w:p w:rsidR="007D484F" w:rsidRPr="000E5A7F" w:rsidRDefault="007D484F" w:rsidP="007D484F">
      <w:pPr>
        <w:jc w:val="both"/>
        <w:rPr>
          <w:sz w:val="20"/>
          <w:szCs w:val="20"/>
        </w:rPr>
      </w:pPr>
      <w:r w:rsidRPr="000E5A7F">
        <w:rPr>
          <w:sz w:val="20"/>
          <w:szCs w:val="20"/>
        </w:rPr>
        <w:t>Il s’agissait d’une étude rétrospective, descriptive sur 5 ans (1</w:t>
      </w:r>
      <w:r w:rsidRPr="000E5A7F">
        <w:rPr>
          <w:sz w:val="20"/>
          <w:szCs w:val="20"/>
          <w:vertAlign w:val="superscript"/>
        </w:rPr>
        <w:t>er</w:t>
      </w:r>
      <w:r w:rsidRPr="000E5A7F">
        <w:rPr>
          <w:sz w:val="20"/>
          <w:szCs w:val="20"/>
        </w:rPr>
        <w:t xml:space="preserve"> janvier 2013 au 31</w:t>
      </w:r>
      <w:r w:rsidRPr="000E5A7F">
        <w:rPr>
          <w:sz w:val="20"/>
          <w:szCs w:val="20"/>
          <w:vertAlign w:val="superscript"/>
        </w:rPr>
        <w:t>e</w:t>
      </w:r>
      <w:r w:rsidRPr="000E5A7F">
        <w:rPr>
          <w:sz w:val="20"/>
          <w:szCs w:val="20"/>
        </w:rPr>
        <w:t xml:space="preserve"> décembre 2018) consistant en une revue des dossiers d’enfants âgés de 0-14 ans, traités pour tuberculose dans le service de pédiatrie de l’Hôpital National </w:t>
      </w:r>
      <w:proofErr w:type="spellStart"/>
      <w:r w:rsidRPr="000E5A7F">
        <w:rPr>
          <w:sz w:val="20"/>
          <w:szCs w:val="20"/>
        </w:rPr>
        <w:t>Donka</w:t>
      </w:r>
      <w:proofErr w:type="spellEnd"/>
      <w:r w:rsidRPr="000E5A7F">
        <w:rPr>
          <w:sz w:val="20"/>
          <w:szCs w:val="20"/>
        </w:rPr>
        <w:t xml:space="preserve">. Les données étaient collectées à l’aide d’une </w:t>
      </w:r>
      <w:proofErr w:type="spellStart"/>
      <w:r w:rsidRPr="000E5A7F">
        <w:rPr>
          <w:sz w:val="20"/>
          <w:szCs w:val="20"/>
        </w:rPr>
        <w:t>ﬁche</w:t>
      </w:r>
      <w:proofErr w:type="spellEnd"/>
      <w:r w:rsidRPr="000E5A7F">
        <w:rPr>
          <w:sz w:val="20"/>
          <w:szCs w:val="20"/>
        </w:rPr>
        <w:t xml:space="preserve"> d’enquête à ` partir des registres de suivi et des dossiers médicaux des patients. Nous avons inclus </w:t>
      </w:r>
      <w:bookmarkStart w:id="1" w:name="_Hlk19468396"/>
      <w:r w:rsidRPr="000E5A7F">
        <w:rPr>
          <w:sz w:val="20"/>
          <w:szCs w:val="20"/>
        </w:rPr>
        <w:t>les enfants tuberculeux</w:t>
      </w:r>
      <w:bookmarkEnd w:id="1"/>
      <w:r w:rsidRPr="000E5A7F">
        <w:rPr>
          <w:sz w:val="20"/>
          <w:szCs w:val="20"/>
        </w:rPr>
        <w:t xml:space="preserve"> ayant un dossier médical complet ; le dossier était dit complet lorsqu’il comportait les paramètres anamnestiques, cliniques, paracliniques (Intradermo-réaction, bactériologie, radiographie pulmonaire), thérapeutiques et évolutifs. Pour chaque enfant, ont été étudiés les paramètres sociodémographiques, anthropométriques, cliniques, paracliniques, thérapeutiques et évolutifs. Le diagnostic de la tuberculose a été retenu sur la base de la présence des faisceaux d’arguments anamnestiques ,cliniques, biologiques et radiologiques à savoir : une notion de contage tuberculeux, une toux chronique, une altération de l’état général, une </w:t>
      </w:r>
      <w:proofErr w:type="spellStart"/>
      <w:r w:rsidRPr="000E5A7F">
        <w:rPr>
          <w:sz w:val="20"/>
          <w:szCs w:val="20"/>
        </w:rPr>
        <w:t>ﬁèvre</w:t>
      </w:r>
      <w:proofErr w:type="spellEnd"/>
      <w:r w:rsidRPr="000E5A7F">
        <w:rPr>
          <w:sz w:val="20"/>
          <w:szCs w:val="20"/>
        </w:rPr>
        <w:t xml:space="preserve"> durant plus de 15 jours, une hémoptysie, des opacités pulmonaires à la radiographie thoracique, une intradermo réaction  à la tuberculine positive par la méthode de </w:t>
      </w:r>
      <w:proofErr w:type="spellStart"/>
      <w:r w:rsidRPr="000E5A7F">
        <w:rPr>
          <w:sz w:val="20"/>
          <w:szCs w:val="20"/>
        </w:rPr>
        <w:t>Manthoux</w:t>
      </w:r>
      <w:proofErr w:type="spellEnd"/>
      <w:r w:rsidRPr="000E5A7F">
        <w:rPr>
          <w:sz w:val="20"/>
          <w:szCs w:val="20"/>
        </w:rPr>
        <w:t xml:space="preserve"> (le seuil de positivité de l’intradermo-réaction a été de 5mm en cas d’infection au VIH et/ou dénutrition   et10 mm pour les  autres enfants indépendamment de leur statut vaccinal au BCG ) et/ou  la découverte à l’examen microscopique directe du Bacille de Koch par la  coloration de Ziehl-</w:t>
      </w:r>
      <w:proofErr w:type="spellStart"/>
      <w:r w:rsidRPr="000E5A7F">
        <w:rPr>
          <w:sz w:val="20"/>
          <w:szCs w:val="20"/>
        </w:rPr>
        <w:t>Neelsen</w:t>
      </w:r>
      <w:proofErr w:type="spellEnd"/>
      <w:r w:rsidRPr="000E5A7F">
        <w:rPr>
          <w:sz w:val="20"/>
          <w:szCs w:val="20"/>
        </w:rPr>
        <w:t xml:space="preserve"> dans un prélèvement biologique ( crachat, liquide de tubage gastrique, ponction ganglionnaire…). Le traitement adopté était celui recommandé par le </w:t>
      </w:r>
      <w:r w:rsidRPr="000E5A7F">
        <w:rPr>
          <w:sz w:val="20"/>
          <w:szCs w:val="20"/>
        </w:rPr>
        <w:t xml:space="preserve">Programme National de Lutte contre la Tuberculose (PNLCT) gratuit pour tous les patients. Le schéma 1 était le traitement standard et le schéma 2 était le schéma de retraitement </w:t>
      </w:r>
      <w:r w:rsidR="006C3F88" w:rsidRPr="000E5A7F">
        <w:rPr>
          <w:sz w:val="20"/>
          <w:szCs w:val="20"/>
        </w:rPr>
        <w:t>était</w:t>
      </w:r>
      <w:r w:rsidRPr="000E5A7F">
        <w:rPr>
          <w:sz w:val="20"/>
          <w:szCs w:val="20"/>
        </w:rPr>
        <w:t xml:space="preserve"> utilisé en cas d’échec du schéma 1. </w:t>
      </w:r>
    </w:p>
    <w:p w:rsidR="007D484F" w:rsidRPr="000E5A7F" w:rsidRDefault="007D484F" w:rsidP="000E5A7F">
      <w:pPr>
        <w:jc w:val="both"/>
        <w:rPr>
          <w:strike/>
          <w:color w:val="FF0000"/>
          <w:sz w:val="20"/>
          <w:szCs w:val="20"/>
        </w:rPr>
      </w:pPr>
      <w:r w:rsidRPr="000E5A7F">
        <w:rPr>
          <w:sz w:val="20"/>
          <w:szCs w:val="20"/>
        </w:rPr>
        <w:t>Schéma1 :</w:t>
      </w:r>
      <w:r w:rsidRPr="000E5A7F">
        <w:rPr>
          <w:color w:val="FF0000"/>
          <w:sz w:val="20"/>
          <w:szCs w:val="20"/>
        </w:rPr>
        <w:t> </w:t>
      </w:r>
      <w:r w:rsidRPr="000E5A7F">
        <w:rPr>
          <w:b/>
          <w:bCs/>
          <w:color w:val="000000"/>
          <w:sz w:val="20"/>
          <w:szCs w:val="20"/>
        </w:rPr>
        <w:t xml:space="preserve">2RHZE/4RH </w:t>
      </w:r>
      <w:r w:rsidRPr="000E5A7F">
        <w:rPr>
          <w:color w:val="000000"/>
          <w:sz w:val="20"/>
          <w:szCs w:val="20"/>
        </w:rPr>
        <w:t>pour les nouveaux cas (le traitement de</w:t>
      </w:r>
      <w:r w:rsidR="000E5A7F">
        <w:rPr>
          <w:color w:val="000000"/>
          <w:sz w:val="20"/>
          <w:szCs w:val="20"/>
        </w:rPr>
        <w:t xml:space="preserve"> 1</w:t>
      </w:r>
      <w:r w:rsidR="000E5A7F" w:rsidRPr="000E5A7F">
        <w:rPr>
          <w:color w:val="000000"/>
          <w:sz w:val="20"/>
          <w:szCs w:val="20"/>
          <w:vertAlign w:val="superscript"/>
        </w:rPr>
        <w:t>ère</w:t>
      </w:r>
      <w:r w:rsidRPr="000E5A7F">
        <w:rPr>
          <w:color w:val="000000"/>
          <w:position w:val="10"/>
          <w:sz w:val="20"/>
          <w:szCs w:val="20"/>
          <w:vertAlign w:val="superscript"/>
        </w:rPr>
        <w:t xml:space="preserve"> </w:t>
      </w:r>
      <w:r w:rsidRPr="000E5A7F">
        <w:rPr>
          <w:color w:val="000000"/>
          <w:sz w:val="20"/>
          <w:szCs w:val="20"/>
        </w:rPr>
        <w:t>ligne ou traitement standard)</w:t>
      </w:r>
      <w:r w:rsidRPr="000E5A7F">
        <w:rPr>
          <w:b/>
          <w:bCs/>
          <w:color w:val="000000"/>
          <w:sz w:val="20"/>
          <w:szCs w:val="20"/>
        </w:rPr>
        <w:t xml:space="preserve">. Durée du traitement </w:t>
      </w:r>
      <w:r w:rsidRPr="000E5A7F">
        <w:rPr>
          <w:color w:val="000000"/>
          <w:sz w:val="20"/>
          <w:szCs w:val="20"/>
        </w:rPr>
        <w:t xml:space="preserve">6 mois : </w:t>
      </w:r>
      <w:r w:rsidRPr="000E5A7F">
        <w:rPr>
          <w:b/>
          <w:bCs/>
          <w:color w:val="000000"/>
          <w:sz w:val="20"/>
          <w:szCs w:val="20"/>
        </w:rPr>
        <w:t xml:space="preserve">Phase intensive (2 mois) </w:t>
      </w:r>
      <w:r w:rsidRPr="000E5A7F">
        <w:rPr>
          <w:color w:val="000000"/>
          <w:sz w:val="20"/>
          <w:szCs w:val="20"/>
        </w:rPr>
        <w:t xml:space="preserve">: Rifampicine </w:t>
      </w:r>
      <w:r w:rsidRPr="000E5A7F">
        <w:rPr>
          <w:b/>
          <w:bCs/>
          <w:color w:val="000000"/>
          <w:sz w:val="20"/>
          <w:szCs w:val="20"/>
        </w:rPr>
        <w:t>(R)</w:t>
      </w:r>
      <w:r w:rsidRPr="000E5A7F">
        <w:rPr>
          <w:color w:val="000000"/>
          <w:sz w:val="20"/>
          <w:szCs w:val="20"/>
        </w:rPr>
        <w:t xml:space="preserve">, Isoniazide </w:t>
      </w:r>
      <w:r w:rsidRPr="000E5A7F">
        <w:rPr>
          <w:b/>
          <w:bCs/>
          <w:color w:val="000000"/>
          <w:sz w:val="20"/>
          <w:szCs w:val="20"/>
        </w:rPr>
        <w:t>(H)</w:t>
      </w:r>
      <w:r w:rsidRPr="000E5A7F">
        <w:rPr>
          <w:color w:val="000000"/>
          <w:sz w:val="20"/>
          <w:szCs w:val="20"/>
        </w:rPr>
        <w:t xml:space="preserve">, </w:t>
      </w:r>
      <w:proofErr w:type="spellStart"/>
      <w:r w:rsidRPr="000E5A7F">
        <w:rPr>
          <w:color w:val="000000"/>
          <w:sz w:val="20"/>
          <w:szCs w:val="20"/>
        </w:rPr>
        <w:t>Pyrazinamide</w:t>
      </w:r>
      <w:proofErr w:type="spellEnd"/>
      <w:r w:rsidRPr="000E5A7F">
        <w:rPr>
          <w:color w:val="000000"/>
          <w:sz w:val="20"/>
          <w:szCs w:val="20"/>
        </w:rPr>
        <w:t xml:space="preserve"> </w:t>
      </w:r>
      <w:r w:rsidRPr="000E5A7F">
        <w:rPr>
          <w:b/>
          <w:bCs/>
          <w:color w:val="000000"/>
          <w:sz w:val="20"/>
          <w:szCs w:val="20"/>
        </w:rPr>
        <w:t xml:space="preserve">(Z) </w:t>
      </w:r>
      <w:r w:rsidRPr="000E5A7F">
        <w:rPr>
          <w:color w:val="000000"/>
          <w:sz w:val="20"/>
          <w:szCs w:val="20"/>
        </w:rPr>
        <w:t xml:space="preserve">et </w:t>
      </w:r>
      <w:proofErr w:type="spellStart"/>
      <w:r w:rsidRPr="000E5A7F">
        <w:rPr>
          <w:color w:val="000000"/>
          <w:sz w:val="20"/>
          <w:szCs w:val="20"/>
        </w:rPr>
        <w:t>Ethambutol</w:t>
      </w:r>
      <w:proofErr w:type="spellEnd"/>
      <w:r w:rsidRPr="000E5A7F">
        <w:rPr>
          <w:color w:val="000000"/>
          <w:sz w:val="20"/>
          <w:szCs w:val="20"/>
        </w:rPr>
        <w:t xml:space="preserve"> </w:t>
      </w:r>
      <w:r w:rsidRPr="000E5A7F">
        <w:rPr>
          <w:b/>
          <w:bCs/>
          <w:color w:val="000000"/>
          <w:sz w:val="20"/>
          <w:szCs w:val="20"/>
        </w:rPr>
        <w:t>(E) Phase d’entretien ou phase de continuation (4 mois</w:t>
      </w:r>
      <w:r w:rsidRPr="000E5A7F">
        <w:rPr>
          <w:color w:val="000000"/>
          <w:sz w:val="20"/>
          <w:szCs w:val="20"/>
        </w:rPr>
        <w:t xml:space="preserve">) : Rifampicine </w:t>
      </w:r>
      <w:r w:rsidRPr="000E5A7F">
        <w:rPr>
          <w:b/>
          <w:bCs/>
          <w:color w:val="000000"/>
          <w:sz w:val="20"/>
          <w:szCs w:val="20"/>
        </w:rPr>
        <w:t xml:space="preserve">(R) </w:t>
      </w:r>
      <w:r w:rsidRPr="000E5A7F">
        <w:rPr>
          <w:color w:val="000000"/>
          <w:sz w:val="20"/>
          <w:szCs w:val="20"/>
        </w:rPr>
        <w:t xml:space="preserve">et l’Isoniazide </w:t>
      </w:r>
      <w:r w:rsidRPr="000E5A7F">
        <w:rPr>
          <w:b/>
          <w:bCs/>
          <w:color w:val="000000"/>
          <w:sz w:val="20"/>
          <w:szCs w:val="20"/>
        </w:rPr>
        <w:t>(H)</w:t>
      </w:r>
      <w:r w:rsidRPr="000E5A7F">
        <w:rPr>
          <w:color w:val="FF0000"/>
          <w:sz w:val="20"/>
          <w:szCs w:val="20"/>
        </w:rPr>
        <w:t>.</w:t>
      </w:r>
      <w:r w:rsidR="000E5A7F">
        <w:rPr>
          <w:color w:val="FF0000"/>
          <w:sz w:val="20"/>
          <w:szCs w:val="20"/>
        </w:rPr>
        <w:t xml:space="preserve"> </w:t>
      </w:r>
      <w:r w:rsidRPr="000E5A7F">
        <w:rPr>
          <w:sz w:val="20"/>
          <w:szCs w:val="20"/>
        </w:rPr>
        <w:t>Schéma2 :</w:t>
      </w:r>
      <w:r w:rsidRPr="000E5A7F">
        <w:rPr>
          <w:color w:val="FF0000"/>
          <w:sz w:val="20"/>
          <w:szCs w:val="20"/>
        </w:rPr>
        <w:t xml:space="preserve"> </w:t>
      </w:r>
      <w:r w:rsidRPr="000E5A7F">
        <w:rPr>
          <w:b/>
          <w:bCs/>
          <w:sz w:val="20"/>
          <w:szCs w:val="20"/>
        </w:rPr>
        <w:t xml:space="preserve">2RHZES/1RHZE/5RHE </w:t>
      </w:r>
      <w:r w:rsidRPr="000E5A7F">
        <w:rPr>
          <w:sz w:val="20"/>
          <w:szCs w:val="20"/>
        </w:rPr>
        <w:t>pour les retraitements (le traitement de</w:t>
      </w:r>
      <w:r w:rsidR="000E5A7F">
        <w:rPr>
          <w:sz w:val="20"/>
          <w:szCs w:val="20"/>
        </w:rPr>
        <w:t xml:space="preserve"> 2</w:t>
      </w:r>
      <w:r w:rsidR="000E5A7F" w:rsidRPr="000E5A7F">
        <w:rPr>
          <w:sz w:val="20"/>
          <w:szCs w:val="20"/>
          <w:vertAlign w:val="superscript"/>
        </w:rPr>
        <w:t>ème</w:t>
      </w:r>
      <w:r w:rsidRPr="000E5A7F">
        <w:rPr>
          <w:sz w:val="20"/>
          <w:szCs w:val="20"/>
        </w:rPr>
        <w:t xml:space="preserve"> ligne ou retraitement). </w:t>
      </w:r>
      <w:r w:rsidRPr="000E5A7F">
        <w:rPr>
          <w:rFonts w:eastAsia="Calibri"/>
          <w:b/>
          <w:bCs/>
          <w:sz w:val="20"/>
          <w:szCs w:val="20"/>
          <w:lang w:eastAsia="en-US"/>
        </w:rPr>
        <w:t xml:space="preserve">Durée du traitement </w:t>
      </w:r>
      <w:r w:rsidRPr="000E5A7F">
        <w:rPr>
          <w:rFonts w:eastAsia="Calibri"/>
          <w:b/>
          <w:sz w:val="20"/>
          <w:szCs w:val="20"/>
          <w:lang w:eastAsia="en-US"/>
        </w:rPr>
        <w:t>8 mois</w:t>
      </w:r>
      <w:r w:rsidRPr="000E5A7F">
        <w:rPr>
          <w:rFonts w:eastAsia="Calibri"/>
          <w:sz w:val="20"/>
          <w:szCs w:val="20"/>
          <w:lang w:eastAsia="en-US"/>
        </w:rPr>
        <w:t xml:space="preserve"> : </w:t>
      </w:r>
      <w:r w:rsidRPr="000E5A7F">
        <w:rPr>
          <w:rFonts w:eastAsia="Calibri"/>
          <w:b/>
          <w:sz w:val="20"/>
          <w:szCs w:val="20"/>
          <w:lang w:eastAsia="en-US"/>
        </w:rPr>
        <w:t xml:space="preserve">Phase initiale 3 mois </w:t>
      </w:r>
      <w:r w:rsidRPr="000E5A7F">
        <w:rPr>
          <w:rFonts w:eastAsia="Calibri"/>
          <w:sz w:val="20"/>
          <w:szCs w:val="20"/>
          <w:lang w:eastAsia="en-US"/>
        </w:rPr>
        <w:t xml:space="preserve">(deux premiers mois : Rifampicine </w:t>
      </w:r>
      <w:r w:rsidRPr="000E5A7F">
        <w:rPr>
          <w:rFonts w:eastAsia="Calibri"/>
          <w:b/>
          <w:bCs/>
          <w:sz w:val="20"/>
          <w:szCs w:val="20"/>
          <w:lang w:eastAsia="en-US"/>
        </w:rPr>
        <w:t>(R)</w:t>
      </w:r>
      <w:r w:rsidRPr="000E5A7F">
        <w:rPr>
          <w:rFonts w:eastAsia="Calibri"/>
          <w:sz w:val="20"/>
          <w:szCs w:val="20"/>
          <w:lang w:eastAsia="en-US"/>
        </w:rPr>
        <w:t>, Isoniazide (</w:t>
      </w:r>
      <w:r w:rsidRPr="000E5A7F">
        <w:rPr>
          <w:rFonts w:eastAsia="Calibri"/>
          <w:b/>
          <w:bCs/>
          <w:sz w:val="20"/>
          <w:szCs w:val="20"/>
          <w:lang w:eastAsia="en-US"/>
        </w:rPr>
        <w:t>H</w:t>
      </w:r>
      <w:r w:rsidRPr="000E5A7F">
        <w:rPr>
          <w:rFonts w:eastAsia="Calibri"/>
          <w:sz w:val="20"/>
          <w:szCs w:val="20"/>
          <w:lang w:eastAsia="en-US"/>
        </w:rPr>
        <w:t xml:space="preserve">), </w:t>
      </w:r>
      <w:proofErr w:type="spellStart"/>
      <w:r w:rsidRPr="000E5A7F">
        <w:rPr>
          <w:rFonts w:eastAsia="Calibri"/>
          <w:sz w:val="20"/>
          <w:szCs w:val="20"/>
          <w:lang w:eastAsia="en-US"/>
        </w:rPr>
        <w:t>Pyrazinamide</w:t>
      </w:r>
      <w:proofErr w:type="spellEnd"/>
      <w:r w:rsidRPr="000E5A7F">
        <w:rPr>
          <w:rFonts w:eastAsia="Calibri"/>
          <w:b/>
          <w:bCs/>
          <w:sz w:val="20"/>
          <w:szCs w:val="20"/>
          <w:lang w:eastAsia="en-US"/>
        </w:rPr>
        <w:t>(Z</w:t>
      </w:r>
      <w:r w:rsidRPr="000E5A7F">
        <w:rPr>
          <w:rFonts w:eastAsia="Calibri"/>
          <w:sz w:val="20"/>
          <w:szCs w:val="20"/>
          <w:lang w:eastAsia="en-US"/>
        </w:rPr>
        <w:t xml:space="preserve">), </w:t>
      </w:r>
      <w:proofErr w:type="spellStart"/>
      <w:r w:rsidRPr="000E5A7F">
        <w:rPr>
          <w:rFonts w:eastAsia="Calibri"/>
          <w:sz w:val="20"/>
          <w:szCs w:val="20"/>
          <w:lang w:eastAsia="en-US"/>
        </w:rPr>
        <w:t>Ethambutol</w:t>
      </w:r>
      <w:proofErr w:type="spellEnd"/>
      <w:r w:rsidRPr="000E5A7F">
        <w:rPr>
          <w:rFonts w:eastAsia="Calibri"/>
          <w:sz w:val="20"/>
          <w:szCs w:val="20"/>
          <w:lang w:eastAsia="en-US"/>
        </w:rPr>
        <w:t xml:space="preserve"> (</w:t>
      </w:r>
      <w:r w:rsidRPr="000E5A7F">
        <w:rPr>
          <w:rFonts w:eastAsia="Calibri"/>
          <w:b/>
          <w:bCs/>
          <w:sz w:val="20"/>
          <w:szCs w:val="20"/>
          <w:lang w:eastAsia="en-US"/>
        </w:rPr>
        <w:t xml:space="preserve">E), </w:t>
      </w:r>
      <w:r w:rsidRPr="000E5A7F">
        <w:rPr>
          <w:rFonts w:eastAsia="Calibri"/>
          <w:sz w:val="20"/>
          <w:szCs w:val="20"/>
          <w:lang w:eastAsia="en-US"/>
        </w:rPr>
        <w:t>et Streptomycine(</w:t>
      </w:r>
      <w:r w:rsidRPr="000E5A7F">
        <w:rPr>
          <w:rFonts w:eastAsia="Calibri"/>
          <w:b/>
          <w:bCs/>
          <w:sz w:val="20"/>
          <w:szCs w:val="20"/>
          <w:lang w:eastAsia="en-US"/>
        </w:rPr>
        <w:t>S</w:t>
      </w:r>
      <w:r w:rsidRPr="000E5A7F">
        <w:rPr>
          <w:rFonts w:eastAsia="Calibri"/>
          <w:sz w:val="20"/>
          <w:szCs w:val="20"/>
          <w:lang w:eastAsia="en-US"/>
        </w:rPr>
        <w:t>) injectable (</w:t>
      </w:r>
      <w:r w:rsidRPr="000E5A7F">
        <w:rPr>
          <w:rFonts w:eastAsia="Calibri"/>
          <w:b/>
          <w:bCs/>
          <w:sz w:val="20"/>
          <w:szCs w:val="20"/>
          <w:lang w:eastAsia="en-US"/>
        </w:rPr>
        <w:t>2RHZES</w:t>
      </w:r>
      <w:r w:rsidRPr="000E5A7F">
        <w:rPr>
          <w:rFonts w:eastAsia="Calibri"/>
          <w:sz w:val="20"/>
          <w:szCs w:val="20"/>
          <w:lang w:eastAsia="en-US"/>
        </w:rPr>
        <w:t xml:space="preserve">). A la fin du </w:t>
      </w:r>
      <w:r w:rsidR="000E5A7F">
        <w:rPr>
          <w:rFonts w:eastAsia="Calibri"/>
          <w:sz w:val="20"/>
          <w:szCs w:val="20"/>
          <w:lang w:eastAsia="en-US"/>
        </w:rPr>
        <w:t>2</w:t>
      </w:r>
      <w:r w:rsidR="000E5A7F" w:rsidRPr="000E5A7F">
        <w:rPr>
          <w:rFonts w:eastAsia="Calibri"/>
          <w:sz w:val="20"/>
          <w:szCs w:val="20"/>
          <w:vertAlign w:val="superscript"/>
          <w:lang w:eastAsia="en-US"/>
        </w:rPr>
        <w:t>ème</w:t>
      </w:r>
      <w:r w:rsidRPr="000E5A7F">
        <w:rPr>
          <w:rFonts w:eastAsia="Calibri"/>
          <w:position w:val="10"/>
          <w:sz w:val="20"/>
          <w:szCs w:val="20"/>
          <w:vertAlign w:val="superscript"/>
          <w:lang w:eastAsia="en-US"/>
        </w:rPr>
        <w:t xml:space="preserve"> </w:t>
      </w:r>
      <w:r w:rsidRPr="000E5A7F">
        <w:rPr>
          <w:rFonts w:eastAsia="Calibri"/>
          <w:sz w:val="20"/>
          <w:szCs w:val="20"/>
          <w:lang w:eastAsia="en-US"/>
        </w:rPr>
        <w:t>mois : arrêt de la Streptomycine(</w:t>
      </w:r>
      <w:r w:rsidRPr="000E5A7F">
        <w:rPr>
          <w:rFonts w:eastAsia="Calibri"/>
          <w:b/>
          <w:bCs/>
          <w:sz w:val="20"/>
          <w:szCs w:val="20"/>
          <w:lang w:eastAsia="en-US"/>
        </w:rPr>
        <w:t xml:space="preserve">S) </w:t>
      </w:r>
      <w:r w:rsidRPr="000E5A7F">
        <w:rPr>
          <w:rFonts w:eastAsia="Calibri"/>
          <w:sz w:val="20"/>
          <w:szCs w:val="20"/>
          <w:lang w:eastAsia="en-US"/>
        </w:rPr>
        <w:t>poursuite de Rifampicine (R), Isoniazide (</w:t>
      </w:r>
      <w:r w:rsidRPr="000E5A7F">
        <w:rPr>
          <w:rFonts w:eastAsia="Calibri"/>
          <w:b/>
          <w:bCs/>
          <w:sz w:val="20"/>
          <w:szCs w:val="20"/>
          <w:lang w:eastAsia="en-US"/>
        </w:rPr>
        <w:t>H</w:t>
      </w:r>
      <w:r w:rsidRPr="000E5A7F">
        <w:rPr>
          <w:rFonts w:eastAsia="Calibri"/>
          <w:sz w:val="20"/>
          <w:szCs w:val="20"/>
          <w:lang w:eastAsia="en-US"/>
        </w:rPr>
        <w:t xml:space="preserve">), </w:t>
      </w:r>
      <w:proofErr w:type="spellStart"/>
      <w:r w:rsidRPr="000E5A7F">
        <w:rPr>
          <w:rFonts w:eastAsia="Calibri"/>
          <w:sz w:val="20"/>
          <w:szCs w:val="20"/>
          <w:lang w:eastAsia="en-US"/>
        </w:rPr>
        <w:t>Pyrazinamide</w:t>
      </w:r>
      <w:proofErr w:type="spellEnd"/>
      <w:r w:rsidRPr="000E5A7F">
        <w:rPr>
          <w:rFonts w:eastAsia="Calibri"/>
          <w:sz w:val="20"/>
          <w:szCs w:val="20"/>
          <w:lang w:eastAsia="en-US"/>
        </w:rPr>
        <w:t>(</w:t>
      </w:r>
      <w:r w:rsidRPr="000E5A7F">
        <w:rPr>
          <w:rFonts w:eastAsia="Calibri"/>
          <w:b/>
          <w:bCs/>
          <w:sz w:val="20"/>
          <w:szCs w:val="20"/>
          <w:lang w:eastAsia="en-US"/>
        </w:rPr>
        <w:t>Z</w:t>
      </w:r>
      <w:r w:rsidRPr="000E5A7F">
        <w:rPr>
          <w:rFonts w:eastAsia="Calibri"/>
          <w:sz w:val="20"/>
          <w:szCs w:val="20"/>
          <w:lang w:eastAsia="en-US"/>
        </w:rPr>
        <w:t xml:space="preserve">), </w:t>
      </w:r>
      <w:proofErr w:type="spellStart"/>
      <w:r w:rsidRPr="000E5A7F">
        <w:rPr>
          <w:rFonts w:eastAsia="Calibri"/>
          <w:sz w:val="20"/>
          <w:szCs w:val="20"/>
          <w:lang w:eastAsia="en-US"/>
        </w:rPr>
        <w:t>Ethambutol</w:t>
      </w:r>
      <w:proofErr w:type="spellEnd"/>
      <w:r w:rsidRPr="000E5A7F">
        <w:rPr>
          <w:rFonts w:eastAsia="Calibri"/>
          <w:sz w:val="20"/>
          <w:szCs w:val="20"/>
          <w:lang w:eastAsia="en-US"/>
        </w:rPr>
        <w:t xml:space="preserve"> (</w:t>
      </w:r>
      <w:r w:rsidRPr="000E5A7F">
        <w:rPr>
          <w:rFonts w:eastAsia="Calibri"/>
          <w:b/>
          <w:bCs/>
          <w:sz w:val="20"/>
          <w:szCs w:val="20"/>
          <w:lang w:eastAsia="en-US"/>
        </w:rPr>
        <w:t>E</w:t>
      </w:r>
      <w:r w:rsidRPr="000E5A7F">
        <w:rPr>
          <w:rFonts w:eastAsia="Calibri"/>
          <w:sz w:val="20"/>
          <w:szCs w:val="20"/>
          <w:lang w:eastAsia="en-US"/>
        </w:rPr>
        <w:t xml:space="preserve">) pendant un mois </w:t>
      </w:r>
      <w:r w:rsidRPr="000E5A7F">
        <w:rPr>
          <w:rFonts w:eastAsia="Calibri"/>
          <w:b/>
          <w:bCs/>
          <w:sz w:val="20"/>
          <w:szCs w:val="20"/>
          <w:lang w:eastAsia="en-US"/>
        </w:rPr>
        <w:t xml:space="preserve">(1RHZE). Phase de continuation 5 </w:t>
      </w:r>
      <w:proofErr w:type="gramStart"/>
      <w:r w:rsidRPr="000E5A7F">
        <w:rPr>
          <w:rFonts w:eastAsia="Calibri"/>
          <w:b/>
          <w:bCs/>
          <w:sz w:val="20"/>
          <w:szCs w:val="20"/>
          <w:lang w:eastAsia="en-US"/>
        </w:rPr>
        <w:t>mois</w:t>
      </w:r>
      <w:r w:rsidRPr="000E5A7F">
        <w:rPr>
          <w:rFonts w:eastAsia="Calibri"/>
          <w:sz w:val="20"/>
          <w:szCs w:val="20"/>
          <w:lang w:eastAsia="en-US"/>
        </w:rPr>
        <w:t>:</w:t>
      </w:r>
      <w:proofErr w:type="gramEnd"/>
      <w:r w:rsidR="000E5A7F">
        <w:rPr>
          <w:rFonts w:eastAsia="Calibri"/>
          <w:sz w:val="20"/>
          <w:szCs w:val="20"/>
          <w:lang w:eastAsia="en-US"/>
        </w:rPr>
        <w:t xml:space="preserve"> </w:t>
      </w:r>
      <w:r w:rsidRPr="000E5A7F">
        <w:rPr>
          <w:rFonts w:eastAsia="Calibri"/>
          <w:sz w:val="20"/>
          <w:szCs w:val="20"/>
          <w:lang w:eastAsia="en-US"/>
        </w:rPr>
        <w:t>Rifampicine</w:t>
      </w:r>
      <w:r w:rsidR="000E5A7F">
        <w:rPr>
          <w:rFonts w:eastAsia="Calibri"/>
          <w:sz w:val="20"/>
          <w:szCs w:val="20"/>
          <w:lang w:eastAsia="en-US"/>
        </w:rPr>
        <w:t xml:space="preserve"> </w:t>
      </w:r>
      <w:r w:rsidRPr="000E5A7F">
        <w:rPr>
          <w:rFonts w:eastAsia="Calibri"/>
          <w:sz w:val="20"/>
          <w:szCs w:val="20"/>
          <w:lang w:eastAsia="en-US"/>
        </w:rPr>
        <w:t>(R),</w:t>
      </w:r>
      <w:r w:rsidR="006C3F88" w:rsidRPr="000E5A7F">
        <w:rPr>
          <w:rFonts w:eastAsia="Calibri"/>
          <w:sz w:val="20"/>
          <w:szCs w:val="20"/>
          <w:lang w:eastAsia="en-US"/>
        </w:rPr>
        <w:t xml:space="preserve"> </w:t>
      </w:r>
      <w:r w:rsidRPr="000E5A7F">
        <w:rPr>
          <w:rFonts w:eastAsia="Calibri"/>
          <w:sz w:val="20"/>
          <w:szCs w:val="20"/>
          <w:lang w:eastAsia="en-US"/>
        </w:rPr>
        <w:t>Isoniazide</w:t>
      </w:r>
      <w:r w:rsidR="000E5A7F">
        <w:rPr>
          <w:rFonts w:eastAsia="Calibri"/>
          <w:sz w:val="20"/>
          <w:szCs w:val="20"/>
          <w:lang w:eastAsia="en-US"/>
        </w:rPr>
        <w:t xml:space="preserve"> </w:t>
      </w:r>
      <w:r w:rsidRPr="000E5A7F">
        <w:rPr>
          <w:rFonts w:eastAsia="Calibri"/>
          <w:sz w:val="20"/>
          <w:szCs w:val="20"/>
          <w:lang w:eastAsia="en-US"/>
        </w:rPr>
        <w:t>(H),</w:t>
      </w:r>
      <w:r w:rsidR="006C3F88" w:rsidRPr="000E5A7F">
        <w:rPr>
          <w:rFonts w:eastAsia="Calibri"/>
          <w:sz w:val="20"/>
          <w:szCs w:val="20"/>
          <w:lang w:eastAsia="en-US"/>
        </w:rPr>
        <w:t xml:space="preserve"> </w:t>
      </w:r>
      <w:proofErr w:type="spellStart"/>
      <w:r w:rsidRPr="000E5A7F">
        <w:rPr>
          <w:rFonts w:eastAsia="Calibri"/>
          <w:sz w:val="20"/>
          <w:szCs w:val="20"/>
          <w:lang w:eastAsia="en-US"/>
        </w:rPr>
        <w:t>Ethambutol</w:t>
      </w:r>
      <w:proofErr w:type="spellEnd"/>
      <w:r w:rsidRPr="000E5A7F">
        <w:rPr>
          <w:rFonts w:eastAsia="Calibri"/>
          <w:sz w:val="20"/>
          <w:szCs w:val="20"/>
          <w:lang w:eastAsia="en-US"/>
        </w:rPr>
        <w:t>(</w:t>
      </w:r>
      <w:r w:rsidRPr="000E5A7F">
        <w:rPr>
          <w:rFonts w:eastAsia="Calibri"/>
          <w:b/>
          <w:bCs/>
          <w:sz w:val="20"/>
          <w:szCs w:val="20"/>
          <w:lang w:eastAsia="en-US"/>
        </w:rPr>
        <w:t>E</w:t>
      </w:r>
      <w:r w:rsidRPr="000E5A7F">
        <w:rPr>
          <w:rFonts w:eastAsia="Calibri"/>
          <w:sz w:val="20"/>
          <w:szCs w:val="20"/>
          <w:lang w:eastAsia="en-US"/>
        </w:rPr>
        <w:t>)</w:t>
      </w:r>
      <w:r w:rsidR="000E5A7F">
        <w:rPr>
          <w:rFonts w:eastAsia="Calibri"/>
          <w:sz w:val="20"/>
          <w:szCs w:val="20"/>
          <w:lang w:eastAsia="en-US"/>
        </w:rPr>
        <w:t xml:space="preserve"> </w:t>
      </w:r>
      <w:r w:rsidRPr="000E5A7F">
        <w:rPr>
          <w:rFonts w:eastAsia="Calibri"/>
          <w:sz w:val="20"/>
          <w:szCs w:val="20"/>
          <w:lang w:eastAsia="en-US"/>
        </w:rPr>
        <w:t>(</w:t>
      </w:r>
      <w:r w:rsidRPr="000E5A7F">
        <w:rPr>
          <w:rFonts w:eastAsia="Calibri"/>
          <w:b/>
          <w:bCs/>
          <w:sz w:val="20"/>
          <w:szCs w:val="20"/>
          <w:lang w:eastAsia="en-US"/>
        </w:rPr>
        <w:t>5RHE)</w:t>
      </w:r>
      <w:r w:rsidRPr="000E5A7F">
        <w:rPr>
          <w:rFonts w:eastAsia="Calibri"/>
          <w:sz w:val="20"/>
          <w:szCs w:val="20"/>
          <w:lang w:eastAsia="en-US"/>
        </w:rPr>
        <w:t>,</w:t>
      </w:r>
      <w:r w:rsidR="006C3F88" w:rsidRPr="000E5A7F">
        <w:rPr>
          <w:rFonts w:eastAsia="Calibri"/>
          <w:sz w:val="20"/>
          <w:szCs w:val="20"/>
          <w:lang w:eastAsia="en-US"/>
        </w:rPr>
        <w:t xml:space="preserve"> </w:t>
      </w:r>
      <w:r w:rsidRPr="000E5A7F">
        <w:rPr>
          <w:rFonts w:eastAsia="Calibri"/>
          <w:sz w:val="20"/>
          <w:szCs w:val="20"/>
          <w:lang w:eastAsia="en-US"/>
        </w:rPr>
        <w:t>Isoniazide(H),</w:t>
      </w:r>
      <w:r w:rsidR="006C3F88" w:rsidRPr="000E5A7F">
        <w:rPr>
          <w:rFonts w:eastAsia="Calibri"/>
          <w:sz w:val="20"/>
          <w:szCs w:val="20"/>
          <w:lang w:eastAsia="en-US"/>
        </w:rPr>
        <w:t xml:space="preserve"> </w:t>
      </w:r>
      <w:proofErr w:type="spellStart"/>
      <w:r w:rsidRPr="000E5A7F">
        <w:rPr>
          <w:rFonts w:eastAsia="Calibri"/>
          <w:sz w:val="20"/>
          <w:szCs w:val="20"/>
          <w:lang w:eastAsia="en-US"/>
        </w:rPr>
        <w:t>Ethambutol</w:t>
      </w:r>
      <w:proofErr w:type="spellEnd"/>
      <w:r w:rsidRPr="000E5A7F">
        <w:rPr>
          <w:rFonts w:eastAsia="Calibri"/>
          <w:sz w:val="20"/>
          <w:szCs w:val="20"/>
          <w:lang w:eastAsia="en-US"/>
        </w:rPr>
        <w:t>(</w:t>
      </w:r>
      <w:r w:rsidRPr="000E5A7F">
        <w:rPr>
          <w:rFonts w:eastAsia="Calibri"/>
          <w:b/>
          <w:bCs/>
          <w:sz w:val="20"/>
          <w:szCs w:val="20"/>
          <w:lang w:eastAsia="en-US"/>
        </w:rPr>
        <w:t>E</w:t>
      </w:r>
      <w:r w:rsidRPr="000E5A7F">
        <w:rPr>
          <w:rFonts w:eastAsia="Calibri"/>
          <w:sz w:val="20"/>
          <w:szCs w:val="20"/>
          <w:lang w:eastAsia="en-US"/>
        </w:rPr>
        <w:t>)(</w:t>
      </w:r>
      <w:r w:rsidRPr="000E5A7F">
        <w:rPr>
          <w:rFonts w:eastAsia="Calibri"/>
          <w:b/>
          <w:bCs/>
          <w:sz w:val="20"/>
          <w:szCs w:val="20"/>
          <w:lang w:eastAsia="en-US"/>
        </w:rPr>
        <w:t>5RHE</w:t>
      </w:r>
      <w:r w:rsidRPr="000E5A7F">
        <w:rPr>
          <w:rFonts w:eastAsia="Calibri"/>
          <w:b/>
          <w:bCs/>
          <w:strike/>
          <w:sz w:val="20"/>
          <w:szCs w:val="20"/>
          <w:lang w:eastAsia="en-US"/>
        </w:rPr>
        <w:t>)</w:t>
      </w:r>
    </w:p>
    <w:p w:rsidR="00104E43" w:rsidRPr="000E5A7F" w:rsidRDefault="001723C9" w:rsidP="00104E43">
      <w:pPr>
        <w:jc w:val="both"/>
        <w:rPr>
          <w:b/>
          <w:sz w:val="20"/>
          <w:szCs w:val="20"/>
        </w:rPr>
      </w:pPr>
      <w:r w:rsidRPr="000E5A7F">
        <w:rPr>
          <w:b/>
          <w:sz w:val="20"/>
          <w:szCs w:val="20"/>
        </w:rPr>
        <w:t>RESULTATS</w:t>
      </w:r>
      <w:r w:rsidR="00577B56" w:rsidRPr="000E5A7F">
        <w:rPr>
          <w:b/>
          <w:sz w:val="20"/>
          <w:szCs w:val="20"/>
        </w:rPr>
        <w:t> :</w:t>
      </w:r>
    </w:p>
    <w:p w:rsidR="006C3F88" w:rsidRPr="000E5A7F" w:rsidRDefault="006C3F88" w:rsidP="006C3F88">
      <w:pPr>
        <w:jc w:val="both"/>
        <w:rPr>
          <w:sz w:val="20"/>
          <w:szCs w:val="20"/>
        </w:rPr>
      </w:pPr>
      <w:r w:rsidRPr="000E5A7F">
        <w:rPr>
          <w:bCs/>
          <w:sz w:val="20"/>
          <w:szCs w:val="20"/>
        </w:rPr>
        <w:t xml:space="preserve">Au total, nous avons colligé </w:t>
      </w:r>
      <w:r w:rsidRPr="000E5A7F">
        <w:rPr>
          <w:sz w:val="20"/>
          <w:szCs w:val="20"/>
        </w:rPr>
        <w:t>397 cas de tuberculose sur 17204 patients hospitalisés du 1</w:t>
      </w:r>
      <w:r w:rsidRPr="000E5A7F">
        <w:rPr>
          <w:sz w:val="20"/>
          <w:szCs w:val="20"/>
          <w:vertAlign w:val="superscript"/>
        </w:rPr>
        <w:t>er</w:t>
      </w:r>
      <w:r w:rsidRPr="000E5A7F">
        <w:rPr>
          <w:sz w:val="20"/>
          <w:szCs w:val="20"/>
        </w:rPr>
        <w:t xml:space="preserve"> janvier 2013 au 31</w:t>
      </w:r>
      <w:r w:rsidRPr="000E5A7F">
        <w:rPr>
          <w:sz w:val="20"/>
          <w:szCs w:val="20"/>
          <w:vertAlign w:val="superscript"/>
        </w:rPr>
        <w:t>e</w:t>
      </w:r>
      <w:r w:rsidRPr="000E5A7F">
        <w:rPr>
          <w:sz w:val="20"/>
          <w:szCs w:val="20"/>
        </w:rPr>
        <w:t xml:space="preserve"> décembre 2018, soit une fréquence de 2,3%. Parmi les cas de tuberculose, 388 patients avaient un dossier médical complet contre 9 qui n’en avaient pas. L’échantillon comprenait 222 garçons (57,2%), 166 filles (42,8%) avec un </w:t>
      </w:r>
      <w:proofErr w:type="spellStart"/>
      <w:r w:rsidRPr="000E5A7F">
        <w:rPr>
          <w:sz w:val="20"/>
          <w:szCs w:val="20"/>
        </w:rPr>
        <w:t>sex</w:t>
      </w:r>
      <w:proofErr w:type="spellEnd"/>
      <w:r w:rsidRPr="000E5A7F">
        <w:rPr>
          <w:sz w:val="20"/>
          <w:szCs w:val="20"/>
        </w:rPr>
        <w:t xml:space="preserve"> ratio M/F de 1,33. L’âge des enfants variait entre 7 mois et 14 ans avec une</w:t>
      </w:r>
      <w:r w:rsidRPr="000E5A7F">
        <w:rPr>
          <w:color w:val="FF0000"/>
          <w:sz w:val="20"/>
          <w:szCs w:val="20"/>
        </w:rPr>
        <w:t xml:space="preserve"> </w:t>
      </w:r>
      <w:r w:rsidRPr="000E5A7F">
        <w:rPr>
          <w:sz w:val="20"/>
          <w:szCs w:val="20"/>
        </w:rPr>
        <w:t>moyenne de 5 mois</w:t>
      </w:r>
      <w:r w:rsidRPr="000E5A7F">
        <w:rPr>
          <w:color w:val="FF0000"/>
          <w:sz w:val="20"/>
          <w:szCs w:val="20"/>
        </w:rPr>
        <w:t xml:space="preserve">. </w:t>
      </w:r>
      <w:r w:rsidRPr="000E5A7F">
        <w:rPr>
          <w:sz w:val="20"/>
          <w:szCs w:val="20"/>
        </w:rPr>
        <w:t xml:space="preserve">La notion de contage a été retrouvée chez 167 cas (43,04%) </w:t>
      </w:r>
      <w:r w:rsidRPr="000E5A7F">
        <w:rPr>
          <w:b/>
          <w:bCs/>
          <w:i/>
          <w:iCs/>
          <w:sz w:val="20"/>
          <w:szCs w:val="20"/>
        </w:rPr>
        <w:t>(Tableau I)</w:t>
      </w:r>
      <w:r w:rsidRPr="000E5A7F">
        <w:rPr>
          <w:sz w:val="20"/>
          <w:szCs w:val="20"/>
        </w:rPr>
        <w:t xml:space="preserve">. </w:t>
      </w:r>
    </w:p>
    <w:p w:rsidR="006C3F88" w:rsidRPr="000E5A7F" w:rsidRDefault="006C3F88" w:rsidP="006C3F88">
      <w:pPr>
        <w:jc w:val="both"/>
        <w:rPr>
          <w:sz w:val="20"/>
          <w:szCs w:val="20"/>
          <w:lang w:val="fr-CA"/>
        </w:rPr>
      </w:pPr>
      <w:r w:rsidRPr="000E5A7F">
        <w:rPr>
          <w:b/>
          <w:sz w:val="20"/>
          <w:szCs w:val="20"/>
        </w:rPr>
        <w:t xml:space="preserve">Tableau I : </w:t>
      </w:r>
      <w:r w:rsidRPr="000E5A7F">
        <w:rPr>
          <w:sz w:val="20"/>
          <w:szCs w:val="20"/>
        </w:rPr>
        <w:t>Caractéristiques épidémiologiques des enfants tuberculeux reçus au service de pédiatrie de 2013 à 2018</w:t>
      </w:r>
      <w:r w:rsidRPr="000E5A7F">
        <w:rPr>
          <w:b/>
          <w:sz w:val="20"/>
          <w:szCs w:val="20"/>
          <w:lang w:val="fr-CA"/>
        </w:rPr>
        <w:t>.</w:t>
      </w:r>
    </w:p>
    <w:tbl>
      <w:tblPr>
        <w:tblStyle w:val="TableauGrille4-Accentuation1"/>
        <w:tblW w:w="0" w:type="auto"/>
        <w:tblLook w:val="04A0" w:firstRow="1" w:lastRow="0" w:firstColumn="1" w:lastColumn="0" w:noHBand="0" w:noVBand="1"/>
      </w:tblPr>
      <w:tblGrid>
        <w:gridCol w:w="1951"/>
        <w:gridCol w:w="1418"/>
        <w:gridCol w:w="1275"/>
      </w:tblGrid>
      <w:tr w:rsidR="00836EDA" w:rsidRPr="000E5A7F" w:rsidTr="00836EDA">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951" w:type="dxa"/>
          </w:tcPr>
          <w:p w:rsidR="00836EDA" w:rsidRPr="000E5A7F" w:rsidRDefault="00836EDA" w:rsidP="007D4A43">
            <w:pPr>
              <w:pStyle w:val="Sous-titre"/>
              <w:jc w:val="both"/>
              <w:rPr>
                <w:rFonts w:ascii="Times New Roman" w:hAnsi="Times New Roman"/>
                <w:b w:val="0"/>
                <w:i w:val="0"/>
                <w:color w:val="auto"/>
                <w:sz w:val="20"/>
                <w:szCs w:val="20"/>
              </w:rPr>
            </w:pPr>
            <w:r w:rsidRPr="000E5A7F">
              <w:rPr>
                <w:rFonts w:ascii="Times New Roman" w:hAnsi="Times New Roman"/>
                <w:b w:val="0"/>
                <w:i w:val="0"/>
                <w:color w:val="auto"/>
                <w:sz w:val="20"/>
                <w:szCs w:val="20"/>
              </w:rPr>
              <w:t>Variables</w:t>
            </w:r>
          </w:p>
        </w:tc>
        <w:tc>
          <w:tcPr>
            <w:tcW w:w="1418" w:type="dxa"/>
          </w:tcPr>
          <w:p w:rsidR="00836EDA" w:rsidRPr="000E5A7F" w:rsidRDefault="00836EDA" w:rsidP="00836EDA">
            <w:pPr>
              <w:pStyle w:val="Sous-titre"/>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val="0"/>
                <w:color w:val="auto"/>
                <w:sz w:val="20"/>
                <w:szCs w:val="20"/>
              </w:rPr>
            </w:pPr>
            <w:proofErr w:type="spellStart"/>
            <w:r w:rsidRPr="000E5A7F">
              <w:rPr>
                <w:rFonts w:ascii="Times New Roman" w:hAnsi="Times New Roman"/>
                <w:b w:val="0"/>
                <w:i w:val="0"/>
                <w:color w:val="auto"/>
                <w:sz w:val="20"/>
                <w:szCs w:val="20"/>
              </w:rPr>
              <w:t>Effectifs</w:t>
            </w:r>
            <w:proofErr w:type="spellEnd"/>
          </w:p>
        </w:tc>
        <w:tc>
          <w:tcPr>
            <w:tcW w:w="1275" w:type="dxa"/>
          </w:tcPr>
          <w:p w:rsidR="00836EDA" w:rsidRPr="000E5A7F" w:rsidRDefault="00836EDA" w:rsidP="00836EDA">
            <w:pPr>
              <w:pStyle w:val="Sous-titre"/>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val="0"/>
                <w:color w:val="auto"/>
                <w:sz w:val="20"/>
                <w:szCs w:val="20"/>
              </w:rPr>
            </w:pPr>
            <w:r w:rsidRPr="000E5A7F">
              <w:rPr>
                <w:rFonts w:ascii="Times New Roman" w:hAnsi="Times New Roman"/>
                <w:b w:val="0"/>
                <w:i w:val="0"/>
                <w:color w:val="auto"/>
                <w:sz w:val="20"/>
                <w:szCs w:val="20"/>
              </w:rPr>
              <w:t>%</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36EDA" w:rsidRPr="000E5A7F" w:rsidRDefault="00836EDA" w:rsidP="007D4A43">
            <w:pPr>
              <w:pStyle w:val="Sous-titre"/>
              <w:jc w:val="both"/>
              <w:rPr>
                <w:rFonts w:ascii="Times New Roman" w:hAnsi="Times New Roman"/>
                <w:b w:val="0"/>
                <w:i w:val="0"/>
                <w:color w:val="auto"/>
                <w:sz w:val="20"/>
                <w:szCs w:val="20"/>
              </w:rPr>
            </w:pPr>
            <w:r w:rsidRPr="000E5A7F">
              <w:rPr>
                <w:rFonts w:ascii="Times New Roman" w:hAnsi="Times New Roman"/>
                <w:b w:val="0"/>
                <w:i w:val="0"/>
                <w:color w:val="auto"/>
                <w:sz w:val="20"/>
                <w:szCs w:val="20"/>
              </w:rPr>
              <w:t xml:space="preserve">Age </w:t>
            </w:r>
          </w:p>
        </w:tc>
        <w:tc>
          <w:tcPr>
            <w:tcW w:w="1418" w:type="dxa"/>
          </w:tcPr>
          <w:p w:rsidR="00836EDA" w:rsidRPr="000E5A7F" w:rsidRDefault="00836EDA" w:rsidP="00836EDA">
            <w:pPr>
              <w:pStyle w:val="Sous-titr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val="0"/>
                <w:color w:val="auto"/>
                <w:sz w:val="20"/>
                <w:szCs w:val="20"/>
              </w:rPr>
            </w:pPr>
            <w:r w:rsidRPr="000E5A7F">
              <w:rPr>
                <w:rFonts w:ascii="Times New Roman" w:hAnsi="Times New Roman"/>
                <w:b/>
                <w:i w:val="0"/>
                <w:color w:val="auto"/>
                <w:sz w:val="20"/>
                <w:szCs w:val="20"/>
              </w:rPr>
              <w:t>388</w:t>
            </w:r>
          </w:p>
        </w:tc>
        <w:tc>
          <w:tcPr>
            <w:tcW w:w="1275" w:type="dxa"/>
          </w:tcPr>
          <w:p w:rsidR="00836EDA" w:rsidRPr="000E5A7F" w:rsidRDefault="00836EDA" w:rsidP="00836EDA">
            <w:pPr>
              <w:pStyle w:val="Sous-titr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0"/>
                <w:szCs w:val="20"/>
              </w:rPr>
            </w:pP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1951" w:type="dxa"/>
          </w:tcPr>
          <w:p w:rsidR="00836EDA" w:rsidRPr="000E5A7F" w:rsidRDefault="00836EDA" w:rsidP="007D4A43">
            <w:pPr>
              <w:pStyle w:val="Sous-titre"/>
              <w:jc w:val="both"/>
              <w:rPr>
                <w:rFonts w:ascii="Times New Roman" w:hAnsi="Times New Roman"/>
                <w:i w:val="0"/>
                <w:color w:val="auto"/>
                <w:sz w:val="20"/>
                <w:szCs w:val="20"/>
              </w:rPr>
            </w:pPr>
            <w:r w:rsidRPr="000E5A7F">
              <w:rPr>
                <w:rFonts w:ascii="Times New Roman" w:hAnsi="Times New Roman"/>
                <w:i w:val="0"/>
                <w:color w:val="auto"/>
                <w:sz w:val="20"/>
                <w:szCs w:val="20"/>
              </w:rPr>
              <w:t>&lt; 1 an</w:t>
            </w:r>
          </w:p>
        </w:tc>
        <w:tc>
          <w:tcPr>
            <w:tcW w:w="1418" w:type="dxa"/>
          </w:tcPr>
          <w:p w:rsidR="00836EDA" w:rsidRPr="000E5A7F" w:rsidRDefault="00836EDA" w:rsidP="00836EDA">
            <w:pPr>
              <w:pStyle w:val="Sous-titr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28</w:t>
            </w:r>
          </w:p>
        </w:tc>
        <w:tc>
          <w:tcPr>
            <w:tcW w:w="1275" w:type="dxa"/>
          </w:tcPr>
          <w:p w:rsidR="00836EDA" w:rsidRPr="000E5A7F" w:rsidRDefault="00836EDA" w:rsidP="00836EDA">
            <w:pPr>
              <w:pStyle w:val="Sous-titr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7,22</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36EDA" w:rsidRPr="000E5A7F" w:rsidRDefault="00836EDA" w:rsidP="007D4A43">
            <w:pPr>
              <w:pStyle w:val="Sous-titre"/>
              <w:jc w:val="both"/>
              <w:rPr>
                <w:rFonts w:ascii="Times New Roman" w:hAnsi="Times New Roman"/>
                <w:i w:val="0"/>
                <w:color w:val="auto"/>
                <w:sz w:val="20"/>
                <w:szCs w:val="20"/>
              </w:rPr>
            </w:pPr>
            <w:r w:rsidRPr="000E5A7F">
              <w:rPr>
                <w:rFonts w:ascii="Times New Roman" w:hAnsi="Times New Roman"/>
                <w:i w:val="0"/>
                <w:color w:val="auto"/>
                <w:sz w:val="20"/>
                <w:szCs w:val="20"/>
              </w:rPr>
              <w:t xml:space="preserve">1 – 4 </w:t>
            </w:r>
            <w:proofErr w:type="spellStart"/>
            <w:r w:rsidRPr="000E5A7F">
              <w:rPr>
                <w:rFonts w:ascii="Times New Roman" w:hAnsi="Times New Roman"/>
                <w:i w:val="0"/>
                <w:color w:val="auto"/>
                <w:sz w:val="20"/>
                <w:szCs w:val="20"/>
              </w:rPr>
              <w:t>ans</w:t>
            </w:r>
            <w:proofErr w:type="spellEnd"/>
          </w:p>
        </w:tc>
        <w:tc>
          <w:tcPr>
            <w:tcW w:w="1418" w:type="dxa"/>
          </w:tcPr>
          <w:p w:rsidR="00836EDA" w:rsidRPr="000E5A7F" w:rsidRDefault="00836EDA" w:rsidP="00836EDA">
            <w:pPr>
              <w:pStyle w:val="Sous-titr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217</w:t>
            </w:r>
          </w:p>
        </w:tc>
        <w:tc>
          <w:tcPr>
            <w:tcW w:w="1275" w:type="dxa"/>
          </w:tcPr>
          <w:p w:rsidR="00836EDA" w:rsidRPr="000E5A7F" w:rsidRDefault="00836EDA" w:rsidP="00836EDA">
            <w:pPr>
              <w:pStyle w:val="Sous-titr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55,93</w:t>
            </w: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1951" w:type="dxa"/>
          </w:tcPr>
          <w:p w:rsidR="00836EDA" w:rsidRPr="000E5A7F" w:rsidRDefault="00836EDA" w:rsidP="007D4A43">
            <w:pPr>
              <w:pStyle w:val="Sous-titre"/>
              <w:jc w:val="both"/>
              <w:rPr>
                <w:rFonts w:ascii="Times New Roman" w:hAnsi="Times New Roman"/>
                <w:i w:val="0"/>
                <w:color w:val="auto"/>
                <w:sz w:val="20"/>
                <w:szCs w:val="20"/>
              </w:rPr>
            </w:pPr>
            <w:r w:rsidRPr="000E5A7F">
              <w:rPr>
                <w:rFonts w:ascii="Times New Roman" w:hAnsi="Times New Roman"/>
                <w:i w:val="0"/>
                <w:color w:val="auto"/>
                <w:sz w:val="20"/>
                <w:szCs w:val="20"/>
              </w:rPr>
              <w:t xml:space="preserve">5 – 9 </w:t>
            </w:r>
            <w:proofErr w:type="spellStart"/>
            <w:r w:rsidRPr="000E5A7F">
              <w:rPr>
                <w:rFonts w:ascii="Times New Roman" w:hAnsi="Times New Roman"/>
                <w:i w:val="0"/>
                <w:color w:val="auto"/>
                <w:sz w:val="20"/>
                <w:szCs w:val="20"/>
              </w:rPr>
              <w:t>ans</w:t>
            </w:r>
            <w:proofErr w:type="spellEnd"/>
          </w:p>
        </w:tc>
        <w:tc>
          <w:tcPr>
            <w:tcW w:w="1418" w:type="dxa"/>
          </w:tcPr>
          <w:p w:rsidR="00836EDA" w:rsidRPr="000E5A7F" w:rsidRDefault="00836EDA" w:rsidP="00836EDA">
            <w:pPr>
              <w:pStyle w:val="Sous-titr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82</w:t>
            </w:r>
          </w:p>
        </w:tc>
        <w:tc>
          <w:tcPr>
            <w:tcW w:w="1275" w:type="dxa"/>
          </w:tcPr>
          <w:p w:rsidR="00836EDA" w:rsidRPr="000E5A7F" w:rsidRDefault="00836EDA" w:rsidP="00836EDA">
            <w:pPr>
              <w:pStyle w:val="Sous-titr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21,13</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36EDA" w:rsidRPr="000E5A7F" w:rsidRDefault="00836EDA" w:rsidP="007D4A43">
            <w:pPr>
              <w:pStyle w:val="Sous-titre"/>
              <w:jc w:val="both"/>
              <w:rPr>
                <w:rFonts w:ascii="Times New Roman" w:hAnsi="Times New Roman"/>
                <w:i w:val="0"/>
                <w:color w:val="auto"/>
                <w:sz w:val="20"/>
                <w:szCs w:val="20"/>
              </w:rPr>
            </w:pPr>
            <w:r w:rsidRPr="000E5A7F">
              <w:rPr>
                <w:rFonts w:ascii="Times New Roman" w:hAnsi="Times New Roman"/>
                <w:i w:val="0"/>
                <w:color w:val="auto"/>
                <w:sz w:val="20"/>
                <w:szCs w:val="20"/>
              </w:rPr>
              <w:t xml:space="preserve">10 – 14 </w:t>
            </w:r>
            <w:proofErr w:type="spellStart"/>
            <w:r w:rsidRPr="000E5A7F">
              <w:rPr>
                <w:rFonts w:ascii="Times New Roman" w:hAnsi="Times New Roman"/>
                <w:i w:val="0"/>
                <w:color w:val="auto"/>
                <w:sz w:val="20"/>
                <w:szCs w:val="20"/>
              </w:rPr>
              <w:t>ans</w:t>
            </w:r>
            <w:proofErr w:type="spellEnd"/>
          </w:p>
        </w:tc>
        <w:tc>
          <w:tcPr>
            <w:tcW w:w="1418" w:type="dxa"/>
          </w:tcPr>
          <w:p w:rsidR="00836EDA" w:rsidRPr="000E5A7F" w:rsidRDefault="00836EDA" w:rsidP="00836EDA">
            <w:pPr>
              <w:pStyle w:val="Sous-titr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61</w:t>
            </w:r>
          </w:p>
        </w:tc>
        <w:tc>
          <w:tcPr>
            <w:tcW w:w="1275" w:type="dxa"/>
          </w:tcPr>
          <w:p w:rsidR="00836EDA" w:rsidRPr="000E5A7F" w:rsidRDefault="00836EDA" w:rsidP="00836EDA">
            <w:pPr>
              <w:pStyle w:val="Sous-titr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15,72</w:t>
            </w: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1951" w:type="dxa"/>
          </w:tcPr>
          <w:p w:rsidR="00836EDA" w:rsidRPr="000E5A7F" w:rsidRDefault="00836EDA" w:rsidP="007D4A43">
            <w:pPr>
              <w:pStyle w:val="Sous-titre"/>
              <w:jc w:val="both"/>
              <w:rPr>
                <w:rFonts w:ascii="Times New Roman" w:hAnsi="Times New Roman"/>
                <w:b w:val="0"/>
                <w:i w:val="0"/>
                <w:color w:val="auto"/>
                <w:sz w:val="20"/>
                <w:szCs w:val="20"/>
              </w:rPr>
            </w:pPr>
            <w:r w:rsidRPr="000E5A7F">
              <w:rPr>
                <w:rFonts w:ascii="Times New Roman" w:hAnsi="Times New Roman"/>
                <w:b w:val="0"/>
                <w:i w:val="0"/>
                <w:color w:val="auto"/>
                <w:sz w:val="20"/>
                <w:szCs w:val="20"/>
              </w:rPr>
              <w:t xml:space="preserve">Notion de </w:t>
            </w:r>
            <w:proofErr w:type="spellStart"/>
            <w:r w:rsidRPr="000E5A7F">
              <w:rPr>
                <w:rFonts w:ascii="Times New Roman" w:hAnsi="Times New Roman"/>
                <w:b w:val="0"/>
                <w:i w:val="0"/>
                <w:color w:val="auto"/>
                <w:sz w:val="20"/>
                <w:szCs w:val="20"/>
              </w:rPr>
              <w:t>contage</w:t>
            </w:r>
            <w:proofErr w:type="spellEnd"/>
          </w:p>
        </w:tc>
        <w:tc>
          <w:tcPr>
            <w:tcW w:w="1418" w:type="dxa"/>
          </w:tcPr>
          <w:p w:rsidR="00836EDA" w:rsidRPr="000E5A7F" w:rsidRDefault="00836EDA" w:rsidP="00836EDA">
            <w:pPr>
              <w:pStyle w:val="Sous-titr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val="0"/>
                <w:color w:val="auto"/>
                <w:sz w:val="20"/>
                <w:szCs w:val="20"/>
              </w:rPr>
            </w:pPr>
            <w:r w:rsidRPr="000E5A7F">
              <w:rPr>
                <w:rFonts w:ascii="Times New Roman" w:hAnsi="Times New Roman"/>
                <w:b/>
                <w:i w:val="0"/>
                <w:color w:val="auto"/>
                <w:sz w:val="20"/>
                <w:szCs w:val="20"/>
              </w:rPr>
              <w:t>167</w:t>
            </w:r>
          </w:p>
        </w:tc>
        <w:tc>
          <w:tcPr>
            <w:tcW w:w="1275" w:type="dxa"/>
          </w:tcPr>
          <w:p w:rsidR="00836EDA" w:rsidRPr="000E5A7F" w:rsidRDefault="00836EDA" w:rsidP="00836EDA">
            <w:pPr>
              <w:pStyle w:val="Sous-titr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0"/>
                <w:szCs w:val="20"/>
              </w:rPr>
            </w:pP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36EDA" w:rsidRPr="000E5A7F" w:rsidRDefault="00836EDA" w:rsidP="007D4A43">
            <w:pPr>
              <w:pStyle w:val="Sous-titre"/>
              <w:jc w:val="both"/>
              <w:rPr>
                <w:rFonts w:ascii="Times New Roman" w:hAnsi="Times New Roman"/>
                <w:i w:val="0"/>
                <w:color w:val="auto"/>
                <w:sz w:val="20"/>
                <w:szCs w:val="20"/>
              </w:rPr>
            </w:pPr>
            <w:proofErr w:type="spellStart"/>
            <w:r w:rsidRPr="000E5A7F">
              <w:rPr>
                <w:rFonts w:ascii="Times New Roman" w:hAnsi="Times New Roman"/>
                <w:i w:val="0"/>
                <w:color w:val="auto"/>
                <w:sz w:val="20"/>
                <w:szCs w:val="20"/>
              </w:rPr>
              <w:t>Famille</w:t>
            </w:r>
            <w:proofErr w:type="spellEnd"/>
          </w:p>
        </w:tc>
        <w:tc>
          <w:tcPr>
            <w:tcW w:w="1418" w:type="dxa"/>
          </w:tcPr>
          <w:p w:rsidR="00836EDA" w:rsidRPr="000E5A7F" w:rsidRDefault="00836EDA" w:rsidP="00836EDA">
            <w:pPr>
              <w:pStyle w:val="Sous-titr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95</w:t>
            </w:r>
          </w:p>
        </w:tc>
        <w:tc>
          <w:tcPr>
            <w:tcW w:w="1275" w:type="dxa"/>
          </w:tcPr>
          <w:p w:rsidR="00836EDA" w:rsidRPr="000E5A7F" w:rsidRDefault="00836EDA" w:rsidP="00836EDA">
            <w:pPr>
              <w:pStyle w:val="Sous-titr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56,89</w:t>
            </w: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1951" w:type="dxa"/>
          </w:tcPr>
          <w:p w:rsidR="00836EDA" w:rsidRPr="000E5A7F" w:rsidRDefault="00836EDA" w:rsidP="007D4A43">
            <w:pPr>
              <w:pStyle w:val="Sous-titre"/>
              <w:jc w:val="both"/>
              <w:rPr>
                <w:rFonts w:ascii="Times New Roman" w:hAnsi="Times New Roman"/>
                <w:i w:val="0"/>
                <w:color w:val="auto"/>
                <w:sz w:val="20"/>
                <w:szCs w:val="20"/>
              </w:rPr>
            </w:pPr>
            <w:proofErr w:type="spellStart"/>
            <w:r w:rsidRPr="000E5A7F">
              <w:rPr>
                <w:rFonts w:ascii="Times New Roman" w:hAnsi="Times New Roman"/>
                <w:i w:val="0"/>
                <w:color w:val="auto"/>
                <w:sz w:val="20"/>
                <w:szCs w:val="20"/>
              </w:rPr>
              <w:t>Voisinage</w:t>
            </w:r>
            <w:proofErr w:type="spellEnd"/>
          </w:p>
        </w:tc>
        <w:tc>
          <w:tcPr>
            <w:tcW w:w="1418" w:type="dxa"/>
          </w:tcPr>
          <w:p w:rsidR="00836EDA" w:rsidRPr="000E5A7F" w:rsidRDefault="00836EDA" w:rsidP="00836EDA">
            <w:pPr>
              <w:pStyle w:val="Sous-titr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72</w:t>
            </w:r>
          </w:p>
        </w:tc>
        <w:tc>
          <w:tcPr>
            <w:tcW w:w="1275" w:type="dxa"/>
          </w:tcPr>
          <w:p w:rsidR="00836EDA" w:rsidRPr="000E5A7F" w:rsidRDefault="00836EDA" w:rsidP="00836EDA">
            <w:pPr>
              <w:pStyle w:val="Sous-titr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43,11</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36EDA" w:rsidRPr="000E5A7F" w:rsidRDefault="00836EDA" w:rsidP="007D4A43">
            <w:pPr>
              <w:pStyle w:val="Sous-titre"/>
              <w:jc w:val="both"/>
              <w:rPr>
                <w:rFonts w:ascii="Times New Roman" w:hAnsi="Times New Roman"/>
                <w:b w:val="0"/>
                <w:i w:val="0"/>
                <w:color w:val="auto"/>
                <w:sz w:val="20"/>
                <w:szCs w:val="20"/>
              </w:rPr>
            </w:pPr>
            <w:r w:rsidRPr="000E5A7F">
              <w:rPr>
                <w:rFonts w:ascii="Times New Roman" w:hAnsi="Times New Roman"/>
                <w:b w:val="0"/>
                <w:i w:val="0"/>
                <w:color w:val="auto"/>
                <w:sz w:val="20"/>
                <w:szCs w:val="20"/>
              </w:rPr>
              <w:t>Vaccination BCG</w:t>
            </w:r>
          </w:p>
        </w:tc>
        <w:tc>
          <w:tcPr>
            <w:tcW w:w="1418" w:type="dxa"/>
          </w:tcPr>
          <w:p w:rsidR="00836EDA" w:rsidRPr="000E5A7F" w:rsidRDefault="00836EDA" w:rsidP="00836EDA">
            <w:pPr>
              <w:pStyle w:val="Sous-titr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val="0"/>
                <w:color w:val="auto"/>
                <w:sz w:val="20"/>
                <w:szCs w:val="20"/>
              </w:rPr>
            </w:pPr>
            <w:r w:rsidRPr="000E5A7F">
              <w:rPr>
                <w:rFonts w:ascii="Times New Roman" w:hAnsi="Times New Roman"/>
                <w:b/>
                <w:i w:val="0"/>
                <w:color w:val="auto"/>
                <w:sz w:val="20"/>
                <w:szCs w:val="20"/>
              </w:rPr>
              <w:t>388</w:t>
            </w:r>
          </w:p>
        </w:tc>
        <w:tc>
          <w:tcPr>
            <w:tcW w:w="1275" w:type="dxa"/>
          </w:tcPr>
          <w:p w:rsidR="00836EDA" w:rsidRPr="000E5A7F" w:rsidRDefault="00836EDA" w:rsidP="00836EDA">
            <w:pPr>
              <w:pStyle w:val="Sous-titr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0"/>
                <w:szCs w:val="20"/>
              </w:rPr>
            </w:pP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1951" w:type="dxa"/>
          </w:tcPr>
          <w:p w:rsidR="00836EDA" w:rsidRPr="000E5A7F" w:rsidRDefault="00836EDA" w:rsidP="007D4A43">
            <w:pPr>
              <w:pStyle w:val="Sous-titre"/>
              <w:jc w:val="both"/>
              <w:rPr>
                <w:rFonts w:ascii="Times New Roman" w:hAnsi="Times New Roman"/>
                <w:i w:val="0"/>
                <w:color w:val="auto"/>
                <w:sz w:val="20"/>
                <w:szCs w:val="20"/>
              </w:rPr>
            </w:pPr>
            <w:proofErr w:type="spellStart"/>
            <w:r w:rsidRPr="000E5A7F">
              <w:rPr>
                <w:rFonts w:ascii="Times New Roman" w:hAnsi="Times New Roman"/>
                <w:i w:val="0"/>
                <w:color w:val="auto"/>
                <w:sz w:val="20"/>
                <w:szCs w:val="20"/>
              </w:rPr>
              <w:t>Oui</w:t>
            </w:r>
            <w:proofErr w:type="spellEnd"/>
          </w:p>
        </w:tc>
        <w:tc>
          <w:tcPr>
            <w:tcW w:w="1418" w:type="dxa"/>
          </w:tcPr>
          <w:p w:rsidR="00836EDA" w:rsidRPr="000E5A7F" w:rsidRDefault="00836EDA" w:rsidP="00836EDA">
            <w:pPr>
              <w:pStyle w:val="Sous-titr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349</w:t>
            </w:r>
          </w:p>
        </w:tc>
        <w:tc>
          <w:tcPr>
            <w:tcW w:w="1275" w:type="dxa"/>
          </w:tcPr>
          <w:p w:rsidR="00836EDA" w:rsidRPr="000E5A7F" w:rsidRDefault="00836EDA" w:rsidP="00836EDA">
            <w:pPr>
              <w:pStyle w:val="Sous-titr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90</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36EDA" w:rsidRPr="000E5A7F" w:rsidRDefault="00836EDA" w:rsidP="007D4A43">
            <w:pPr>
              <w:pStyle w:val="Sous-titre"/>
              <w:jc w:val="both"/>
              <w:rPr>
                <w:rFonts w:ascii="Times New Roman" w:hAnsi="Times New Roman"/>
                <w:i w:val="0"/>
                <w:color w:val="auto"/>
                <w:sz w:val="20"/>
                <w:szCs w:val="20"/>
              </w:rPr>
            </w:pPr>
            <w:r w:rsidRPr="000E5A7F">
              <w:rPr>
                <w:rFonts w:ascii="Times New Roman" w:hAnsi="Times New Roman"/>
                <w:i w:val="0"/>
                <w:color w:val="auto"/>
                <w:sz w:val="20"/>
                <w:szCs w:val="20"/>
              </w:rPr>
              <w:t>Non</w:t>
            </w:r>
          </w:p>
        </w:tc>
        <w:tc>
          <w:tcPr>
            <w:tcW w:w="1418" w:type="dxa"/>
          </w:tcPr>
          <w:p w:rsidR="00836EDA" w:rsidRPr="000E5A7F" w:rsidRDefault="00836EDA" w:rsidP="00836EDA">
            <w:pPr>
              <w:pStyle w:val="Sous-titr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39</w:t>
            </w:r>
          </w:p>
        </w:tc>
        <w:tc>
          <w:tcPr>
            <w:tcW w:w="1275" w:type="dxa"/>
          </w:tcPr>
          <w:p w:rsidR="00836EDA" w:rsidRPr="000E5A7F" w:rsidRDefault="00836EDA" w:rsidP="00836EDA">
            <w:pPr>
              <w:pStyle w:val="Sous-titr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0"/>
                <w:szCs w:val="20"/>
              </w:rPr>
            </w:pPr>
            <w:r w:rsidRPr="000E5A7F">
              <w:rPr>
                <w:rFonts w:ascii="Times New Roman" w:hAnsi="Times New Roman"/>
                <w:i w:val="0"/>
                <w:color w:val="auto"/>
                <w:sz w:val="20"/>
                <w:szCs w:val="20"/>
              </w:rPr>
              <w:t>10</w:t>
            </w:r>
          </w:p>
        </w:tc>
      </w:tr>
    </w:tbl>
    <w:p w:rsidR="006C3F88" w:rsidRPr="000E5A7F" w:rsidRDefault="006C3F88" w:rsidP="006C3F88">
      <w:pPr>
        <w:jc w:val="both"/>
        <w:rPr>
          <w:sz w:val="20"/>
          <w:szCs w:val="20"/>
        </w:rPr>
      </w:pPr>
    </w:p>
    <w:p w:rsidR="00836EDA" w:rsidRPr="000E5A7F" w:rsidRDefault="00836EDA" w:rsidP="00836EDA">
      <w:pPr>
        <w:jc w:val="both"/>
        <w:rPr>
          <w:b/>
          <w:sz w:val="20"/>
          <w:szCs w:val="20"/>
        </w:rPr>
      </w:pPr>
    </w:p>
    <w:p w:rsidR="00836EDA" w:rsidRPr="000E5A7F" w:rsidRDefault="00836EDA" w:rsidP="00836EDA">
      <w:pPr>
        <w:jc w:val="both"/>
        <w:rPr>
          <w:sz w:val="20"/>
          <w:szCs w:val="20"/>
        </w:rPr>
      </w:pPr>
      <w:r w:rsidRPr="000E5A7F">
        <w:rPr>
          <w:b/>
          <w:sz w:val="20"/>
          <w:szCs w:val="20"/>
        </w:rPr>
        <w:lastRenderedPageBreak/>
        <w:t xml:space="preserve">Tableau II : </w:t>
      </w:r>
      <w:r w:rsidRPr="000E5A7F">
        <w:rPr>
          <w:sz w:val="20"/>
          <w:szCs w:val="20"/>
        </w:rPr>
        <w:t>Caractéristiques cliniques et radiologiques des enfants tuberculeux reçus au service de pédiatrie de 2013 à 2018.</w:t>
      </w:r>
      <w:r w:rsidRPr="000E5A7F">
        <w:rPr>
          <w:b/>
          <w:color w:val="222222"/>
          <w:sz w:val="20"/>
          <w:szCs w:val="20"/>
          <w:lang w:val="fr-CA"/>
        </w:rPr>
        <w:t xml:space="preserve"> </w:t>
      </w:r>
      <w:r w:rsidRPr="000E5A7F">
        <w:rPr>
          <w:b/>
          <w:color w:val="222222"/>
          <w:sz w:val="20"/>
          <w:szCs w:val="20"/>
          <w:lang w:val="en-US"/>
        </w:rPr>
        <w:t>(N=388)</w:t>
      </w:r>
    </w:p>
    <w:tbl>
      <w:tblPr>
        <w:tblStyle w:val="TableauGrille4-Accentuation1"/>
        <w:tblW w:w="0" w:type="auto"/>
        <w:tblLook w:val="04A0" w:firstRow="1" w:lastRow="0" w:firstColumn="1" w:lastColumn="0" w:noHBand="0" w:noVBand="1"/>
      </w:tblPr>
      <w:tblGrid>
        <w:gridCol w:w="2802"/>
        <w:gridCol w:w="1134"/>
        <w:gridCol w:w="850"/>
      </w:tblGrid>
      <w:tr w:rsidR="00836EDA" w:rsidRPr="000E5A7F" w:rsidTr="00836EDA">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b w:val="0"/>
                <w:bCs w:val="0"/>
                <w:sz w:val="20"/>
                <w:szCs w:val="20"/>
              </w:rPr>
            </w:pPr>
            <w:r w:rsidRPr="000E5A7F">
              <w:rPr>
                <w:b w:val="0"/>
                <w:bCs w:val="0"/>
                <w:sz w:val="20"/>
                <w:szCs w:val="20"/>
              </w:rPr>
              <w:t>Variables</w:t>
            </w:r>
          </w:p>
        </w:tc>
        <w:tc>
          <w:tcPr>
            <w:tcW w:w="1134" w:type="dxa"/>
          </w:tcPr>
          <w:p w:rsidR="00836EDA" w:rsidRPr="000E5A7F" w:rsidRDefault="00836EDA" w:rsidP="00FA2EC3">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E5A7F">
              <w:rPr>
                <w:b w:val="0"/>
                <w:bCs w:val="0"/>
                <w:sz w:val="20"/>
                <w:szCs w:val="20"/>
              </w:rPr>
              <w:t>Effectifs</w:t>
            </w:r>
          </w:p>
        </w:tc>
        <w:tc>
          <w:tcPr>
            <w:tcW w:w="850" w:type="dxa"/>
          </w:tcPr>
          <w:p w:rsidR="00836EDA" w:rsidRPr="000E5A7F" w:rsidRDefault="00836EDA" w:rsidP="00FA2EC3">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E5A7F">
              <w:rPr>
                <w:b w:val="0"/>
                <w:bCs w:val="0"/>
                <w:sz w:val="20"/>
                <w:szCs w:val="20"/>
              </w:rPr>
              <w:t>%</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b w:val="0"/>
                <w:sz w:val="20"/>
                <w:szCs w:val="20"/>
              </w:rPr>
            </w:pPr>
            <w:r w:rsidRPr="000E5A7F">
              <w:rPr>
                <w:b w:val="0"/>
                <w:sz w:val="20"/>
                <w:szCs w:val="20"/>
              </w:rPr>
              <w:t>Topographie de la tuberculose</w:t>
            </w:r>
          </w:p>
        </w:tc>
        <w:tc>
          <w:tcPr>
            <w:tcW w:w="1134"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850"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sz w:val="20"/>
                <w:szCs w:val="20"/>
              </w:rPr>
            </w:pPr>
            <w:proofErr w:type="spellStart"/>
            <w:r w:rsidRPr="000E5A7F">
              <w:rPr>
                <w:sz w:val="20"/>
                <w:szCs w:val="20"/>
              </w:rPr>
              <w:t>Médiastino</w:t>
            </w:r>
            <w:proofErr w:type="spellEnd"/>
            <w:r w:rsidRPr="000E5A7F">
              <w:rPr>
                <w:sz w:val="20"/>
                <w:szCs w:val="20"/>
              </w:rPr>
              <w:t>-pulmonaire</w:t>
            </w:r>
          </w:p>
        </w:tc>
        <w:tc>
          <w:tcPr>
            <w:tcW w:w="1134"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260</w:t>
            </w:r>
          </w:p>
        </w:tc>
        <w:tc>
          <w:tcPr>
            <w:tcW w:w="850"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67,01</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sz w:val="20"/>
                <w:szCs w:val="20"/>
              </w:rPr>
            </w:pPr>
            <w:r w:rsidRPr="000E5A7F">
              <w:rPr>
                <w:sz w:val="20"/>
                <w:szCs w:val="20"/>
              </w:rPr>
              <w:t xml:space="preserve">Ganglionnaire </w:t>
            </w:r>
          </w:p>
        </w:tc>
        <w:tc>
          <w:tcPr>
            <w:tcW w:w="1134"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A7F">
              <w:rPr>
                <w:sz w:val="20"/>
                <w:szCs w:val="20"/>
              </w:rPr>
              <w:t>54</w:t>
            </w:r>
          </w:p>
        </w:tc>
        <w:tc>
          <w:tcPr>
            <w:tcW w:w="850"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A7F">
              <w:rPr>
                <w:sz w:val="20"/>
                <w:szCs w:val="20"/>
              </w:rPr>
              <w:t>13,92</w:t>
            </w: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sz w:val="20"/>
                <w:szCs w:val="20"/>
              </w:rPr>
            </w:pPr>
            <w:r w:rsidRPr="000E5A7F">
              <w:rPr>
                <w:sz w:val="20"/>
                <w:szCs w:val="20"/>
              </w:rPr>
              <w:t>Multifocale</w:t>
            </w:r>
          </w:p>
        </w:tc>
        <w:tc>
          <w:tcPr>
            <w:tcW w:w="1134"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52</w:t>
            </w:r>
          </w:p>
        </w:tc>
        <w:tc>
          <w:tcPr>
            <w:tcW w:w="850"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13,40</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sz w:val="20"/>
                <w:szCs w:val="20"/>
              </w:rPr>
            </w:pPr>
            <w:proofErr w:type="spellStart"/>
            <w:r w:rsidRPr="000E5A7F">
              <w:rPr>
                <w:sz w:val="20"/>
                <w:szCs w:val="20"/>
              </w:rPr>
              <w:t>Ostéo-articulaire</w:t>
            </w:r>
            <w:proofErr w:type="spellEnd"/>
            <w:r w:rsidRPr="000E5A7F">
              <w:rPr>
                <w:sz w:val="20"/>
                <w:szCs w:val="20"/>
              </w:rPr>
              <w:t xml:space="preserve"> </w:t>
            </w:r>
          </w:p>
        </w:tc>
        <w:tc>
          <w:tcPr>
            <w:tcW w:w="1134"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A7F">
              <w:rPr>
                <w:sz w:val="20"/>
                <w:szCs w:val="20"/>
              </w:rPr>
              <w:t>15</w:t>
            </w:r>
          </w:p>
        </w:tc>
        <w:tc>
          <w:tcPr>
            <w:tcW w:w="850"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A7F">
              <w:rPr>
                <w:sz w:val="20"/>
                <w:szCs w:val="20"/>
              </w:rPr>
              <w:t>3,87</w:t>
            </w: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sz w:val="20"/>
                <w:szCs w:val="20"/>
              </w:rPr>
            </w:pPr>
            <w:r w:rsidRPr="000E5A7F">
              <w:rPr>
                <w:sz w:val="20"/>
                <w:szCs w:val="20"/>
              </w:rPr>
              <w:t xml:space="preserve">Péritonéale </w:t>
            </w:r>
          </w:p>
        </w:tc>
        <w:tc>
          <w:tcPr>
            <w:tcW w:w="1134"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7</w:t>
            </w:r>
          </w:p>
        </w:tc>
        <w:tc>
          <w:tcPr>
            <w:tcW w:w="850"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1,80</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b w:val="0"/>
                <w:sz w:val="20"/>
                <w:szCs w:val="20"/>
              </w:rPr>
            </w:pPr>
            <w:r w:rsidRPr="000E5A7F">
              <w:rPr>
                <w:b w:val="0"/>
                <w:sz w:val="20"/>
                <w:szCs w:val="20"/>
              </w:rPr>
              <w:t>Pathologies associées</w:t>
            </w:r>
          </w:p>
        </w:tc>
        <w:tc>
          <w:tcPr>
            <w:tcW w:w="1134"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850"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sz w:val="20"/>
                <w:szCs w:val="20"/>
              </w:rPr>
            </w:pPr>
            <w:r w:rsidRPr="000E5A7F">
              <w:rPr>
                <w:sz w:val="20"/>
                <w:szCs w:val="20"/>
              </w:rPr>
              <w:t xml:space="preserve">Paludisme </w:t>
            </w:r>
          </w:p>
        </w:tc>
        <w:tc>
          <w:tcPr>
            <w:tcW w:w="1134"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70</w:t>
            </w:r>
          </w:p>
        </w:tc>
        <w:tc>
          <w:tcPr>
            <w:tcW w:w="850"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18,04</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sz w:val="20"/>
                <w:szCs w:val="20"/>
              </w:rPr>
            </w:pPr>
            <w:r w:rsidRPr="000E5A7F">
              <w:rPr>
                <w:sz w:val="20"/>
                <w:szCs w:val="20"/>
              </w:rPr>
              <w:t xml:space="preserve">Malnutrition </w:t>
            </w:r>
          </w:p>
        </w:tc>
        <w:tc>
          <w:tcPr>
            <w:tcW w:w="1134"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A7F">
              <w:rPr>
                <w:sz w:val="20"/>
                <w:szCs w:val="20"/>
              </w:rPr>
              <w:t>52</w:t>
            </w:r>
          </w:p>
        </w:tc>
        <w:tc>
          <w:tcPr>
            <w:tcW w:w="850"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A7F">
              <w:rPr>
                <w:sz w:val="20"/>
                <w:szCs w:val="20"/>
              </w:rPr>
              <w:t>13,4</w:t>
            </w:r>
            <w:r w:rsidR="00FA2EC3" w:rsidRPr="000E5A7F">
              <w:rPr>
                <w:sz w:val="20"/>
                <w:szCs w:val="20"/>
              </w:rPr>
              <w:t>0</w:t>
            </w: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sz w:val="20"/>
                <w:szCs w:val="20"/>
              </w:rPr>
            </w:pPr>
            <w:r w:rsidRPr="000E5A7F">
              <w:rPr>
                <w:sz w:val="20"/>
                <w:szCs w:val="20"/>
              </w:rPr>
              <w:t>Parasitoses intestinales</w:t>
            </w:r>
          </w:p>
        </w:tc>
        <w:tc>
          <w:tcPr>
            <w:tcW w:w="1134"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23</w:t>
            </w:r>
          </w:p>
        </w:tc>
        <w:tc>
          <w:tcPr>
            <w:tcW w:w="850"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5,92</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sz w:val="20"/>
                <w:szCs w:val="20"/>
              </w:rPr>
            </w:pPr>
            <w:r w:rsidRPr="000E5A7F">
              <w:rPr>
                <w:sz w:val="20"/>
                <w:szCs w:val="20"/>
              </w:rPr>
              <w:t>VIH</w:t>
            </w:r>
          </w:p>
        </w:tc>
        <w:tc>
          <w:tcPr>
            <w:tcW w:w="1134"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A7F">
              <w:rPr>
                <w:sz w:val="20"/>
                <w:szCs w:val="20"/>
              </w:rPr>
              <w:t>11</w:t>
            </w:r>
          </w:p>
        </w:tc>
        <w:tc>
          <w:tcPr>
            <w:tcW w:w="850"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A7F">
              <w:rPr>
                <w:sz w:val="20"/>
                <w:szCs w:val="20"/>
              </w:rPr>
              <w:t>2,83</w:t>
            </w: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sz w:val="20"/>
                <w:szCs w:val="20"/>
              </w:rPr>
            </w:pPr>
            <w:r w:rsidRPr="000E5A7F">
              <w:rPr>
                <w:sz w:val="20"/>
                <w:szCs w:val="20"/>
              </w:rPr>
              <w:t xml:space="preserve">Drépanocytose </w:t>
            </w:r>
          </w:p>
        </w:tc>
        <w:tc>
          <w:tcPr>
            <w:tcW w:w="1134"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9</w:t>
            </w:r>
          </w:p>
        </w:tc>
        <w:tc>
          <w:tcPr>
            <w:tcW w:w="850"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2,31</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b w:val="0"/>
                <w:sz w:val="20"/>
                <w:szCs w:val="20"/>
              </w:rPr>
            </w:pPr>
            <w:r w:rsidRPr="000E5A7F">
              <w:rPr>
                <w:b w:val="0"/>
                <w:sz w:val="20"/>
                <w:szCs w:val="20"/>
              </w:rPr>
              <w:t>Signes radiologiques</w:t>
            </w:r>
          </w:p>
        </w:tc>
        <w:tc>
          <w:tcPr>
            <w:tcW w:w="1134"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850"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b w:val="0"/>
                <w:bCs w:val="0"/>
                <w:sz w:val="20"/>
                <w:szCs w:val="20"/>
              </w:rPr>
            </w:pPr>
            <w:r w:rsidRPr="000E5A7F">
              <w:rPr>
                <w:sz w:val="20"/>
                <w:szCs w:val="20"/>
              </w:rPr>
              <w:t xml:space="preserve">Opacités hilaires et/ou </w:t>
            </w:r>
          </w:p>
          <w:p w:rsidR="00836EDA" w:rsidRPr="000E5A7F" w:rsidRDefault="00836EDA" w:rsidP="007D4A43">
            <w:pPr>
              <w:jc w:val="both"/>
              <w:rPr>
                <w:sz w:val="20"/>
                <w:szCs w:val="20"/>
              </w:rPr>
            </w:pPr>
            <w:proofErr w:type="spellStart"/>
            <w:proofErr w:type="gramStart"/>
            <w:r w:rsidRPr="000E5A7F">
              <w:rPr>
                <w:sz w:val="20"/>
                <w:szCs w:val="20"/>
              </w:rPr>
              <w:t>latéro</w:t>
            </w:r>
            <w:proofErr w:type="spellEnd"/>
            <w:proofErr w:type="gramEnd"/>
            <w:r w:rsidRPr="000E5A7F">
              <w:rPr>
                <w:sz w:val="20"/>
                <w:szCs w:val="20"/>
              </w:rPr>
              <w:t>-trachéale</w:t>
            </w:r>
          </w:p>
        </w:tc>
        <w:tc>
          <w:tcPr>
            <w:tcW w:w="1134"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229</w:t>
            </w:r>
          </w:p>
        </w:tc>
        <w:tc>
          <w:tcPr>
            <w:tcW w:w="850"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59</w:t>
            </w:r>
            <w:r w:rsidR="00FA2EC3" w:rsidRPr="000E5A7F">
              <w:rPr>
                <w:sz w:val="20"/>
                <w:szCs w:val="20"/>
              </w:rPr>
              <w:t>,00</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b w:val="0"/>
                <w:bCs w:val="0"/>
                <w:sz w:val="20"/>
                <w:szCs w:val="20"/>
              </w:rPr>
            </w:pPr>
            <w:r w:rsidRPr="000E5A7F">
              <w:rPr>
                <w:sz w:val="20"/>
                <w:szCs w:val="20"/>
              </w:rPr>
              <w:t xml:space="preserve">Opacités parenchymateuses </w:t>
            </w:r>
          </w:p>
          <w:p w:rsidR="00836EDA" w:rsidRPr="000E5A7F" w:rsidRDefault="00836EDA" w:rsidP="007D4A43">
            <w:pPr>
              <w:jc w:val="both"/>
              <w:rPr>
                <w:sz w:val="20"/>
                <w:szCs w:val="20"/>
              </w:rPr>
            </w:pPr>
            <w:proofErr w:type="gramStart"/>
            <w:r w:rsidRPr="000E5A7F">
              <w:rPr>
                <w:sz w:val="20"/>
                <w:szCs w:val="20"/>
              </w:rPr>
              <w:t>homogènes</w:t>
            </w:r>
            <w:proofErr w:type="gramEnd"/>
          </w:p>
        </w:tc>
        <w:tc>
          <w:tcPr>
            <w:tcW w:w="1134"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A7F">
              <w:rPr>
                <w:sz w:val="20"/>
                <w:szCs w:val="20"/>
              </w:rPr>
              <w:t>45</w:t>
            </w:r>
          </w:p>
        </w:tc>
        <w:tc>
          <w:tcPr>
            <w:tcW w:w="850"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A7F">
              <w:rPr>
                <w:sz w:val="20"/>
                <w:szCs w:val="20"/>
              </w:rPr>
              <w:t>11,6</w:t>
            </w:r>
            <w:r w:rsidR="00FA2EC3" w:rsidRPr="000E5A7F">
              <w:rPr>
                <w:sz w:val="20"/>
                <w:szCs w:val="20"/>
              </w:rPr>
              <w:t>0</w:t>
            </w: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b w:val="0"/>
                <w:bCs w:val="0"/>
                <w:sz w:val="20"/>
                <w:szCs w:val="20"/>
              </w:rPr>
            </w:pPr>
            <w:r w:rsidRPr="000E5A7F">
              <w:rPr>
                <w:sz w:val="20"/>
                <w:szCs w:val="20"/>
              </w:rPr>
              <w:t>Opacités parenchymateuses</w:t>
            </w:r>
          </w:p>
          <w:p w:rsidR="00836EDA" w:rsidRPr="000E5A7F" w:rsidRDefault="00836EDA" w:rsidP="007D4A43">
            <w:pPr>
              <w:jc w:val="both"/>
              <w:rPr>
                <w:sz w:val="20"/>
                <w:szCs w:val="20"/>
              </w:rPr>
            </w:pPr>
            <w:r w:rsidRPr="000E5A7F">
              <w:rPr>
                <w:sz w:val="20"/>
                <w:szCs w:val="20"/>
              </w:rPr>
              <w:t xml:space="preserve"> </w:t>
            </w:r>
            <w:proofErr w:type="gramStart"/>
            <w:r w:rsidRPr="000E5A7F">
              <w:rPr>
                <w:sz w:val="20"/>
                <w:szCs w:val="20"/>
              </w:rPr>
              <w:t>hétérogènes</w:t>
            </w:r>
            <w:proofErr w:type="gramEnd"/>
          </w:p>
        </w:tc>
        <w:tc>
          <w:tcPr>
            <w:tcW w:w="1134"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37</w:t>
            </w:r>
          </w:p>
        </w:tc>
        <w:tc>
          <w:tcPr>
            <w:tcW w:w="850"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9,5</w:t>
            </w:r>
            <w:r w:rsidR="00FA2EC3" w:rsidRPr="000E5A7F">
              <w:rPr>
                <w:sz w:val="20"/>
                <w:szCs w:val="20"/>
              </w:rPr>
              <w:t>0</w:t>
            </w:r>
          </w:p>
        </w:tc>
      </w:tr>
      <w:tr w:rsidR="00836EDA" w:rsidRPr="000E5A7F" w:rsidTr="00836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b w:val="0"/>
                <w:bCs w:val="0"/>
                <w:sz w:val="20"/>
                <w:szCs w:val="20"/>
              </w:rPr>
            </w:pPr>
            <w:r w:rsidRPr="000E5A7F">
              <w:rPr>
                <w:sz w:val="20"/>
                <w:szCs w:val="20"/>
              </w:rPr>
              <w:t xml:space="preserve">Opacités nodulaires </w:t>
            </w:r>
          </w:p>
          <w:p w:rsidR="00836EDA" w:rsidRPr="000E5A7F" w:rsidRDefault="00836EDA" w:rsidP="007D4A43">
            <w:pPr>
              <w:jc w:val="both"/>
              <w:rPr>
                <w:sz w:val="20"/>
                <w:szCs w:val="20"/>
              </w:rPr>
            </w:pPr>
            <w:proofErr w:type="gramStart"/>
            <w:r w:rsidRPr="000E5A7F">
              <w:rPr>
                <w:sz w:val="20"/>
                <w:szCs w:val="20"/>
              </w:rPr>
              <w:t>ou</w:t>
            </w:r>
            <w:proofErr w:type="gramEnd"/>
            <w:r w:rsidRPr="000E5A7F">
              <w:rPr>
                <w:sz w:val="20"/>
                <w:szCs w:val="20"/>
              </w:rPr>
              <w:t xml:space="preserve"> </w:t>
            </w:r>
            <w:proofErr w:type="spellStart"/>
            <w:r w:rsidRPr="000E5A7F">
              <w:rPr>
                <w:sz w:val="20"/>
                <w:szCs w:val="20"/>
              </w:rPr>
              <w:t>réticulo</w:t>
            </w:r>
            <w:proofErr w:type="spellEnd"/>
            <w:r w:rsidRPr="000E5A7F">
              <w:rPr>
                <w:sz w:val="20"/>
                <w:szCs w:val="20"/>
              </w:rPr>
              <w:t>-nodulaires</w:t>
            </w:r>
          </w:p>
        </w:tc>
        <w:tc>
          <w:tcPr>
            <w:tcW w:w="1134"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A7F">
              <w:rPr>
                <w:sz w:val="20"/>
                <w:szCs w:val="20"/>
              </w:rPr>
              <w:t>36</w:t>
            </w:r>
          </w:p>
        </w:tc>
        <w:tc>
          <w:tcPr>
            <w:tcW w:w="850" w:type="dxa"/>
          </w:tcPr>
          <w:p w:rsidR="00836EDA" w:rsidRPr="000E5A7F" w:rsidRDefault="00836EDA" w:rsidP="00FA2EC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A7F">
              <w:rPr>
                <w:sz w:val="20"/>
                <w:szCs w:val="20"/>
              </w:rPr>
              <w:t>9,3</w:t>
            </w:r>
            <w:r w:rsidR="00FA2EC3" w:rsidRPr="000E5A7F">
              <w:rPr>
                <w:sz w:val="20"/>
                <w:szCs w:val="20"/>
              </w:rPr>
              <w:t>0</w:t>
            </w:r>
          </w:p>
        </w:tc>
      </w:tr>
      <w:tr w:rsidR="00836EDA" w:rsidRPr="000E5A7F" w:rsidTr="00836EDA">
        <w:tc>
          <w:tcPr>
            <w:cnfStyle w:val="001000000000" w:firstRow="0" w:lastRow="0" w:firstColumn="1" w:lastColumn="0" w:oddVBand="0" w:evenVBand="0" w:oddHBand="0" w:evenHBand="0" w:firstRowFirstColumn="0" w:firstRowLastColumn="0" w:lastRowFirstColumn="0" w:lastRowLastColumn="0"/>
            <w:tcW w:w="2802" w:type="dxa"/>
          </w:tcPr>
          <w:p w:rsidR="00836EDA" w:rsidRPr="000E5A7F" w:rsidRDefault="00836EDA" w:rsidP="007D4A43">
            <w:pPr>
              <w:jc w:val="both"/>
              <w:rPr>
                <w:b w:val="0"/>
                <w:bCs w:val="0"/>
                <w:sz w:val="20"/>
                <w:szCs w:val="20"/>
              </w:rPr>
            </w:pPr>
            <w:r w:rsidRPr="000E5A7F">
              <w:rPr>
                <w:sz w:val="20"/>
                <w:szCs w:val="20"/>
              </w:rPr>
              <w:t>Absence de lésions</w:t>
            </w:r>
          </w:p>
          <w:p w:rsidR="00836EDA" w:rsidRPr="000E5A7F" w:rsidRDefault="00836EDA" w:rsidP="007D4A43">
            <w:pPr>
              <w:jc w:val="both"/>
              <w:rPr>
                <w:sz w:val="20"/>
                <w:szCs w:val="20"/>
              </w:rPr>
            </w:pPr>
            <w:r w:rsidRPr="000E5A7F">
              <w:rPr>
                <w:sz w:val="20"/>
                <w:szCs w:val="20"/>
              </w:rPr>
              <w:t xml:space="preserve"> </w:t>
            </w:r>
            <w:proofErr w:type="gramStart"/>
            <w:r w:rsidRPr="000E5A7F">
              <w:rPr>
                <w:sz w:val="20"/>
                <w:szCs w:val="20"/>
              </w:rPr>
              <w:t>radiologiques</w:t>
            </w:r>
            <w:proofErr w:type="gramEnd"/>
          </w:p>
        </w:tc>
        <w:tc>
          <w:tcPr>
            <w:tcW w:w="1134"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41</w:t>
            </w:r>
          </w:p>
        </w:tc>
        <w:tc>
          <w:tcPr>
            <w:tcW w:w="850" w:type="dxa"/>
          </w:tcPr>
          <w:p w:rsidR="00836EDA" w:rsidRPr="000E5A7F" w:rsidRDefault="00836EDA" w:rsidP="00FA2EC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A7F">
              <w:rPr>
                <w:sz w:val="20"/>
                <w:szCs w:val="20"/>
              </w:rPr>
              <w:t>10,6</w:t>
            </w:r>
            <w:r w:rsidR="00FA2EC3" w:rsidRPr="000E5A7F">
              <w:rPr>
                <w:sz w:val="20"/>
                <w:szCs w:val="20"/>
              </w:rPr>
              <w:t>0</w:t>
            </w:r>
          </w:p>
        </w:tc>
      </w:tr>
    </w:tbl>
    <w:p w:rsidR="006C3F88" w:rsidRPr="000E5A7F" w:rsidRDefault="006C3F88" w:rsidP="006C3F88">
      <w:pPr>
        <w:jc w:val="both"/>
        <w:rPr>
          <w:sz w:val="20"/>
          <w:szCs w:val="20"/>
        </w:rPr>
      </w:pPr>
    </w:p>
    <w:p w:rsidR="00FA2EC3" w:rsidRPr="000E5A7F" w:rsidRDefault="00FA2EC3" w:rsidP="006C3F88">
      <w:pPr>
        <w:jc w:val="both"/>
        <w:rPr>
          <w:sz w:val="20"/>
          <w:szCs w:val="20"/>
        </w:rPr>
      </w:pPr>
      <w:r w:rsidRPr="000E5A7F">
        <w:rPr>
          <w:sz w:val="20"/>
          <w:szCs w:val="20"/>
        </w:rPr>
        <w:t>L’intradermo-réaction à la tuberculine a été réalisée chez tous les patients, 257 cas étaient positifs (66,24%). La recherche de Bacille de Koch a été effectuée chez 48 enfants. Elle a été révélée positive chez 9 cas (18,75%). Au plan évolutif, on note 328 (84,54%) cas de guérison, 39 (10,05%) perdus de vue et 21 (5,41 %) décès. Le décès a été observé chez 13 (61,9%) enfants de moins de 5 ans et 8 enfants de plus de 5 ans (38,1%).</w:t>
      </w:r>
    </w:p>
    <w:p w:rsidR="00577B56" w:rsidRPr="000E5A7F" w:rsidRDefault="001723C9" w:rsidP="000B24E4">
      <w:pPr>
        <w:jc w:val="both"/>
        <w:rPr>
          <w:b/>
          <w:sz w:val="20"/>
          <w:szCs w:val="20"/>
        </w:rPr>
      </w:pPr>
      <w:r w:rsidRPr="000E5A7F">
        <w:rPr>
          <w:b/>
          <w:sz w:val="20"/>
          <w:szCs w:val="20"/>
        </w:rPr>
        <w:t>DISCUSSION</w:t>
      </w:r>
      <w:r w:rsidR="00577B56" w:rsidRPr="000E5A7F">
        <w:rPr>
          <w:b/>
          <w:sz w:val="20"/>
          <w:szCs w:val="20"/>
        </w:rPr>
        <w:t> :</w:t>
      </w:r>
    </w:p>
    <w:p w:rsidR="00FA2EC3" w:rsidRPr="000E5A7F" w:rsidRDefault="00FA2EC3" w:rsidP="00FA2EC3">
      <w:pPr>
        <w:jc w:val="both"/>
        <w:rPr>
          <w:b/>
          <w:sz w:val="20"/>
          <w:szCs w:val="20"/>
        </w:rPr>
      </w:pPr>
      <w:r w:rsidRPr="000E5A7F">
        <w:rPr>
          <w:sz w:val="20"/>
          <w:szCs w:val="20"/>
        </w:rPr>
        <w:t xml:space="preserve">La fréquence hospitalière observé de la tuberculose était de 2,3% sur 5 ans au service de pédiatrie de </w:t>
      </w:r>
      <w:proofErr w:type="spellStart"/>
      <w:r w:rsidRPr="000E5A7F">
        <w:rPr>
          <w:sz w:val="20"/>
          <w:szCs w:val="20"/>
        </w:rPr>
        <w:t>Donka</w:t>
      </w:r>
      <w:proofErr w:type="spellEnd"/>
      <w:r w:rsidRPr="000E5A7F">
        <w:rPr>
          <w:sz w:val="20"/>
          <w:szCs w:val="20"/>
        </w:rPr>
        <w:t xml:space="preserve"> ; cette proportion n’était qu’indicative du fait que ce service n’est pas le seul qui assure la prise en charge des enfants atteint de tuberculose dans la région de Conakry. Des proportions plus faibles ont été observées en Zambie </w:t>
      </w:r>
      <w:r w:rsidRPr="000E5A7F">
        <w:rPr>
          <w:b/>
          <w:sz w:val="20"/>
          <w:szCs w:val="20"/>
        </w:rPr>
        <w:t>[8]</w:t>
      </w:r>
      <w:r w:rsidRPr="000E5A7F">
        <w:rPr>
          <w:sz w:val="20"/>
          <w:szCs w:val="20"/>
        </w:rPr>
        <w:t xml:space="preserve"> au Sénégal </w:t>
      </w:r>
      <w:r w:rsidRPr="000E5A7F">
        <w:rPr>
          <w:b/>
          <w:sz w:val="20"/>
          <w:szCs w:val="20"/>
        </w:rPr>
        <w:t>[4]</w:t>
      </w:r>
      <w:r w:rsidRPr="000E5A7F">
        <w:rPr>
          <w:sz w:val="20"/>
          <w:szCs w:val="20"/>
        </w:rPr>
        <w:t>.</w:t>
      </w:r>
      <w:r w:rsidRPr="000E5A7F">
        <w:rPr>
          <w:sz w:val="20"/>
          <w:szCs w:val="20"/>
          <w:lang w:val="fr-CA"/>
        </w:rPr>
        <w:t xml:space="preserve"> </w:t>
      </w:r>
      <w:r w:rsidRPr="000E5A7F">
        <w:rPr>
          <w:sz w:val="20"/>
          <w:szCs w:val="20"/>
        </w:rPr>
        <w:t>Ce résultat prouve à suffisance que la tuberculose de l’enfant est une réalité parmi les pathologies pédiatriques rencontrées en Guinée. Les deux sexes ont été équivalemment concernés dans notre série tout en étant en accord avec d’autres auteurs</w:t>
      </w:r>
      <w:r w:rsidRPr="000E5A7F">
        <w:rPr>
          <w:b/>
          <w:sz w:val="20"/>
          <w:szCs w:val="20"/>
        </w:rPr>
        <w:t xml:space="preserve"> [</w:t>
      </w:r>
      <w:r w:rsidRPr="000E5A7F">
        <w:rPr>
          <w:b/>
          <w:bCs/>
          <w:sz w:val="20"/>
          <w:szCs w:val="20"/>
        </w:rPr>
        <w:t>4, 9,10</w:t>
      </w:r>
      <w:r w:rsidRPr="000E5A7F">
        <w:rPr>
          <w:b/>
          <w:sz w:val="20"/>
          <w:szCs w:val="20"/>
        </w:rPr>
        <w:t>]</w:t>
      </w:r>
      <w:r w:rsidRPr="000E5A7F">
        <w:rPr>
          <w:sz w:val="20"/>
          <w:szCs w:val="20"/>
        </w:rPr>
        <w:t xml:space="preserve">. Malgré la prédominance masculine rien ne permet d’affirmer que l’un des sexes est plus exposé que l’autre. La tuberculose affecte de façon préférentielle les enfants de moins de 5 ans comme rapporté dans la littérature </w:t>
      </w:r>
      <w:r w:rsidRPr="000E5A7F">
        <w:rPr>
          <w:b/>
          <w:sz w:val="20"/>
          <w:szCs w:val="20"/>
        </w:rPr>
        <w:t>[2,11]</w:t>
      </w:r>
      <w:r w:rsidRPr="000E5A7F">
        <w:rPr>
          <w:sz w:val="20"/>
          <w:szCs w:val="20"/>
        </w:rPr>
        <w:t xml:space="preserve">. Notre résultat n’échappe pas à cette observation. La prédilection de l’infection tuberculeuse pour cet âge pourrait s’expliquer par la faiblesse de l’immunité chez les enfants vivant dans un environnement propice à la transmission de Bacilles de Koch ; elle traduit aussi un échec de la lutte contre la tuberculose par la sous vaccination des cibles aux BCG. La rareté des formes asymptomatiques, la contagiosité minimes ou nulle </w:t>
      </w:r>
      <w:r w:rsidRPr="000E5A7F">
        <w:rPr>
          <w:sz w:val="20"/>
          <w:szCs w:val="20"/>
        </w:rPr>
        <w:t>(infection latente) font oublier que l’infection constitue l’entrée dans la tuberculose, l’enfant étant ensuite</w:t>
      </w:r>
      <w:r w:rsidRPr="000E5A7F">
        <w:rPr>
          <w:b/>
          <w:sz w:val="20"/>
          <w:szCs w:val="20"/>
        </w:rPr>
        <w:t xml:space="preserve"> </w:t>
      </w:r>
      <w:r w:rsidRPr="000E5A7F">
        <w:rPr>
          <w:sz w:val="20"/>
          <w:szCs w:val="20"/>
        </w:rPr>
        <w:t xml:space="preserve">à risque de développer dans l’immédiat la maladie et au cours de sa vie </w:t>
      </w:r>
      <w:r w:rsidRPr="000E5A7F">
        <w:rPr>
          <w:b/>
          <w:sz w:val="20"/>
          <w:szCs w:val="20"/>
        </w:rPr>
        <w:t xml:space="preserve">[11]. </w:t>
      </w:r>
      <w:r w:rsidRPr="000E5A7F">
        <w:rPr>
          <w:sz w:val="20"/>
          <w:szCs w:val="20"/>
        </w:rPr>
        <w:t xml:space="preserve">La source de contamination majoritairement mise en évidence dans 43,04% des cas était le </w:t>
      </w:r>
      <w:proofErr w:type="spellStart"/>
      <w:r w:rsidRPr="000E5A7F">
        <w:rPr>
          <w:sz w:val="20"/>
          <w:szCs w:val="20"/>
        </w:rPr>
        <w:t>contage</w:t>
      </w:r>
      <w:proofErr w:type="spellEnd"/>
      <w:r w:rsidRPr="000E5A7F">
        <w:rPr>
          <w:sz w:val="20"/>
          <w:szCs w:val="20"/>
        </w:rPr>
        <w:t xml:space="preserve"> familial. Le </w:t>
      </w:r>
      <w:proofErr w:type="spellStart"/>
      <w:r w:rsidRPr="000E5A7F">
        <w:rPr>
          <w:sz w:val="20"/>
          <w:szCs w:val="20"/>
        </w:rPr>
        <w:t>contage</w:t>
      </w:r>
      <w:proofErr w:type="spellEnd"/>
      <w:r w:rsidRPr="000E5A7F">
        <w:rPr>
          <w:sz w:val="20"/>
          <w:szCs w:val="20"/>
        </w:rPr>
        <w:t xml:space="preserve"> est d’autant plus important chez les enfants que le ratio adulte/ enfant observé par certains auteurs était 1/5 enfants </w:t>
      </w:r>
      <w:r w:rsidRPr="000E5A7F">
        <w:rPr>
          <w:b/>
          <w:sz w:val="20"/>
          <w:szCs w:val="20"/>
        </w:rPr>
        <w:t>[11,15].</w:t>
      </w:r>
      <w:r w:rsidRPr="000E5A7F">
        <w:rPr>
          <w:sz w:val="20"/>
          <w:szCs w:val="20"/>
        </w:rPr>
        <w:t xml:space="preserve"> Nos résultats étaient superposables à ceux de </w:t>
      </w:r>
      <w:proofErr w:type="spellStart"/>
      <w:r w:rsidRPr="000E5A7F">
        <w:rPr>
          <w:sz w:val="20"/>
          <w:szCs w:val="20"/>
        </w:rPr>
        <w:t>Soumana.A</w:t>
      </w:r>
      <w:proofErr w:type="spellEnd"/>
      <w:r w:rsidRPr="000E5A7F">
        <w:rPr>
          <w:b/>
          <w:sz w:val="20"/>
          <w:szCs w:val="20"/>
        </w:rPr>
        <w:t xml:space="preserve"> [10]</w:t>
      </w:r>
      <w:r w:rsidRPr="000E5A7F">
        <w:rPr>
          <w:sz w:val="20"/>
          <w:szCs w:val="20"/>
        </w:rPr>
        <w:t xml:space="preserve">, </w:t>
      </w:r>
      <w:proofErr w:type="spellStart"/>
      <w:r w:rsidRPr="000E5A7F">
        <w:rPr>
          <w:bCs/>
          <w:sz w:val="20"/>
          <w:szCs w:val="20"/>
        </w:rPr>
        <w:t>Randriatsarafara</w:t>
      </w:r>
      <w:proofErr w:type="spellEnd"/>
      <w:r w:rsidRPr="000E5A7F">
        <w:rPr>
          <w:sz w:val="20"/>
          <w:szCs w:val="20"/>
        </w:rPr>
        <w:t xml:space="preserve"> </w:t>
      </w:r>
      <w:r w:rsidRPr="000E5A7F">
        <w:rPr>
          <w:b/>
          <w:bCs/>
          <w:sz w:val="20"/>
          <w:szCs w:val="20"/>
        </w:rPr>
        <w:t xml:space="preserve">[9] </w:t>
      </w:r>
      <w:r w:rsidRPr="000E5A7F">
        <w:rPr>
          <w:sz w:val="20"/>
          <w:szCs w:val="20"/>
        </w:rPr>
        <w:t xml:space="preserve">et </w:t>
      </w:r>
      <w:proofErr w:type="spellStart"/>
      <w:r w:rsidRPr="000E5A7F">
        <w:rPr>
          <w:sz w:val="20"/>
          <w:szCs w:val="20"/>
        </w:rPr>
        <w:t>Elmghari.M</w:t>
      </w:r>
      <w:proofErr w:type="spellEnd"/>
      <w:r w:rsidRPr="000E5A7F">
        <w:rPr>
          <w:sz w:val="20"/>
          <w:szCs w:val="20"/>
        </w:rPr>
        <w:t xml:space="preserve"> </w:t>
      </w:r>
      <w:r w:rsidRPr="000E5A7F">
        <w:rPr>
          <w:b/>
          <w:sz w:val="20"/>
          <w:szCs w:val="20"/>
        </w:rPr>
        <w:t xml:space="preserve">[12]. </w:t>
      </w:r>
      <w:r w:rsidRPr="000E5A7F">
        <w:rPr>
          <w:sz w:val="20"/>
          <w:szCs w:val="20"/>
        </w:rPr>
        <w:t>La promiscuité, la durée de l’exposition et la forme clinique de la tuberculose</w:t>
      </w:r>
      <w:r w:rsidRPr="000E5A7F">
        <w:rPr>
          <w:b/>
          <w:sz w:val="20"/>
          <w:szCs w:val="20"/>
        </w:rPr>
        <w:t xml:space="preserve"> </w:t>
      </w:r>
      <w:r w:rsidRPr="000E5A7F">
        <w:rPr>
          <w:sz w:val="20"/>
          <w:szCs w:val="20"/>
        </w:rPr>
        <w:t>pourraient expliquer ce phénomène sans oublier que la pauvreté, la malnutrition et l’infection à VIH serviraient de lit à la tuberculose</w:t>
      </w:r>
      <w:r w:rsidRPr="000E5A7F">
        <w:rPr>
          <w:b/>
          <w:sz w:val="20"/>
          <w:szCs w:val="20"/>
        </w:rPr>
        <w:t xml:space="preserve"> [16]</w:t>
      </w:r>
      <w:r w:rsidRPr="000E5A7F">
        <w:rPr>
          <w:sz w:val="20"/>
          <w:szCs w:val="20"/>
        </w:rPr>
        <w:t xml:space="preserve">. La localisation </w:t>
      </w:r>
      <w:proofErr w:type="spellStart"/>
      <w:r w:rsidRPr="000E5A7F">
        <w:rPr>
          <w:sz w:val="20"/>
          <w:szCs w:val="20"/>
        </w:rPr>
        <w:t>médiastino</w:t>
      </w:r>
      <w:proofErr w:type="spellEnd"/>
      <w:r w:rsidRPr="000E5A7F">
        <w:rPr>
          <w:sz w:val="20"/>
          <w:szCs w:val="20"/>
        </w:rPr>
        <w:t xml:space="preserve">-pulmonaire était de loin la plus rencontrée, comme l’attestent plusieurs auteurs </w:t>
      </w:r>
      <w:r w:rsidRPr="000E5A7F">
        <w:rPr>
          <w:b/>
          <w:sz w:val="20"/>
          <w:szCs w:val="20"/>
        </w:rPr>
        <w:t>[11, 13,14]</w:t>
      </w:r>
      <w:r w:rsidRPr="000E5A7F">
        <w:rPr>
          <w:sz w:val="20"/>
          <w:szCs w:val="20"/>
        </w:rPr>
        <w:t xml:space="preserve"> et la forme la plus contagieuse. Les affections associées à la tuberculose ont été dominées par le paludisme, la malnutrition et les parasitoses intestinales. Cela s’expliquerait par le fait que ces affections constituent les deux tiers des pathologies rencontrées en zone tropicale. Par ailleurs, leur association morbide ajoutée à celle du VIH pourrait avoir un impact négatif sur le pronostic du malade. La proportion de positivité de l’intradermo-réaction à la tuberculine observée dans cette étude était légèrement inférieure au résultat de </w:t>
      </w:r>
      <w:proofErr w:type="spellStart"/>
      <w:r w:rsidRPr="000E5A7F">
        <w:rPr>
          <w:sz w:val="20"/>
          <w:szCs w:val="20"/>
        </w:rPr>
        <w:t>Soumana</w:t>
      </w:r>
      <w:proofErr w:type="spellEnd"/>
      <w:r w:rsidRPr="000E5A7F">
        <w:rPr>
          <w:sz w:val="20"/>
          <w:szCs w:val="20"/>
        </w:rPr>
        <w:t xml:space="preserve"> A et col. (85,71%) </w:t>
      </w:r>
      <w:r w:rsidRPr="000E5A7F">
        <w:rPr>
          <w:b/>
          <w:sz w:val="20"/>
          <w:szCs w:val="20"/>
        </w:rPr>
        <w:t>[10]</w:t>
      </w:r>
      <w:r w:rsidRPr="000E5A7F">
        <w:rPr>
          <w:sz w:val="20"/>
          <w:szCs w:val="20"/>
        </w:rPr>
        <w:t>. Par contre, il faut noter qu’une intradermo-réaction négative n’exclut pas le diagnostic de tuberculose car le diamètre de l’induration est fonction du degré de l’exposition au BK et de la richesse en bacille du frottis du contaminateur et de la réaction immunitaire de l’hôte. L’anergie à la tuberculine a été observée par</w:t>
      </w:r>
      <w:r w:rsidRPr="000E5A7F">
        <w:rPr>
          <w:b/>
          <w:sz w:val="20"/>
          <w:szCs w:val="20"/>
        </w:rPr>
        <w:t xml:space="preserve"> </w:t>
      </w:r>
      <w:r w:rsidRPr="000E5A7F">
        <w:rPr>
          <w:sz w:val="20"/>
          <w:szCs w:val="20"/>
        </w:rPr>
        <w:t>certains auteurs chez 14% des enfants tuberculeux confirmés bactériologiquement</w:t>
      </w:r>
      <w:r w:rsidRPr="000E5A7F">
        <w:rPr>
          <w:b/>
          <w:sz w:val="20"/>
          <w:szCs w:val="20"/>
        </w:rPr>
        <w:t xml:space="preserve"> [11].</w:t>
      </w:r>
      <w:r w:rsidRPr="000E5A7F">
        <w:rPr>
          <w:sz w:val="20"/>
          <w:szCs w:val="20"/>
        </w:rPr>
        <w:t xml:space="preserve"> L’examen direct des crachats ou du liquide de tubage gastrique a révélé la présence de Bacille de Koch chez 9 malades sur 48. Le faible taux de réalisation de cet examen est dû à la difficulté d’obtenir les crachats chez les enfants surtout les moins de 5 ans et à un manque de moyen financier de certaines familles face à la réalisation du tubage gastrique. Par ailleurs, notre résultat rend compte de la difficulté à apporter de preuves bactériologiques par l’examen direct du fait que la tuberculose de l’enfant est pauci bacillaire </w:t>
      </w:r>
      <w:r w:rsidRPr="000E5A7F">
        <w:rPr>
          <w:b/>
          <w:sz w:val="20"/>
          <w:szCs w:val="20"/>
        </w:rPr>
        <w:t>[2,11]</w:t>
      </w:r>
      <w:r w:rsidRPr="000E5A7F">
        <w:rPr>
          <w:sz w:val="20"/>
          <w:szCs w:val="20"/>
        </w:rPr>
        <w:t xml:space="preserve">. Les risques d’infections des enfants contacts sont plus élevés dans les pays pauvres. L’infection par le VIH et la malnutrition ont un impact important sur l’épidémiologie et la sévérité de la tuberculose Barry I. </w:t>
      </w:r>
      <w:proofErr w:type="spellStart"/>
      <w:r w:rsidRPr="000E5A7F">
        <w:rPr>
          <w:sz w:val="20"/>
          <w:szCs w:val="20"/>
        </w:rPr>
        <w:t>Koolo</w:t>
      </w:r>
      <w:proofErr w:type="spellEnd"/>
      <w:r w:rsidRPr="000E5A7F">
        <w:rPr>
          <w:sz w:val="20"/>
          <w:szCs w:val="20"/>
        </w:rPr>
        <w:t xml:space="preserve"> et Al. Avaient trouvé dans leur étude sur 108 enfants séropositifs (17 %), 22,2 % étaient suspects d’une infection tuberculeuse, en absence de la confirmation bactériologique, ils avaient utilisé le score adapté de </w:t>
      </w:r>
      <w:proofErr w:type="spellStart"/>
      <w:r w:rsidRPr="000E5A7F">
        <w:rPr>
          <w:sz w:val="20"/>
          <w:szCs w:val="20"/>
        </w:rPr>
        <w:t>Crofton</w:t>
      </w:r>
      <w:proofErr w:type="spellEnd"/>
      <w:r w:rsidRPr="000E5A7F">
        <w:rPr>
          <w:sz w:val="20"/>
          <w:szCs w:val="20"/>
        </w:rPr>
        <w:t xml:space="preserve"> Horne et Miller) </w:t>
      </w:r>
      <w:r w:rsidRPr="000E5A7F">
        <w:rPr>
          <w:b/>
          <w:sz w:val="20"/>
          <w:szCs w:val="20"/>
        </w:rPr>
        <w:t>[16]</w:t>
      </w:r>
      <w:r w:rsidRPr="000E5A7F">
        <w:rPr>
          <w:sz w:val="20"/>
          <w:szCs w:val="20"/>
        </w:rPr>
        <w:t xml:space="preserve"> très commode chez l’enfant malnutri pour la mise en route du traitement spécifique. La radiologie reste déterminante pour le diagnostic de la tuberculose pulmonaire de l’enfant compte tenu de la faible spécificité des manifestations cliniques et de la difficulté de mise en évidence du BK par examen direct </w:t>
      </w:r>
      <w:r w:rsidRPr="000E5A7F">
        <w:rPr>
          <w:b/>
          <w:sz w:val="20"/>
          <w:szCs w:val="20"/>
        </w:rPr>
        <w:t>[2]</w:t>
      </w:r>
      <w:r w:rsidRPr="000E5A7F">
        <w:rPr>
          <w:sz w:val="20"/>
          <w:szCs w:val="20"/>
        </w:rPr>
        <w:t xml:space="preserve">. Les opacités hilaires et </w:t>
      </w:r>
      <w:proofErr w:type="spellStart"/>
      <w:r w:rsidRPr="000E5A7F">
        <w:rPr>
          <w:sz w:val="20"/>
          <w:szCs w:val="20"/>
        </w:rPr>
        <w:t>latéro</w:t>
      </w:r>
      <w:proofErr w:type="spellEnd"/>
      <w:r w:rsidRPr="000E5A7F">
        <w:rPr>
          <w:sz w:val="20"/>
          <w:szCs w:val="20"/>
        </w:rPr>
        <w:t>-trachéales traduisant des adénopathies occupaient la 1</w:t>
      </w:r>
      <w:r w:rsidRPr="000E5A7F">
        <w:rPr>
          <w:sz w:val="20"/>
          <w:szCs w:val="20"/>
          <w:vertAlign w:val="superscript"/>
        </w:rPr>
        <w:t>ère</w:t>
      </w:r>
      <w:r w:rsidRPr="000E5A7F">
        <w:rPr>
          <w:sz w:val="20"/>
          <w:szCs w:val="20"/>
        </w:rPr>
        <w:t xml:space="preserve"> place parmi les aspects radiologiques rapportées dans notre série. Cette observation était superposable à celles </w:t>
      </w:r>
      <w:r w:rsidRPr="000E5A7F">
        <w:rPr>
          <w:sz w:val="20"/>
          <w:szCs w:val="20"/>
        </w:rPr>
        <w:lastRenderedPageBreak/>
        <w:t xml:space="preserve">de Delacour </w:t>
      </w:r>
      <w:r w:rsidRPr="000E5A7F">
        <w:rPr>
          <w:b/>
          <w:sz w:val="20"/>
          <w:szCs w:val="20"/>
        </w:rPr>
        <w:t>[2]</w:t>
      </w:r>
      <w:r w:rsidRPr="000E5A7F">
        <w:rPr>
          <w:sz w:val="20"/>
          <w:szCs w:val="20"/>
        </w:rPr>
        <w:t xml:space="preserve"> et </w:t>
      </w:r>
      <w:proofErr w:type="spellStart"/>
      <w:r w:rsidRPr="000E5A7F">
        <w:rPr>
          <w:sz w:val="20"/>
          <w:szCs w:val="20"/>
        </w:rPr>
        <w:t>Elfihri</w:t>
      </w:r>
      <w:proofErr w:type="spellEnd"/>
      <w:r w:rsidRPr="000E5A7F">
        <w:rPr>
          <w:sz w:val="20"/>
          <w:szCs w:val="20"/>
        </w:rPr>
        <w:t xml:space="preserve"> </w:t>
      </w:r>
      <w:r w:rsidRPr="000E5A7F">
        <w:rPr>
          <w:b/>
          <w:sz w:val="20"/>
          <w:szCs w:val="20"/>
        </w:rPr>
        <w:t xml:space="preserve">[17], Simon </w:t>
      </w:r>
      <w:proofErr w:type="spellStart"/>
      <w:proofErr w:type="gramStart"/>
      <w:r w:rsidRPr="000E5A7F">
        <w:rPr>
          <w:b/>
          <w:sz w:val="20"/>
          <w:szCs w:val="20"/>
        </w:rPr>
        <w:t>Epsi</w:t>
      </w:r>
      <w:proofErr w:type="spellEnd"/>
      <w:r w:rsidRPr="000E5A7F">
        <w:rPr>
          <w:b/>
          <w:sz w:val="20"/>
          <w:szCs w:val="20"/>
        </w:rPr>
        <w:t>[</w:t>
      </w:r>
      <w:proofErr w:type="gramEnd"/>
      <w:r w:rsidRPr="000E5A7F">
        <w:rPr>
          <w:b/>
          <w:sz w:val="20"/>
          <w:szCs w:val="20"/>
        </w:rPr>
        <w:t>18],</w:t>
      </w:r>
      <w:r w:rsidRPr="000E5A7F">
        <w:rPr>
          <w:sz w:val="20"/>
          <w:szCs w:val="20"/>
        </w:rPr>
        <w:t xml:space="preserve"> Ceci serait en rapport avec le mode de contamination aérien de la maladie. Nous n’avons pas observé des formes méningées ni miliaire tuberculeuse probablement du fait du taux élevé de couverture vaccinale au BCG des enfants de notre série ; car l’apparition des formes graves étant l’apanage des enfants non vaccinés. La proportion de décès (5,41 %) observée majoritairement chez les moins de 5 ans était proche de celle de </w:t>
      </w:r>
      <w:proofErr w:type="spellStart"/>
      <w:r w:rsidRPr="000E5A7F">
        <w:rPr>
          <w:sz w:val="20"/>
          <w:szCs w:val="20"/>
        </w:rPr>
        <w:t>Segbedji</w:t>
      </w:r>
      <w:proofErr w:type="spellEnd"/>
      <w:r w:rsidRPr="000E5A7F">
        <w:rPr>
          <w:sz w:val="20"/>
          <w:szCs w:val="20"/>
        </w:rPr>
        <w:t xml:space="preserve"> </w:t>
      </w:r>
      <w:r w:rsidRPr="000E5A7F">
        <w:rPr>
          <w:b/>
          <w:sz w:val="20"/>
          <w:szCs w:val="20"/>
        </w:rPr>
        <w:t>[14].</w:t>
      </w:r>
    </w:p>
    <w:p w:rsidR="008439D1" w:rsidRPr="000E5A7F" w:rsidRDefault="008439D1" w:rsidP="00FA2EC3">
      <w:pPr>
        <w:jc w:val="both"/>
        <w:rPr>
          <w:b/>
          <w:sz w:val="20"/>
          <w:szCs w:val="20"/>
        </w:rPr>
      </w:pPr>
      <w:r w:rsidRPr="000E5A7F">
        <w:rPr>
          <w:b/>
          <w:sz w:val="20"/>
          <w:szCs w:val="20"/>
        </w:rPr>
        <w:t>CONCLUSION</w:t>
      </w:r>
    </w:p>
    <w:p w:rsidR="008439D1" w:rsidRPr="000E5A7F" w:rsidRDefault="008439D1" w:rsidP="008439D1">
      <w:pPr>
        <w:jc w:val="both"/>
        <w:rPr>
          <w:sz w:val="20"/>
          <w:szCs w:val="20"/>
        </w:rPr>
      </w:pPr>
      <w:r w:rsidRPr="000E5A7F">
        <w:rPr>
          <w:sz w:val="20"/>
          <w:szCs w:val="20"/>
        </w:rPr>
        <w:t xml:space="preserve">La tuberculose reste encore un problème de santé chez les enfants en Guinée. Son tableau clinique est riche et polymorphe. Le diagnostic de certitude par l’identification du germe reste aléatoire du fait de la faiblesse des plateaux techniques et repose essentiellement sur la présence de faisceaux anamnestiques, cliniques et radiologique. Les localisations </w:t>
      </w:r>
      <w:proofErr w:type="spellStart"/>
      <w:r w:rsidRPr="000E5A7F">
        <w:rPr>
          <w:sz w:val="20"/>
          <w:szCs w:val="20"/>
        </w:rPr>
        <w:t>médiastino</w:t>
      </w:r>
      <w:proofErr w:type="spellEnd"/>
      <w:r w:rsidRPr="000E5A7F">
        <w:rPr>
          <w:sz w:val="20"/>
          <w:szCs w:val="20"/>
        </w:rPr>
        <w:t xml:space="preserve">-pulmonaires et ganglionnaires étaient les plus fréquentes. L’évolution était favorable pour la majorité de nos patients à conditions d’un traitement précoce, d’une observance rigoureuse et d’une réduction des pertes de vue. </w:t>
      </w:r>
    </w:p>
    <w:p w:rsidR="008439D1" w:rsidRPr="000E5A7F" w:rsidRDefault="008439D1" w:rsidP="008439D1">
      <w:pPr>
        <w:jc w:val="both"/>
        <w:rPr>
          <w:b/>
          <w:sz w:val="20"/>
          <w:szCs w:val="20"/>
        </w:rPr>
      </w:pPr>
      <w:r w:rsidRPr="000E5A7F">
        <w:rPr>
          <w:b/>
          <w:sz w:val="20"/>
          <w:szCs w:val="20"/>
        </w:rPr>
        <w:t>LIMITES DE L’ETUDE</w:t>
      </w:r>
    </w:p>
    <w:p w:rsidR="001B47C6" w:rsidRPr="000E5A7F" w:rsidRDefault="008439D1" w:rsidP="008439D1">
      <w:pPr>
        <w:jc w:val="both"/>
        <w:rPr>
          <w:b/>
          <w:sz w:val="20"/>
          <w:szCs w:val="20"/>
        </w:rPr>
      </w:pPr>
      <w:r w:rsidRPr="000E5A7F">
        <w:rPr>
          <w:sz w:val="20"/>
          <w:szCs w:val="20"/>
        </w:rPr>
        <w:t xml:space="preserve"> Les études rétrospectives sont intrinsèquement sujettes à des biais. Nous étions limités sur la quantité d'informations et la qualité des données que nous pouvions collecter sur les sujets en fonction des enregistrements disponibles.</w:t>
      </w:r>
    </w:p>
    <w:p w:rsidR="00D72D39" w:rsidRPr="000E5A7F" w:rsidRDefault="001723C9" w:rsidP="008439D1">
      <w:pPr>
        <w:rPr>
          <w:b/>
          <w:sz w:val="20"/>
          <w:szCs w:val="20"/>
          <w:lang w:val="en-US"/>
        </w:rPr>
      </w:pPr>
      <w:r w:rsidRPr="000E5A7F">
        <w:rPr>
          <w:b/>
          <w:sz w:val="20"/>
          <w:szCs w:val="20"/>
          <w:lang w:val="en-US"/>
        </w:rPr>
        <w:t>REFERENCES</w:t>
      </w:r>
      <w:r w:rsidR="00577B56" w:rsidRPr="000E5A7F">
        <w:rPr>
          <w:b/>
          <w:sz w:val="20"/>
          <w:szCs w:val="20"/>
          <w:lang w:val="en-US"/>
        </w:rPr>
        <w:t>:</w:t>
      </w:r>
    </w:p>
    <w:p w:rsidR="008439D1" w:rsidRPr="000E5A7F" w:rsidRDefault="008439D1" w:rsidP="008439D1">
      <w:pPr>
        <w:jc w:val="both"/>
        <w:rPr>
          <w:sz w:val="20"/>
          <w:szCs w:val="20"/>
        </w:rPr>
      </w:pPr>
      <w:r w:rsidRPr="000E5A7F">
        <w:rPr>
          <w:b/>
          <w:sz w:val="20"/>
          <w:szCs w:val="20"/>
        </w:rPr>
        <w:t xml:space="preserve">1- </w:t>
      </w:r>
      <w:proofErr w:type="spellStart"/>
      <w:r w:rsidRPr="000E5A7F">
        <w:rPr>
          <w:b/>
          <w:sz w:val="20"/>
          <w:szCs w:val="20"/>
        </w:rPr>
        <w:t>Mjid</w:t>
      </w:r>
      <w:proofErr w:type="spellEnd"/>
      <w:r w:rsidRPr="000E5A7F">
        <w:rPr>
          <w:b/>
          <w:sz w:val="20"/>
          <w:szCs w:val="20"/>
        </w:rPr>
        <w:t xml:space="preserve"> M, Cherif J, Ben Salah N, </w:t>
      </w:r>
      <w:proofErr w:type="spellStart"/>
      <w:r w:rsidRPr="000E5A7F">
        <w:rPr>
          <w:b/>
          <w:sz w:val="20"/>
          <w:szCs w:val="20"/>
        </w:rPr>
        <w:t>Toujani</w:t>
      </w:r>
      <w:proofErr w:type="spellEnd"/>
      <w:r w:rsidRPr="000E5A7F">
        <w:rPr>
          <w:b/>
          <w:sz w:val="20"/>
          <w:szCs w:val="20"/>
        </w:rPr>
        <w:t xml:space="preserve"> S, </w:t>
      </w:r>
      <w:proofErr w:type="spellStart"/>
      <w:r w:rsidRPr="000E5A7F">
        <w:rPr>
          <w:b/>
          <w:sz w:val="20"/>
          <w:szCs w:val="20"/>
        </w:rPr>
        <w:t>Ouahchi</w:t>
      </w:r>
      <w:proofErr w:type="spellEnd"/>
      <w:r w:rsidRPr="000E5A7F">
        <w:rPr>
          <w:b/>
          <w:sz w:val="20"/>
          <w:szCs w:val="20"/>
        </w:rPr>
        <w:t xml:space="preserve"> Y, </w:t>
      </w:r>
      <w:proofErr w:type="spellStart"/>
      <w:r w:rsidRPr="000E5A7F">
        <w:rPr>
          <w:b/>
          <w:sz w:val="20"/>
          <w:szCs w:val="20"/>
        </w:rPr>
        <w:t>Zakhama</w:t>
      </w:r>
      <w:proofErr w:type="spellEnd"/>
      <w:r w:rsidRPr="000E5A7F">
        <w:rPr>
          <w:b/>
          <w:sz w:val="20"/>
          <w:szCs w:val="20"/>
        </w:rPr>
        <w:t xml:space="preserve"> H, </w:t>
      </w:r>
      <w:proofErr w:type="spellStart"/>
      <w:r w:rsidRPr="000E5A7F">
        <w:rPr>
          <w:b/>
          <w:sz w:val="20"/>
          <w:szCs w:val="20"/>
        </w:rPr>
        <w:t>Louzir</w:t>
      </w:r>
      <w:proofErr w:type="spellEnd"/>
      <w:r w:rsidRPr="000E5A7F">
        <w:rPr>
          <w:b/>
          <w:sz w:val="20"/>
          <w:szCs w:val="20"/>
        </w:rPr>
        <w:t xml:space="preserve"> B et al.</w:t>
      </w:r>
      <w:r w:rsidRPr="000E5A7F">
        <w:rPr>
          <w:sz w:val="20"/>
          <w:szCs w:val="20"/>
        </w:rPr>
        <w:t xml:space="preserve"> Epidémiologie de la tuberculose dans le service de pneumologie à Tunis. Revue de pneumologie clinique 2014</w:t>
      </w:r>
    </w:p>
    <w:p w:rsidR="008439D1" w:rsidRPr="000E5A7F" w:rsidRDefault="008439D1" w:rsidP="008439D1">
      <w:pPr>
        <w:jc w:val="both"/>
        <w:rPr>
          <w:sz w:val="20"/>
          <w:szCs w:val="20"/>
        </w:rPr>
      </w:pPr>
      <w:r w:rsidRPr="000E5A7F">
        <w:rPr>
          <w:b/>
          <w:sz w:val="20"/>
          <w:szCs w:val="20"/>
        </w:rPr>
        <w:t>2-</w:t>
      </w:r>
      <w:r w:rsidRPr="000E5A7F">
        <w:rPr>
          <w:sz w:val="20"/>
          <w:szCs w:val="20"/>
        </w:rPr>
        <w:t xml:space="preserve"> </w:t>
      </w:r>
      <w:r w:rsidRPr="000E5A7F">
        <w:rPr>
          <w:b/>
          <w:sz w:val="20"/>
          <w:szCs w:val="20"/>
        </w:rPr>
        <w:t>Delacourt C.</w:t>
      </w:r>
      <w:r w:rsidRPr="000E5A7F">
        <w:rPr>
          <w:sz w:val="20"/>
          <w:szCs w:val="20"/>
        </w:rPr>
        <w:t xml:space="preserve"> Particularités de la tuberculose chez l’enfant. Revue des Maladies Respiratoires 2011 ; </w:t>
      </w:r>
      <w:proofErr w:type="gramStart"/>
      <w:r w:rsidRPr="000E5A7F">
        <w:rPr>
          <w:sz w:val="20"/>
          <w:szCs w:val="20"/>
        </w:rPr>
        <w:t>28:</w:t>
      </w:r>
      <w:proofErr w:type="gramEnd"/>
      <w:r w:rsidRPr="000E5A7F">
        <w:rPr>
          <w:sz w:val="20"/>
          <w:szCs w:val="20"/>
        </w:rPr>
        <w:t>529-541.</w:t>
      </w:r>
    </w:p>
    <w:p w:rsidR="008439D1" w:rsidRPr="000E5A7F" w:rsidRDefault="008439D1" w:rsidP="008439D1">
      <w:pPr>
        <w:jc w:val="both"/>
        <w:rPr>
          <w:sz w:val="20"/>
          <w:szCs w:val="20"/>
        </w:rPr>
      </w:pPr>
      <w:r w:rsidRPr="000E5A7F">
        <w:rPr>
          <w:b/>
          <w:sz w:val="20"/>
          <w:szCs w:val="20"/>
          <w:lang w:val="fr-CA"/>
        </w:rPr>
        <w:t xml:space="preserve">3.Segbedji K.A.R. </w:t>
      </w:r>
      <w:proofErr w:type="spellStart"/>
      <w:r w:rsidRPr="000E5A7F">
        <w:rPr>
          <w:b/>
          <w:sz w:val="20"/>
          <w:szCs w:val="20"/>
          <w:lang w:val="fr-CA"/>
        </w:rPr>
        <w:t>Djadou</w:t>
      </w:r>
      <w:proofErr w:type="spellEnd"/>
      <w:r w:rsidRPr="000E5A7F">
        <w:rPr>
          <w:b/>
          <w:sz w:val="20"/>
          <w:szCs w:val="20"/>
          <w:lang w:val="fr-CA"/>
        </w:rPr>
        <w:t xml:space="preserve"> K.E. et All : </w:t>
      </w:r>
      <w:r w:rsidRPr="000E5A7F">
        <w:rPr>
          <w:sz w:val="20"/>
          <w:szCs w:val="20"/>
        </w:rPr>
        <w:t>Tuberculose de l'enfant au Togo : aspects épidémiologiques, diagnostiques, thérapeutiques et évolutifs Médecine et Sante ´ Tropicales 2016 ; 26 : 318-322</w:t>
      </w:r>
    </w:p>
    <w:p w:rsidR="008439D1" w:rsidRPr="000E5A7F" w:rsidRDefault="008439D1" w:rsidP="008439D1">
      <w:pPr>
        <w:jc w:val="both"/>
        <w:rPr>
          <w:sz w:val="20"/>
          <w:szCs w:val="20"/>
        </w:rPr>
      </w:pPr>
      <w:r w:rsidRPr="000E5A7F">
        <w:rPr>
          <w:b/>
          <w:sz w:val="20"/>
          <w:szCs w:val="20"/>
        </w:rPr>
        <w:t xml:space="preserve">4. P. </w:t>
      </w:r>
      <w:proofErr w:type="spellStart"/>
      <w:r w:rsidRPr="000E5A7F">
        <w:rPr>
          <w:b/>
          <w:sz w:val="20"/>
          <w:szCs w:val="20"/>
        </w:rPr>
        <w:t>Bouree</w:t>
      </w:r>
      <w:proofErr w:type="spellEnd"/>
      <w:r w:rsidRPr="000E5A7F">
        <w:rPr>
          <w:b/>
          <w:sz w:val="20"/>
          <w:szCs w:val="20"/>
        </w:rPr>
        <w:t> </w:t>
      </w:r>
      <w:r w:rsidRPr="000E5A7F">
        <w:rPr>
          <w:sz w:val="20"/>
          <w:szCs w:val="20"/>
        </w:rPr>
        <w:t>: Tuberculose de l'enfant au Sénégal Médecine et Sante ´ Tropicales, Vol. 26, Nº3 juillet-aout-septembre 2016.</w:t>
      </w:r>
    </w:p>
    <w:p w:rsidR="008439D1" w:rsidRPr="000E5A7F" w:rsidRDefault="008439D1" w:rsidP="008439D1">
      <w:pPr>
        <w:jc w:val="both"/>
        <w:rPr>
          <w:sz w:val="20"/>
          <w:szCs w:val="20"/>
        </w:rPr>
      </w:pPr>
      <w:r w:rsidRPr="000E5A7F">
        <w:rPr>
          <w:b/>
          <w:sz w:val="20"/>
          <w:szCs w:val="20"/>
        </w:rPr>
        <w:t xml:space="preserve">5. </w:t>
      </w:r>
      <w:proofErr w:type="spellStart"/>
      <w:r w:rsidRPr="000E5A7F">
        <w:rPr>
          <w:b/>
          <w:sz w:val="20"/>
          <w:szCs w:val="20"/>
        </w:rPr>
        <w:t>Secretariat</w:t>
      </w:r>
      <w:proofErr w:type="spellEnd"/>
      <w:r w:rsidRPr="000E5A7F">
        <w:rPr>
          <w:b/>
          <w:sz w:val="20"/>
          <w:szCs w:val="20"/>
        </w:rPr>
        <w:t xml:space="preserve"> OMS :</w:t>
      </w:r>
      <w:r w:rsidRPr="000E5A7F">
        <w:rPr>
          <w:sz w:val="20"/>
          <w:szCs w:val="20"/>
        </w:rPr>
        <w:t xml:space="preserve"> Projet de stratégies mondiale et cibles pour la prévention de la tuberculose, les soins et la lutte </w:t>
      </w:r>
      <w:proofErr w:type="spellStart"/>
      <w:r w:rsidRPr="000E5A7F">
        <w:rPr>
          <w:sz w:val="20"/>
          <w:szCs w:val="20"/>
        </w:rPr>
        <w:t>apres</w:t>
      </w:r>
      <w:proofErr w:type="spellEnd"/>
      <w:r w:rsidRPr="000E5A7F">
        <w:rPr>
          <w:sz w:val="20"/>
          <w:szCs w:val="20"/>
        </w:rPr>
        <w:t xml:space="preserve"> 2015. Rapport. Disponible sur : http : //apps. who.int/</w:t>
      </w:r>
      <w:proofErr w:type="spellStart"/>
      <w:r w:rsidRPr="000E5A7F">
        <w:rPr>
          <w:sz w:val="20"/>
          <w:szCs w:val="20"/>
        </w:rPr>
        <w:t>gb</w:t>
      </w:r>
      <w:proofErr w:type="spellEnd"/>
      <w:r w:rsidRPr="000E5A7F">
        <w:rPr>
          <w:sz w:val="20"/>
          <w:szCs w:val="20"/>
        </w:rPr>
        <w:t>/</w:t>
      </w:r>
      <w:proofErr w:type="spellStart"/>
      <w:r w:rsidRPr="000E5A7F">
        <w:rPr>
          <w:sz w:val="20"/>
          <w:szCs w:val="20"/>
        </w:rPr>
        <w:t>ebwha</w:t>
      </w:r>
      <w:proofErr w:type="spellEnd"/>
      <w:r w:rsidRPr="000E5A7F">
        <w:rPr>
          <w:sz w:val="20"/>
          <w:szCs w:val="20"/>
        </w:rPr>
        <w:t>/</w:t>
      </w:r>
      <w:proofErr w:type="spellStart"/>
      <w:r w:rsidRPr="000E5A7F">
        <w:rPr>
          <w:sz w:val="20"/>
          <w:szCs w:val="20"/>
        </w:rPr>
        <w:t>pdf_ﬁles</w:t>
      </w:r>
      <w:proofErr w:type="spellEnd"/>
      <w:r w:rsidRPr="000E5A7F">
        <w:rPr>
          <w:sz w:val="20"/>
          <w:szCs w:val="20"/>
        </w:rPr>
        <w:t>/WHA67/ A67_11-fr.pdf.</w:t>
      </w:r>
    </w:p>
    <w:p w:rsidR="008439D1" w:rsidRPr="000E5A7F" w:rsidRDefault="008439D1" w:rsidP="008439D1">
      <w:pPr>
        <w:jc w:val="both"/>
        <w:rPr>
          <w:sz w:val="20"/>
          <w:szCs w:val="20"/>
        </w:rPr>
      </w:pPr>
      <w:r w:rsidRPr="000E5A7F">
        <w:rPr>
          <w:b/>
          <w:sz w:val="20"/>
          <w:szCs w:val="20"/>
        </w:rPr>
        <w:t>6. République de Guinée</w:t>
      </w:r>
      <w:r w:rsidRPr="000E5A7F">
        <w:rPr>
          <w:sz w:val="20"/>
          <w:szCs w:val="20"/>
        </w:rPr>
        <w:t> : Enquête Démographique et de Santé (EDS V) 2018</w:t>
      </w:r>
    </w:p>
    <w:p w:rsidR="008439D1" w:rsidRPr="000E5A7F" w:rsidRDefault="008439D1" w:rsidP="008439D1">
      <w:pPr>
        <w:jc w:val="both"/>
        <w:rPr>
          <w:sz w:val="20"/>
          <w:szCs w:val="20"/>
          <w:lang w:val="en-CA"/>
        </w:rPr>
      </w:pPr>
      <w:r w:rsidRPr="000E5A7F">
        <w:rPr>
          <w:b/>
          <w:sz w:val="20"/>
          <w:szCs w:val="20"/>
        </w:rPr>
        <w:t xml:space="preserve">7. </w:t>
      </w:r>
      <w:r w:rsidRPr="000E5A7F">
        <w:rPr>
          <w:b/>
          <w:sz w:val="20"/>
          <w:szCs w:val="20"/>
          <w:lang w:val="fr-CA" w:eastAsia="fr-CA"/>
        </w:rPr>
        <w:t>OMS.</w:t>
      </w:r>
      <w:r w:rsidRPr="000E5A7F">
        <w:rPr>
          <w:sz w:val="20"/>
          <w:szCs w:val="20"/>
          <w:lang w:val="fr-CA" w:eastAsia="fr-CA"/>
        </w:rPr>
        <w:t xml:space="preserve"> Les estimations de la charge de TB et de TB-MR sont calculées par l'OMS en consultation avec les pays. </w:t>
      </w:r>
      <w:hyperlink r:id="rId8" w:history="1">
        <w:r w:rsidRPr="000E5A7F">
          <w:rPr>
            <w:sz w:val="20"/>
            <w:szCs w:val="20"/>
            <w:u w:val="single"/>
            <w:lang w:val="en-CA" w:eastAsia="fr-CA"/>
          </w:rPr>
          <w:t>Données: www.who.int/tb/data</w:t>
        </w:r>
      </w:hyperlink>
      <w:r w:rsidRPr="000E5A7F">
        <w:rPr>
          <w:sz w:val="20"/>
          <w:szCs w:val="20"/>
        </w:rPr>
        <w:t xml:space="preserve">. </w:t>
      </w:r>
    </w:p>
    <w:p w:rsidR="008439D1" w:rsidRPr="000E5A7F" w:rsidRDefault="008439D1" w:rsidP="008439D1">
      <w:pPr>
        <w:jc w:val="both"/>
        <w:rPr>
          <w:sz w:val="20"/>
          <w:szCs w:val="20"/>
          <w:lang w:val="en-CA"/>
        </w:rPr>
      </w:pPr>
      <w:r w:rsidRPr="000E5A7F">
        <w:rPr>
          <w:b/>
          <w:sz w:val="20"/>
          <w:szCs w:val="20"/>
          <w:lang w:val="en-CA"/>
        </w:rPr>
        <w:t xml:space="preserve">8. Tendai Munthali, </w:t>
      </w:r>
      <w:proofErr w:type="spellStart"/>
      <w:r w:rsidRPr="000E5A7F">
        <w:rPr>
          <w:b/>
          <w:sz w:val="20"/>
          <w:szCs w:val="20"/>
          <w:lang w:val="en-CA"/>
        </w:rPr>
        <w:t>Chishala</w:t>
      </w:r>
      <w:proofErr w:type="spellEnd"/>
      <w:r w:rsidRPr="000E5A7F">
        <w:rPr>
          <w:b/>
          <w:sz w:val="20"/>
          <w:szCs w:val="20"/>
          <w:lang w:val="en-CA"/>
        </w:rPr>
        <w:t xml:space="preserve"> </w:t>
      </w:r>
      <w:proofErr w:type="spellStart"/>
      <w:r w:rsidRPr="000E5A7F">
        <w:rPr>
          <w:b/>
          <w:sz w:val="20"/>
          <w:szCs w:val="20"/>
          <w:lang w:val="en-CA"/>
        </w:rPr>
        <w:t>Chabala</w:t>
      </w:r>
      <w:proofErr w:type="spellEnd"/>
      <w:r w:rsidRPr="000E5A7F">
        <w:rPr>
          <w:b/>
          <w:sz w:val="20"/>
          <w:szCs w:val="20"/>
          <w:lang w:val="en-CA"/>
        </w:rPr>
        <w:t xml:space="preserve"> et All: </w:t>
      </w:r>
      <w:r w:rsidRPr="000E5A7F">
        <w:rPr>
          <w:sz w:val="20"/>
          <w:szCs w:val="20"/>
          <w:lang w:val="en-CA"/>
        </w:rPr>
        <w:t xml:space="preserve">Tuberculosis caseload in children with severe acute malnutrition related with high </w:t>
      </w:r>
      <w:proofErr w:type="gramStart"/>
      <w:r w:rsidRPr="000E5A7F">
        <w:rPr>
          <w:sz w:val="20"/>
          <w:szCs w:val="20"/>
          <w:lang w:val="en-CA"/>
        </w:rPr>
        <w:t>hospital based</w:t>
      </w:r>
      <w:proofErr w:type="gramEnd"/>
      <w:r w:rsidRPr="000E5A7F">
        <w:rPr>
          <w:sz w:val="20"/>
          <w:szCs w:val="20"/>
          <w:lang w:val="en-CA"/>
        </w:rPr>
        <w:t xml:space="preserve"> mortality in Lusaka, Zambia. Munthali et al. BMC Res Notes (2017) 10:206 DOI 10.1186/s13104-017-2529-5</w:t>
      </w:r>
    </w:p>
    <w:p w:rsidR="008439D1" w:rsidRPr="000E5A7F" w:rsidRDefault="008439D1" w:rsidP="008439D1">
      <w:pPr>
        <w:jc w:val="both"/>
        <w:rPr>
          <w:sz w:val="20"/>
          <w:szCs w:val="20"/>
        </w:rPr>
      </w:pPr>
      <w:r w:rsidRPr="000E5A7F">
        <w:rPr>
          <w:b/>
          <w:sz w:val="20"/>
          <w:szCs w:val="20"/>
          <w:lang w:val="en-CA"/>
        </w:rPr>
        <w:t xml:space="preserve">9. </w:t>
      </w:r>
      <w:proofErr w:type="spellStart"/>
      <w:r w:rsidRPr="000E5A7F">
        <w:rPr>
          <w:b/>
          <w:sz w:val="20"/>
          <w:szCs w:val="20"/>
          <w:lang w:val="en-CA"/>
        </w:rPr>
        <w:t>Randriatsarafara</w:t>
      </w:r>
      <w:proofErr w:type="spellEnd"/>
      <w:r w:rsidRPr="000E5A7F">
        <w:rPr>
          <w:b/>
          <w:sz w:val="20"/>
          <w:szCs w:val="20"/>
          <w:lang w:val="en-CA"/>
        </w:rPr>
        <w:t xml:space="preserve"> FM, </w:t>
      </w:r>
      <w:proofErr w:type="spellStart"/>
      <w:r w:rsidRPr="000E5A7F">
        <w:rPr>
          <w:b/>
          <w:sz w:val="20"/>
          <w:szCs w:val="20"/>
          <w:lang w:val="en-CA"/>
        </w:rPr>
        <w:t>Vololonarivelo</w:t>
      </w:r>
      <w:proofErr w:type="spellEnd"/>
      <w:r w:rsidRPr="000E5A7F">
        <w:rPr>
          <w:b/>
          <w:sz w:val="20"/>
          <w:szCs w:val="20"/>
          <w:lang w:val="en-CA"/>
        </w:rPr>
        <w:t xml:space="preserve"> BEE, </w:t>
      </w:r>
      <w:proofErr w:type="spellStart"/>
      <w:r w:rsidRPr="000E5A7F">
        <w:rPr>
          <w:b/>
          <w:sz w:val="20"/>
          <w:szCs w:val="20"/>
          <w:lang w:val="en-CA"/>
        </w:rPr>
        <w:t>Rabemananjara</w:t>
      </w:r>
      <w:proofErr w:type="spellEnd"/>
      <w:r w:rsidRPr="000E5A7F">
        <w:rPr>
          <w:b/>
          <w:sz w:val="20"/>
          <w:szCs w:val="20"/>
          <w:lang w:val="en-CA"/>
        </w:rPr>
        <w:t xml:space="preserve"> NNG, </w:t>
      </w:r>
      <w:proofErr w:type="spellStart"/>
      <w:r w:rsidRPr="000E5A7F">
        <w:rPr>
          <w:b/>
          <w:sz w:val="20"/>
          <w:szCs w:val="20"/>
          <w:lang w:val="en-CA"/>
        </w:rPr>
        <w:t>Randrianasolo</w:t>
      </w:r>
      <w:proofErr w:type="spellEnd"/>
      <w:r w:rsidRPr="000E5A7F">
        <w:rPr>
          <w:b/>
          <w:sz w:val="20"/>
          <w:szCs w:val="20"/>
          <w:lang w:val="en-CA"/>
        </w:rPr>
        <w:t xml:space="preserve"> JBO, </w:t>
      </w:r>
      <w:proofErr w:type="spellStart"/>
      <w:r w:rsidRPr="000E5A7F">
        <w:rPr>
          <w:b/>
          <w:sz w:val="20"/>
          <w:szCs w:val="20"/>
          <w:lang w:val="en-CA"/>
        </w:rPr>
        <w:t>Rakotomanga</w:t>
      </w:r>
      <w:proofErr w:type="spellEnd"/>
      <w:r w:rsidRPr="000E5A7F">
        <w:rPr>
          <w:b/>
          <w:sz w:val="20"/>
          <w:szCs w:val="20"/>
          <w:lang w:val="en-CA"/>
        </w:rPr>
        <w:t xml:space="preserve"> JDM, </w:t>
      </w:r>
      <w:proofErr w:type="spellStart"/>
      <w:r w:rsidRPr="000E5A7F">
        <w:rPr>
          <w:b/>
          <w:sz w:val="20"/>
          <w:szCs w:val="20"/>
          <w:lang w:val="en-CA"/>
        </w:rPr>
        <w:t>Randrianarimanana</w:t>
      </w:r>
      <w:proofErr w:type="spellEnd"/>
      <w:r w:rsidRPr="000E5A7F">
        <w:rPr>
          <w:b/>
          <w:sz w:val="20"/>
          <w:szCs w:val="20"/>
          <w:lang w:val="en-CA"/>
        </w:rPr>
        <w:t xml:space="preserve"> VD</w:t>
      </w:r>
      <w:r w:rsidRPr="000E5A7F">
        <w:rPr>
          <w:sz w:val="20"/>
          <w:szCs w:val="20"/>
          <w:lang w:val="en-CA"/>
        </w:rPr>
        <w:t xml:space="preserve">. </w:t>
      </w:r>
      <w:r w:rsidRPr="000E5A7F">
        <w:rPr>
          <w:sz w:val="20"/>
          <w:szCs w:val="20"/>
          <w:lang w:val="fr-CA"/>
        </w:rPr>
        <w:t xml:space="preserve">Facteurs associés à la tuberculose chez l’enfant au Centre Hospitalier Universitaire Mère-Enfant de </w:t>
      </w:r>
      <w:proofErr w:type="spellStart"/>
      <w:r w:rsidRPr="000E5A7F">
        <w:rPr>
          <w:sz w:val="20"/>
          <w:szCs w:val="20"/>
          <w:lang w:val="fr-CA"/>
        </w:rPr>
        <w:t>Tsaralalàna</w:t>
      </w:r>
      <w:proofErr w:type="spellEnd"/>
      <w:r w:rsidRPr="000E5A7F">
        <w:rPr>
          <w:sz w:val="20"/>
          <w:szCs w:val="20"/>
          <w:lang w:val="fr-CA"/>
        </w:rPr>
        <w:t xml:space="preserve">, </w:t>
      </w:r>
      <w:r w:rsidRPr="000E5A7F">
        <w:rPr>
          <w:sz w:val="20"/>
          <w:szCs w:val="20"/>
          <w:lang w:val="fr-CA"/>
        </w:rPr>
        <w:t xml:space="preserve">Antananarivo: une étude cas-témoins. Pan </w:t>
      </w:r>
      <w:proofErr w:type="spellStart"/>
      <w:r w:rsidRPr="000E5A7F">
        <w:rPr>
          <w:sz w:val="20"/>
          <w:szCs w:val="20"/>
          <w:lang w:val="fr-CA"/>
        </w:rPr>
        <w:t>African</w:t>
      </w:r>
      <w:proofErr w:type="spellEnd"/>
      <w:r w:rsidRPr="000E5A7F">
        <w:rPr>
          <w:sz w:val="20"/>
          <w:szCs w:val="20"/>
          <w:lang w:val="fr-CA"/>
        </w:rPr>
        <w:t xml:space="preserve"> </w:t>
      </w:r>
      <w:proofErr w:type="spellStart"/>
      <w:r w:rsidRPr="000E5A7F">
        <w:rPr>
          <w:sz w:val="20"/>
          <w:szCs w:val="20"/>
          <w:lang w:val="fr-CA"/>
        </w:rPr>
        <w:t>Medical</w:t>
      </w:r>
      <w:proofErr w:type="spellEnd"/>
      <w:r w:rsidRPr="000E5A7F">
        <w:rPr>
          <w:sz w:val="20"/>
          <w:szCs w:val="20"/>
          <w:lang w:val="fr-CA"/>
        </w:rPr>
        <w:t xml:space="preserve"> Journal 2014; 19:224-237.</w:t>
      </w:r>
    </w:p>
    <w:p w:rsidR="008439D1" w:rsidRPr="000E5A7F" w:rsidRDefault="008439D1" w:rsidP="008439D1">
      <w:pPr>
        <w:jc w:val="both"/>
        <w:rPr>
          <w:bCs/>
          <w:sz w:val="20"/>
          <w:szCs w:val="20"/>
        </w:rPr>
      </w:pPr>
      <w:r w:rsidRPr="000E5A7F">
        <w:rPr>
          <w:b/>
          <w:sz w:val="20"/>
          <w:szCs w:val="20"/>
        </w:rPr>
        <w:t>10.</w:t>
      </w:r>
      <w:r w:rsidRPr="000E5A7F">
        <w:rPr>
          <w:sz w:val="20"/>
          <w:szCs w:val="20"/>
        </w:rPr>
        <w:t xml:space="preserve"> </w:t>
      </w:r>
      <w:proofErr w:type="spellStart"/>
      <w:r w:rsidRPr="000E5A7F">
        <w:rPr>
          <w:b/>
          <w:sz w:val="20"/>
          <w:szCs w:val="20"/>
        </w:rPr>
        <w:t>Soumana</w:t>
      </w:r>
      <w:proofErr w:type="spellEnd"/>
      <w:r w:rsidRPr="000E5A7F">
        <w:rPr>
          <w:b/>
          <w:sz w:val="20"/>
          <w:szCs w:val="20"/>
        </w:rPr>
        <w:t xml:space="preserve"> A, </w:t>
      </w:r>
      <w:proofErr w:type="spellStart"/>
      <w:r w:rsidRPr="000E5A7F">
        <w:rPr>
          <w:b/>
          <w:sz w:val="20"/>
          <w:szCs w:val="20"/>
        </w:rPr>
        <w:t>Kamaye</w:t>
      </w:r>
      <w:proofErr w:type="spellEnd"/>
      <w:r w:rsidRPr="000E5A7F">
        <w:rPr>
          <w:b/>
          <w:sz w:val="20"/>
          <w:szCs w:val="20"/>
        </w:rPr>
        <w:t xml:space="preserve"> M, </w:t>
      </w:r>
      <w:proofErr w:type="spellStart"/>
      <w:r w:rsidRPr="000E5A7F">
        <w:rPr>
          <w:b/>
          <w:sz w:val="20"/>
          <w:szCs w:val="20"/>
        </w:rPr>
        <w:t>Ngoumboute</w:t>
      </w:r>
      <w:proofErr w:type="spellEnd"/>
      <w:r w:rsidRPr="000E5A7F">
        <w:rPr>
          <w:b/>
          <w:sz w:val="20"/>
          <w:szCs w:val="20"/>
        </w:rPr>
        <w:t xml:space="preserve"> I, Dima H, Daouda B, </w:t>
      </w:r>
      <w:proofErr w:type="spellStart"/>
      <w:r w:rsidRPr="000E5A7F">
        <w:rPr>
          <w:b/>
          <w:sz w:val="20"/>
          <w:szCs w:val="20"/>
        </w:rPr>
        <w:t>Guero</w:t>
      </w:r>
      <w:proofErr w:type="spellEnd"/>
      <w:r w:rsidRPr="000E5A7F">
        <w:rPr>
          <w:b/>
          <w:sz w:val="20"/>
          <w:szCs w:val="20"/>
        </w:rPr>
        <w:t xml:space="preserve"> T :</w:t>
      </w:r>
      <w:r w:rsidRPr="000E5A7F">
        <w:rPr>
          <w:b/>
          <w:bCs/>
          <w:sz w:val="20"/>
          <w:szCs w:val="20"/>
        </w:rPr>
        <w:t xml:space="preserve"> </w:t>
      </w:r>
      <w:r w:rsidRPr="000E5A7F">
        <w:rPr>
          <w:bCs/>
          <w:sz w:val="20"/>
          <w:szCs w:val="20"/>
        </w:rPr>
        <w:t>La tuberculose chez l'enfant : A propos de 29 cas colligés dans deux hôpitaux de Niamey et au Centre National Antituberculeux. Mali Médical 2016 ; T XXXI, n°4 :1-6.</w:t>
      </w:r>
    </w:p>
    <w:p w:rsidR="008439D1" w:rsidRPr="000E5A7F" w:rsidRDefault="008439D1" w:rsidP="008439D1">
      <w:pPr>
        <w:jc w:val="both"/>
        <w:rPr>
          <w:sz w:val="20"/>
          <w:szCs w:val="20"/>
        </w:rPr>
      </w:pPr>
      <w:r w:rsidRPr="000E5A7F">
        <w:rPr>
          <w:b/>
          <w:sz w:val="20"/>
          <w:szCs w:val="20"/>
        </w:rPr>
        <w:t>11</w:t>
      </w:r>
      <w:r w:rsidRPr="000E5A7F">
        <w:rPr>
          <w:sz w:val="20"/>
          <w:szCs w:val="20"/>
        </w:rPr>
        <w:t xml:space="preserve"> </w:t>
      </w:r>
      <w:r w:rsidRPr="000E5A7F">
        <w:rPr>
          <w:b/>
          <w:sz w:val="20"/>
          <w:szCs w:val="20"/>
        </w:rPr>
        <w:t xml:space="preserve">A </w:t>
      </w:r>
      <w:proofErr w:type="spellStart"/>
      <w:r w:rsidRPr="000E5A7F">
        <w:rPr>
          <w:b/>
          <w:sz w:val="20"/>
          <w:szCs w:val="20"/>
        </w:rPr>
        <w:t>Hamzaoul</w:t>
      </w:r>
      <w:proofErr w:type="spellEnd"/>
      <w:r w:rsidRPr="000E5A7F">
        <w:rPr>
          <w:b/>
          <w:sz w:val="20"/>
          <w:szCs w:val="20"/>
        </w:rPr>
        <w:t xml:space="preserve"> : </w:t>
      </w:r>
      <w:r w:rsidRPr="000E5A7F">
        <w:rPr>
          <w:sz w:val="20"/>
          <w:szCs w:val="20"/>
        </w:rPr>
        <w:t>la tuberculose de l’enfant revue de pneumologie clinique (2015) 71,168-180</w:t>
      </w:r>
    </w:p>
    <w:p w:rsidR="008439D1" w:rsidRPr="000E5A7F" w:rsidRDefault="008439D1" w:rsidP="008439D1">
      <w:pPr>
        <w:jc w:val="both"/>
        <w:rPr>
          <w:sz w:val="20"/>
          <w:szCs w:val="20"/>
        </w:rPr>
      </w:pPr>
      <w:r w:rsidRPr="000E5A7F">
        <w:rPr>
          <w:b/>
          <w:sz w:val="20"/>
          <w:szCs w:val="20"/>
        </w:rPr>
        <w:t xml:space="preserve">12 </w:t>
      </w:r>
      <w:proofErr w:type="spellStart"/>
      <w:r w:rsidRPr="000E5A7F">
        <w:rPr>
          <w:b/>
          <w:sz w:val="20"/>
          <w:szCs w:val="20"/>
        </w:rPr>
        <w:t>Elmghari</w:t>
      </w:r>
      <w:proofErr w:type="spellEnd"/>
      <w:r w:rsidRPr="000E5A7F">
        <w:rPr>
          <w:b/>
          <w:sz w:val="20"/>
          <w:szCs w:val="20"/>
        </w:rPr>
        <w:t xml:space="preserve"> M, </w:t>
      </w:r>
      <w:proofErr w:type="spellStart"/>
      <w:r w:rsidRPr="000E5A7F">
        <w:rPr>
          <w:b/>
          <w:sz w:val="20"/>
          <w:szCs w:val="20"/>
        </w:rPr>
        <w:t>Zaghba</w:t>
      </w:r>
      <w:proofErr w:type="spellEnd"/>
      <w:r w:rsidRPr="000E5A7F">
        <w:rPr>
          <w:b/>
          <w:sz w:val="20"/>
          <w:szCs w:val="20"/>
        </w:rPr>
        <w:t xml:space="preserve"> N, Benjelloun H, Yassine N :</w:t>
      </w:r>
      <w:r w:rsidRPr="000E5A7F">
        <w:rPr>
          <w:sz w:val="20"/>
          <w:szCs w:val="20"/>
        </w:rPr>
        <w:t xml:space="preserve"> Profil clinique, épidémiologique et thérapeutique de la tuberculose chez l’enfant. Revue des Maladies Respiratoire 2017 ; </w:t>
      </w:r>
      <w:proofErr w:type="gramStart"/>
      <w:r w:rsidRPr="000E5A7F">
        <w:rPr>
          <w:sz w:val="20"/>
          <w:szCs w:val="20"/>
        </w:rPr>
        <w:t>34:A</w:t>
      </w:r>
      <w:proofErr w:type="gramEnd"/>
      <w:r w:rsidRPr="000E5A7F">
        <w:rPr>
          <w:sz w:val="20"/>
          <w:szCs w:val="20"/>
        </w:rPr>
        <w:t>245.</w:t>
      </w:r>
    </w:p>
    <w:p w:rsidR="008439D1" w:rsidRPr="000E5A7F" w:rsidRDefault="008439D1" w:rsidP="008439D1">
      <w:pPr>
        <w:jc w:val="both"/>
        <w:rPr>
          <w:sz w:val="20"/>
          <w:szCs w:val="20"/>
        </w:rPr>
      </w:pPr>
      <w:r w:rsidRPr="000E5A7F">
        <w:rPr>
          <w:b/>
          <w:sz w:val="20"/>
          <w:szCs w:val="20"/>
          <w:lang w:val="fr-CA"/>
        </w:rPr>
        <w:t>13</w:t>
      </w:r>
      <w:r w:rsidRPr="000E5A7F">
        <w:rPr>
          <w:sz w:val="20"/>
          <w:szCs w:val="20"/>
          <w:lang w:val="fr-CA"/>
        </w:rPr>
        <w:t xml:space="preserve"> </w:t>
      </w:r>
      <w:proofErr w:type="spellStart"/>
      <w:r w:rsidRPr="000E5A7F">
        <w:rPr>
          <w:b/>
          <w:sz w:val="20"/>
          <w:szCs w:val="20"/>
          <w:lang w:val="fr-CA"/>
        </w:rPr>
        <w:t>Cardenat</w:t>
      </w:r>
      <w:proofErr w:type="spellEnd"/>
      <w:r w:rsidRPr="000E5A7F">
        <w:rPr>
          <w:b/>
          <w:sz w:val="20"/>
          <w:szCs w:val="20"/>
          <w:lang w:val="fr-CA"/>
        </w:rPr>
        <w:t xml:space="preserve"> M, </w:t>
      </w:r>
      <w:proofErr w:type="spellStart"/>
      <w:r w:rsidRPr="000E5A7F">
        <w:rPr>
          <w:b/>
          <w:sz w:val="20"/>
          <w:szCs w:val="20"/>
          <w:lang w:val="fr-CA"/>
        </w:rPr>
        <w:t>Horo</w:t>
      </w:r>
      <w:proofErr w:type="spellEnd"/>
      <w:r w:rsidRPr="000E5A7F">
        <w:rPr>
          <w:b/>
          <w:sz w:val="20"/>
          <w:szCs w:val="20"/>
          <w:lang w:val="fr-CA"/>
        </w:rPr>
        <w:t xml:space="preserve"> K, et All: </w:t>
      </w:r>
      <w:r w:rsidRPr="000E5A7F">
        <w:rPr>
          <w:sz w:val="20"/>
          <w:szCs w:val="20"/>
        </w:rPr>
        <w:t xml:space="preserve">La tuberculose à Abidjan : comparaison entre l'enfant et l'adulte. Médecine et Santé Tropicales 2014 ; </w:t>
      </w:r>
      <w:proofErr w:type="gramStart"/>
      <w:r w:rsidRPr="000E5A7F">
        <w:rPr>
          <w:sz w:val="20"/>
          <w:szCs w:val="20"/>
        </w:rPr>
        <w:t>24:</w:t>
      </w:r>
      <w:proofErr w:type="gramEnd"/>
      <w:r w:rsidRPr="000E5A7F">
        <w:rPr>
          <w:sz w:val="20"/>
          <w:szCs w:val="20"/>
        </w:rPr>
        <w:t>289-293.</w:t>
      </w:r>
    </w:p>
    <w:p w:rsidR="008439D1" w:rsidRPr="000E5A7F" w:rsidRDefault="008439D1" w:rsidP="008439D1">
      <w:pPr>
        <w:jc w:val="both"/>
        <w:rPr>
          <w:sz w:val="20"/>
          <w:szCs w:val="20"/>
        </w:rPr>
      </w:pPr>
      <w:proofErr w:type="gramStart"/>
      <w:r w:rsidRPr="000E5A7F">
        <w:rPr>
          <w:b/>
          <w:sz w:val="20"/>
          <w:szCs w:val="20"/>
        </w:rPr>
        <w:t xml:space="preserve">14  </w:t>
      </w:r>
      <w:proofErr w:type="spellStart"/>
      <w:r w:rsidRPr="000E5A7F">
        <w:rPr>
          <w:b/>
          <w:sz w:val="20"/>
          <w:szCs w:val="20"/>
        </w:rPr>
        <w:t>Segbedji</w:t>
      </w:r>
      <w:proofErr w:type="spellEnd"/>
      <w:proofErr w:type="gramEnd"/>
      <w:r w:rsidRPr="000E5A7F">
        <w:rPr>
          <w:b/>
          <w:sz w:val="20"/>
          <w:szCs w:val="20"/>
        </w:rPr>
        <w:t xml:space="preserve"> KAR, </w:t>
      </w:r>
      <w:proofErr w:type="spellStart"/>
      <w:r w:rsidRPr="000E5A7F">
        <w:rPr>
          <w:b/>
          <w:sz w:val="20"/>
          <w:szCs w:val="20"/>
        </w:rPr>
        <w:t>Djadou</w:t>
      </w:r>
      <w:proofErr w:type="spellEnd"/>
      <w:r w:rsidRPr="000E5A7F">
        <w:rPr>
          <w:b/>
          <w:sz w:val="20"/>
          <w:szCs w:val="20"/>
        </w:rPr>
        <w:t xml:space="preserve"> </w:t>
      </w:r>
      <w:proofErr w:type="spellStart"/>
      <w:r w:rsidRPr="000E5A7F">
        <w:rPr>
          <w:b/>
          <w:sz w:val="20"/>
          <w:szCs w:val="20"/>
        </w:rPr>
        <w:t>KEet</w:t>
      </w:r>
      <w:proofErr w:type="spellEnd"/>
      <w:r w:rsidRPr="000E5A7F">
        <w:rPr>
          <w:b/>
          <w:sz w:val="20"/>
          <w:szCs w:val="20"/>
        </w:rPr>
        <w:t xml:space="preserve"> All :</w:t>
      </w:r>
      <w:r w:rsidRPr="000E5A7F">
        <w:rPr>
          <w:sz w:val="20"/>
          <w:szCs w:val="20"/>
        </w:rPr>
        <w:t xml:space="preserve"> Tuberculose de l'enfant au Togo : Aspects épidémiologiques, diagnostiques, thérapeutiques et évolutifs. Médecine et Santé Tropicales </w:t>
      </w:r>
      <w:proofErr w:type="gramStart"/>
      <w:r w:rsidRPr="000E5A7F">
        <w:rPr>
          <w:sz w:val="20"/>
          <w:szCs w:val="20"/>
        </w:rPr>
        <w:t>2016;</w:t>
      </w:r>
      <w:proofErr w:type="gramEnd"/>
      <w:r w:rsidRPr="000E5A7F">
        <w:rPr>
          <w:sz w:val="20"/>
          <w:szCs w:val="20"/>
        </w:rPr>
        <w:t xml:space="preserve"> 26:318-322.</w:t>
      </w:r>
    </w:p>
    <w:p w:rsidR="008439D1" w:rsidRPr="000E5A7F" w:rsidRDefault="008439D1" w:rsidP="008439D1">
      <w:pPr>
        <w:jc w:val="both"/>
        <w:rPr>
          <w:sz w:val="20"/>
          <w:szCs w:val="20"/>
        </w:rPr>
      </w:pPr>
      <w:r w:rsidRPr="000E5A7F">
        <w:rPr>
          <w:b/>
          <w:sz w:val="20"/>
          <w:szCs w:val="20"/>
        </w:rPr>
        <w:t xml:space="preserve">15. </w:t>
      </w:r>
      <w:proofErr w:type="spellStart"/>
      <w:proofErr w:type="gramStart"/>
      <w:r w:rsidRPr="000E5A7F">
        <w:rPr>
          <w:b/>
          <w:sz w:val="20"/>
          <w:szCs w:val="20"/>
        </w:rPr>
        <w:t>Gatho,A</w:t>
      </w:r>
      <w:proofErr w:type="gramEnd"/>
      <w:r w:rsidRPr="000E5A7F">
        <w:rPr>
          <w:b/>
          <w:sz w:val="20"/>
          <w:szCs w:val="20"/>
        </w:rPr>
        <w:t>.Sénéchal</w:t>
      </w:r>
      <w:proofErr w:type="spellEnd"/>
      <w:r w:rsidRPr="000E5A7F">
        <w:rPr>
          <w:b/>
          <w:sz w:val="20"/>
          <w:szCs w:val="20"/>
        </w:rPr>
        <w:t xml:space="preserve"> et All</w:t>
      </w:r>
      <w:r w:rsidRPr="000E5A7F">
        <w:rPr>
          <w:sz w:val="20"/>
          <w:szCs w:val="20"/>
        </w:rPr>
        <w:t xml:space="preserve"> :enfant en contact d’individus atteints d’une tuberculose multi résistante : quelle stratégie adopter ? </w:t>
      </w:r>
      <w:proofErr w:type="gramStart"/>
      <w:r w:rsidRPr="000E5A7F">
        <w:rPr>
          <w:sz w:val="20"/>
          <w:szCs w:val="20"/>
        </w:rPr>
        <w:t>.Analyse</w:t>
      </w:r>
      <w:proofErr w:type="gramEnd"/>
      <w:r w:rsidRPr="000E5A7F">
        <w:rPr>
          <w:sz w:val="20"/>
          <w:szCs w:val="20"/>
        </w:rPr>
        <w:t xml:space="preserve"> de 46 cas enfants contacte et revue de la </w:t>
      </w:r>
      <w:proofErr w:type="spellStart"/>
      <w:r w:rsidRPr="000E5A7F">
        <w:rPr>
          <w:sz w:val="20"/>
          <w:szCs w:val="20"/>
        </w:rPr>
        <w:t>littérature.Revue</w:t>
      </w:r>
      <w:proofErr w:type="spellEnd"/>
      <w:r w:rsidRPr="000E5A7F">
        <w:rPr>
          <w:sz w:val="20"/>
          <w:szCs w:val="20"/>
        </w:rPr>
        <w:t xml:space="preserve"> de pneumologie clinique (2015)71. (335-341).</w:t>
      </w:r>
    </w:p>
    <w:p w:rsidR="008439D1" w:rsidRPr="000E5A7F" w:rsidRDefault="008439D1" w:rsidP="008439D1">
      <w:pPr>
        <w:jc w:val="both"/>
        <w:rPr>
          <w:sz w:val="20"/>
          <w:szCs w:val="20"/>
        </w:rPr>
      </w:pPr>
      <w:r w:rsidRPr="000E5A7F">
        <w:rPr>
          <w:b/>
          <w:sz w:val="20"/>
          <w:szCs w:val="20"/>
          <w:lang w:val="fr-CA"/>
        </w:rPr>
        <w:t xml:space="preserve">16- Barry I </w:t>
      </w:r>
      <w:proofErr w:type="spellStart"/>
      <w:r w:rsidRPr="000E5A7F">
        <w:rPr>
          <w:b/>
          <w:sz w:val="20"/>
          <w:szCs w:val="20"/>
          <w:lang w:val="fr-CA"/>
        </w:rPr>
        <w:t>Koolo</w:t>
      </w:r>
      <w:proofErr w:type="spellEnd"/>
      <w:r w:rsidRPr="000E5A7F">
        <w:rPr>
          <w:b/>
          <w:sz w:val="20"/>
          <w:szCs w:val="20"/>
          <w:lang w:val="fr-CA"/>
        </w:rPr>
        <w:t xml:space="preserve">, Diallo M.L, Barry Mamadou </w:t>
      </w:r>
      <w:proofErr w:type="spellStart"/>
      <w:proofErr w:type="gramStart"/>
      <w:r w:rsidRPr="000E5A7F">
        <w:rPr>
          <w:b/>
          <w:sz w:val="20"/>
          <w:szCs w:val="20"/>
          <w:lang w:val="fr-CA"/>
        </w:rPr>
        <w:t>C,Barry</w:t>
      </w:r>
      <w:proofErr w:type="spellEnd"/>
      <w:proofErr w:type="gramEnd"/>
      <w:r w:rsidRPr="000E5A7F">
        <w:rPr>
          <w:b/>
          <w:sz w:val="20"/>
          <w:szCs w:val="20"/>
          <w:lang w:val="fr-CA"/>
        </w:rPr>
        <w:t xml:space="preserve"> Boubacar  B.</w:t>
      </w:r>
      <w:r w:rsidRPr="000E5A7F">
        <w:rPr>
          <w:sz w:val="20"/>
          <w:szCs w:val="20"/>
          <w:lang w:val="fr-CA"/>
        </w:rPr>
        <w:t xml:space="preserve"> : </w:t>
      </w:r>
      <w:r w:rsidRPr="000E5A7F">
        <w:rPr>
          <w:sz w:val="20"/>
          <w:szCs w:val="20"/>
        </w:rPr>
        <w:t xml:space="preserve">Déterminants de la létalité  hospitalière liée à la malnutrition aigüe sévère avec complications à l’Institut de Nutrition et de Santé de l’Enfant (INSE) à Conakry </w:t>
      </w:r>
      <w:proofErr w:type="spellStart"/>
      <w:r w:rsidRPr="000E5A7F">
        <w:rPr>
          <w:sz w:val="20"/>
          <w:szCs w:val="20"/>
        </w:rPr>
        <w:t>Rev</w:t>
      </w:r>
      <w:proofErr w:type="spellEnd"/>
      <w:r w:rsidRPr="000E5A7F">
        <w:rPr>
          <w:sz w:val="20"/>
          <w:szCs w:val="20"/>
        </w:rPr>
        <w:t xml:space="preserve"> </w:t>
      </w:r>
      <w:proofErr w:type="spellStart"/>
      <w:r w:rsidRPr="000E5A7F">
        <w:rPr>
          <w:sz w:val="20"/>
          <w:szCs w:val="20"/>
        </w:rPr>
        <w:t>int</w:t>
      </w:r>
      <w:proofErr w:type="spellEnd"/>
      <w:r w:rsidRPr="000E5A7F">
        <w:rPr>
          <w:sz w:val="20"/>
          <w:szCs w:val="20"/>
        </w:rPr>
        <w:t xml:space="preserve"> sc méd -RISM-2017;19,4:278-285 © EDUCI 2017</w:t>
      </w:r>
    </w:p>
    <w:p w:rsidR="008439D1" w:rsidRPr="000E5A7F" w:rsidRDefault="008439D1" w:rsidP="008439D1">
      <w:pPr>
        <w:jc w:val="both"/>
        <w:rPr>
          <w:sz w:val="20"/>
          <w:szCs w:val="20"/>
        </w:rPr>
      </w:pPr>
      <w:r w:rsidRPr="000E5A7F">
        <w:rPr>
          <w:b/>
          <w:sz w:val="20"/>
          <w:szCs w:val="20"/>
        </w:rPr>
        <w:t xml:space="preserve">17. </w:t>
      </w:r>
      <w:proofErr w:type="spellStart"/>
      <w:r w:rsidRPr="000E5A7F">
        <w:rPr>
          <w:b/>
          <w:sz w:val="20"/>
          <w:szCs w:val="20"/>
        </w:rPr>
        <w:t>Elfihri</w:t>
      </w:r>
      <w:proofErr w:type="spellEnd"/>
      <w:r w:rsidRPr="000E5A7F">
        <w:rPr>
          <w:b/>
          <w:sz w:val="20"/>
          <w:szCs w:val="20"/>
        </w:rPr>
        <w:t xml:space="preserve"> S, Ben Amor J, </w:t>
      </w:r>
      <w:proofErr w:type="spellStart"/>
      <w:r w:rsidRPr="000E5A7F">
        <w:rPr>
          <w:b/>
          <w:sz w:val="20"/>
          <w:szCs w:val="20"/>
        </w:rPr>
        <w:t>Zahraoui</w:t>
      </w:r>
      <w:proofErr w:type="spellEnd"/>
      <w:r w:rsidRPr="000E5A7F">
        <w:rPr>
          <w:b/>
          <w:sz w:val="20"/>
          <w:szCs w:val="20"/>
        </w:rPr>
        <w:t xml:space="preserve"> R, Marc K, </w:t>
      </w:r>
      <w:proofErr w:type="spellStart"/>
      <w:r w:rsidRPr="000E5A7F">
        <w:rPr>
          <w:b/>
          <w:sz w:val="20"/>
          <w:szCs w:val="20"/>
        </w:rPr>
        <w:t>Soualhi</w:t>
      </w:r>
      <w:proofErr w:type="spellEnd"/>
      <w:r w:rsidRPr="000E5A7F">
        <w:rPr>
          <w:b/>
          <w:sz w:val="20"/>
          <w:szCs w:val="20"/>
        </w:rPr>
        <w:t xml:space="preserve"> M, </w:t>
      </w:r>
      <w:proofErr w:type="spellStart"/>
      <w:r w:rsidRPr="000E5A7F">
        <w:rPr>
          <w:b/>
          <w:sz w:val="20"/>
          <w:szCs w:val="20"/>
        </w:rPr>
        <w:t>Bourkadi</w:t>
      </w:r>
      <w:proofErr w:type="spellEnd"/>
      <w:r w:rsidRPr="000E5A7F">
        <w:rPr>
          <w:b/>
          <w:sz w:val="20"/>
          <w:szCs w:val="20"/>
        </w:rPr>
        <w:t xml:space="preserve"> JE :</w:t>
      </w:r>
      <w:r w:rsidRPr="000E5A7F">
        <w:rPr>
          <w:sz w:val="20"/>
          <w:szCs w:val="20"/>
        </w:rPr>
        <w:t xml:space="preserve"> Aspects diagnostiques de la tuberculose de l’enfant : expérience de l’hôpital Moulay-Youssef, Rabat, Maroc. Revue des Maladies Respiratoires </w:t>
      </w:r>
      <w:proofErr w:type="gramStart"/>
      <w:r w:rsidRPr="000E5A7F">
        <w:rPr>
          <w:sz w:val="20"/>
          <w:szCs w:val="20"/>
        </w:rPr>
        <w:t>2017;</w:t>
      </w:r>
      <w:proofErr w:type="gramEnd"/>
      <w:r w:rsidRPr="000E5A7F">
        <w:rPr>
          <w:sz w:val="20"/>
          <w:szCs w:val="20"/>
        </w:rPr>
        <w:t xml:space="preserve"> 35(8):A17</w:t>
      </w:r>
    </w:p>
    <w:p w:rsidR="008439D1" w:rsidRPr="000E5A7F" w:rsidRDefault="008439D1" w:rsidP="008439D1">
      <w:pPr>
        <w:jc w:val="both"/>
        <w:rPr>
          <w:bCs/>
          <w:sz w:val="20"/>
          <w:szCs w:val="20"/>
        </w:rPr>
      </w:pPr>
      <w:r w:rsidRPr="000E5A7F">
        <w:rPr>
          <w:b/>
          <w:sz w:val="20"/>
          <w:szCs w:val="20"/>
        </w:rPr>
        <w:t>18</w:t>
      </w:r>
      <w:r w:rsidRPr="000E5A7F">
        <w:rPr>
          <w:sz w:val="20"/>
          <w:szCs w:val="20"/>
        </w:rPr>
        <w:t xml:space="preserve">. </w:t>
      </w:r>
      <w:r w:rsidRPr="000E5A7F">
        <w:rPr>
          <w:b/>
          <w:sz w:val="20"/>
          <w:szCs w:val="20"/>
        </w:rPr>
        <w:t xml:space="preserve">Simo Epse </w:t>
      </w:r>
      <w:proofErr w:type="spellStart"/>
      <w:r w:rsidRPr="000E5A7F">
        <w:rPr>
          <w:b/>
          <w:sz w:val="20"/>
          <w:szCs w:val="20"/>
        </w:rPr>
        <w:t>Nenwouo</w:t>
      </w:r>
      <w:proofErr w:type="spellEnd"/>
      <w:r w:rsidRPr="000E5A7F">
        <w:rPr>
          <w:b/>
          <w:sz w:val="20"/>
          <w:szCs w:val="20"/>
        </w:rPr>
        <w:t xml:space="preserve"> L, </w:t>
      </w:r>
      <w:proofErr w:type="spellStart"/>
      <w:r w:rsidRPr="000E5A7F">
        <w:rPr>
          <w:b/>
          <w:sz w:val="20"/>
          <w:szCs w:val="20"/>
        </w:rPr>
        <w:t>Pefura</w:t>
      </w:r>
      <w:proofErr w:type="spellEnd"/>
      <w:r w:rsidRPr="000E5A7F">
        <w:rPr>
          <w:b/>
          <w:sz w:val="20"/>
          <w:szCs w:val="20"/>
        </w:rPr>
        <w:t xml:space="preserve"> </w:t>
      </w:r>
      <w:proofErr w:type="spellStart"/>
      <w:r w:rsidRPr="000E5A7F">
        <w:rPr>
          <w:b/>
          <w:sz w:val="20"/>
          <w:szCs w:val="20"/>
        </w:rPr>
        <w:t>Yone</w:t>
      </w:r>
      <w:proofErr w:type="spellEnd"/>
      <w:r w:rsidRPr="000E5A7F">
        <w:rPr>
          <w:b/>
          <w:sz w:val="20"/>
          <w:szCs w:val="20"/>
        </w:rPr>
        <w:t xml:space="preserve"> E, </w:t>
      </w:r>
      <w:proofErr w:type="spellStart"/>
      <w:r w:rsidRPr="000E5A7F">
        <w:rPr>
          <w:b/>
          <w:sz w:val="20"/>
          <w:szCs w:val="20"/>
        </w:rPr>
        <w:t>Fatime</w:t>
      </w:r>
      <w:proofErr w:type="spellEnd"/>
      <w:r w:rsidRPr="000E5A7F">
        <w:rPr>
          <w:b/>
          <w:sz w:val="20"/>
          <w:szCs w:val="20"/>
        </w:rPr>
        <w:t xml:space="preserve"> </w:t>
      </w:r>
      <w:proofErr w:type="spellStart"/>
      <w:r w:rsidRPr="000E5A7F">
        <w:rPr>
          <w:b/>
          <w:sz w:val="20"/>
          <w:szCs w:val="20"/>
        </w:rPr>
        <w:t>Abaicho</w:t>
      </w:r>
      <w:proofErr w:type="spellEnd"/>
      <w:r w:rsidRPr="000E5A7F">
        <w:rPr>
          <w:b/>
          <w:sz w:val="20"/>
          <w:szCs w:val="20"/>
        </w:rPr>
        <w:t xml:space="preserve"> H, </w:t>
      </w:r>
      <w:proofErr w:type="spellStart"/>
      <w:r w:rsidRPr="000E5A7F">
        <w:rPr>
          <w:b/>
          <w:sz w:val="20"/>
          <w:szCs w:val="20"/>
        </w:rPr>
        <w:t>Enono</w:t>
      </w:r>
      <w:proofErr w:type="spellEnd"/>
      <w:r w:rsidRPr="000E5A7F">
        <w:rPr>
          <w:b/>
          <w:sz w:val="20"/>
          <w:szCs w:val="20"/>
        </w:rPr>
        <w:t xml:space="preserve"> </w:t>
      </w:r>
      <w:proofErr w:type="spellStart"/>
      <w:r w:rsidRPr="000E5A7F">
        <w:rPr>
          <w:b/>
          <w:sz w:val="20"/>
          <w:szCs w:val="20"/>
        </w:rPr>
        <w:t>Edende</w:t>
      </w:r>
      <w:proofErr w:type="spellEnd"/>
      <w:r w:rsidRPr="000E5A7F">
        <w:rPr>
          <w:b/>
          <w:sz w:val="20"/>
          <w:szCs w:val="20"/>
        </w:rPr>
        <w:t xml:space="preserve"> P :</w:t>
      </w:r>
      <w:r w:rsidRPr="000E5A7F">
        <w:rPr>
          <w:b/>
          <w:bCs/>
          <w:sz w:val="20"/>
          <w:szCs w:val="20"/>
        </w:rPr>
        <w:t xml:space="preserve"> </w:t>
      </w:r>
      <w:r w:rsidRPr="000E5A7F">
        <w:rPr>
          <w:bCs/>
          <w:sz w:val="20"/>
          <w:szCs w:val="20"/>
        </w:rPr>
        <w:t xml:space="preserve">Épidémiologie et issue du traitement de la tuberculose de l’enfant à Yaoundé, Cameroun. </w:t>
      </w:r>
      <w:r w:rsidRPr="000E5A7F">
        <w:rPr>
          <w:sz w:val="20"/>
          <w:szCs w:val="20"/>
        </w:rPr>
        <w:t>Revue des Maladies Respiratoire</w:t>
      </w:r>
      <w:r w:rsidRPr="000E5A7F">
        <w:rPr>
          <w:bCs/>
          <w:sz w:val="20"/>
          <w:szCs w:val="20"/>
        </w:rPr>
        <w:t xml:space="preserve"> </w:t>
      </w:r>
      <w:proofErr w:type="gramStart"/>
      <w:r w:rsidRPr="000E5A7F">
        <w:rPr>
          <w:bCs/>
          <w:sz w:val="20"/>
          <w:szCs w:val="20"/>
        </w:rPr>
        <w:t>2016;</w:t>
      </w:r>
      <w:proofErr w:type="gramEnd"/>
      <w:r w:rsidRPr="000E5A7F">
        <w:rPr>
          <w:bCs/>
          <w:sz w:val="20"/>
          <w:szCs w:val="20"/>
        </w:rPr>
        <w:t xml:space="preserve"> 33:162-163.</w:t>
      </w:r>
    </w:p>
    <w:p w:rsidR="009766DD" w:rsidRPr="00D72D39" w:rsidRDefault="009766DD" w:rsidP="00D72D39">
      <w:pPr>
        <w:jc w:val="both"/>
        <w:rPr>
          <w:sz w:val="20"/>
          <w:szCs w:val="20"/>
        </w:rPr>
      </w:pPr>
    </w:p>
    <w:sectPr w:rsidR="009766DD" w:rsidRPr="00D72D39" w:rsidSect="00C73C7E">
      <w:type w:val="continuous"/>
      <w:pgSz w:w="11906" w:h="16838" w:code="9"/>
      <w:pgMar w:top="1134" w:right="851" w:bottom="1418"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A514E"/>
    <w:multiLevelType w:val="hybridMultilevel"/>
    <w:tmpl w:val="E90ADE1E"/>
    <w:lvl w:ilvl="0" w:tplc="FFEC9538">
      <w:start w:val="10"/>
      <w:numFmt w:val="bullet"/>
      <w:lvlText w:val="-"/>
      <w:lvlJc w:val="left"/>
      <w:pPr>
        <w:ind w:left="765" w:hanging="360"/>
      </w:pPr>
      <w:rPr>
        <w:rFonts w:ascii="Calibri" w:eastAsia="Calibri" w:hAnsi="Calibri"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77B56"/>
    <w:rsid w:val="000236DA"/>
    <w:rsid w:val="00081012"/>
    <w:rsid w:val="00081B46"/>
    <w:rsid w:val="0009134A"/>
    <w:rsid w:val="00091970"/>
    <w:rsid w:val="000A16B6"/>
    <w:rsid w:val="000A16F6"/>
    <w:rsid w:val="000A530F"/>
    <w:rsid w:val="000B24E4"/>
    <w:rsid w:val="000D2460"/>
    <w:rsid w:val="000E5A7F"/>
    <w:rsid w:val="000F7558"/>
    <w:rsid w:val="00104E43"/>
    <w:rsid w:val="00112FB5"/>
    <w:rsid w:val="001130DB"/>
    <w:rsid w:val="00131084"/>
    <w:rsid w:val="001345B4"/>
    <w:rsid w:val="001463A9"/>
    <w:rsid w:val="001559E2"/>
    <w:rsid w:val="001673C8"/>
    <w:rsid w:val="001723C9"/>
    <w:rsid w:val="001B47C6"/>
    <w:rsid w:val="001D6DA0"/>
    <w:rsid w:val="001E7A8B"/>
    <w:rsid w:val="002010A6"/>
    <w:rsid w:val="00204F4D"/>
    <w:rsid w:val="00261344"/>
    <w:rsid w:val="00270CE9"/>
    <w:rsid w:val="0027135A"/>
    <w:rsid w:val="002A1A24"/>
    <w:rsid w:val="002D0C2A"/>
    <w:rsid w:val="00312FDF"/>
    <w:rsid w:val="00320049"/>
    <w:rsid w:val="00320276"/>
    <w:rsid w:val="003263DD"/>
    <w:rsid w:val="00334BAE"/>
    <w:rsid w:val="00361EE4"/>
    <w:rsid w:val="00374BAE"/>
    <w:rsid w:val="00381AD9"/>
    <w:rsid w:val="003B29B0"/>
    <w:rsid w:val="003E549E"/>
    <w:rsid w:val="003F796A"/>
    <w:rsid w:val="004014FC"/>
    <w:rsid w:val="0040565C"/>
    <w:rsid w:val="00415BC0"/>
    <w:rsid w:val="00435408"/>
    <w:rsid w:val="004504F5"/>
    <w:rsid w:val="00457CD3"/>
    <w:rsid w:val="00472720"/>
    <w:rsid w:val="00482C14"/>
    <w:rsid w:val="00485EEE"/>
    <w:rsid w:val="004A1330"/>
    <w:rsid w:val="004B6AE0"/>
    <w:rsid w:val="004E0EC1"/>
    <w:rsid w:val="004F551C"/>
    <w:rsid w:val="005060B5"/>
    <w:rsid w:val="00524B82"/>
    <w:rsid w:val="00554414"/>
    <w:rsid w:val="005743F4"/>
    <w:rsid w:val="00577B56"/>
    <w:rsid w:val="0058558E"/>
    <w:rsid w:val="00597919"/>
    <w:rsid w:val="005B67E6"/>
    <w:rsid w:val="005B752A"/>
    <w:rsid w:val="005E16E5"/>
    <w:rsid w:val="005E728C"/>
    <w:rsid w:val="005F4843"/>
    <w:rsid w:val="00621662"/>
    <w:rsid w:val="006318BE"/>
    <w:rsid w:val="006354BC"/>
    <w:rsid w:val="006428B7"/>
    <w:rsid w:val="00665B2E"/>
    <w:rsid w:val="006678CD"/>
    <w:rsid w:val="00677DB3"/>
    <w:rsid w:val="00683C9F"/>
    <w:rsid w:val="006854A8"/>
    <w:rsid w:val="006A5D80"/>
    <w:rsid w:val="006C3F88"/>
    <w:rsid w:val="006E2CE3"/>
    <w:rsid w:val="006E5A42"/>
    <w:rsid w:val="006F3F7A"/>
    <w:rsid w:val="006F4CCC"/>
    <w:rsid w:val="006F6A5E"/>
    <w:rsid w:val="007035C8"/>
    <w:rsid w:val="00713083"/>
    <w:rsid w:val="0071491A"/>
    <w:rsid w:val="00732418"/>
    <w:rsid w:val="00733B6A"/>
    <w:rsid w:val="007538B8"/>
    <w:rsid w:val="00760FFD"/>
    <w:rsid w:val="007852E3"/>
    <w:rsid w:val="007A26F0"/>
    <w:rsid w:val="007D4687"/>
    <w:rsid w:val="007D484F"/>
    <w:rsid w:val="007D591B"/>
    <w:rsid w:val="00812379"/>
    <w:rsid w:val="00817B96"/>
    <w:rsid w:val="00820B23"/>
    <w:rsid w:val="00835EED"/>
    <w:rsid w:val="00836EDA"/>
    <w:rsid w:val="008439D1"/>
    <w:rsid w:val="00881946"/>
    <w:rsid w:val="00882E07"/>
    <w:rsid w:val="0089670C"/>
    <w:rsid w:val="008A119E"/>
    <w:rsid w:val="008C13F6"/>
    <w:rsid w:val="008C4B30"/>
    <w:rsid w:val="008E1A2B"/>
    <w:rsid w:val="00911CC0"/>
    <w:rsid w:val="00937CBA"/>
    <w:rsid w:val="00940E2B"/>
    <w:rsid w:val="009604CA"/>
    <w:rsid w:val="00975620"/>
    <w:rsid w:val="009766DD"/>
    <w:rsid w:val="00977A35"/>
    <w:rsid w:val="00981B33"/>
    <w:rsid w:val="00982169"/>
    <w:rsid w:val="00990D99"/>
    <w:rsid w:val="009B20A4"/>
    <w:rsid w:val="009C30CB"/>
    <w:rsid w:val="009D497C"/>
    <w:rsid w:val="00A27146"/>
    <w:rsid w:val="00A36DFB"/>
    <w:rsid w:val="00A5167B"/>
    <w:rsid w:val="00A55265"/>
    <w:rsid w:val="00A61090"/>
    <w:rsid w:val="00A75D4C"/>
    <w:rsid w:val="00A944A1"/>
    <w:rsid w:val="00A96595"/>
    <w:rsid w:val="00A96CFC"/>
    <w:rsid w:val="00AB1805"/>
    <w:rsid w:val="00AD11AE"/>
    <w:rsid w:val="00AD4519"/>
    <w:rsid w:val="00AE0260"/>
    <w:rsid w:val="00AE691F"/>
    <w:rsid w:val="00AF0BB1"/>
    <w:rsid w:val="00B029BC"/>
    <w:rsid w:val="00B12121"/>
    <w:rsid w:val="00B1730D"/>
    <w:rsid w:val="00B443EE"/>
    <w:rsid w:val="00B4640F"/>
    <w:rsid w:val="00B65850"/>
    <w:rsid w:val="00B75DE5"/>
    <w:rsid w:val="00BA5703"/>
    <w:rsid w:val="00BB2455"/>
    <w:rsid w:val="00C076B0"/>
    <w:rsid w:val="00C11AD0"/>
    <w:rsid w:val="00C43911"/>
    <w:rsid w:val="00C44F0E"/>
    <w:rsid w:val="00C72BE8"/>
    <w:rsid w:val="00C73C7E"/>
    <w:rsid w:val="00C966D6"/>
    <w:rsid w:val="00C97BEA"/>
    <w:rsid w:val="00CA3729"/>
    <w:rsid w:val="00CA65DD"/>
    <w:rsid w:val="00D05ED1"/>
    <w:rsid w:val="00D12333"/>
    <w:rsid w:val="00D26664"/>
    <w:rsid w:val="00D27E04"/>
    <w:rsid w:val="00D36367"/>
    <w:rsid w:val="00D414D5"/>
    <w:rsid w:val="00D42C85"/>
    <w:rsid w:val="00D460DB"/>
    <w:rsid w:val="00D565FF"/>
    <w:rsid w:val="00D65B3D"/>
    <w:rsid w:val="00D723CA"/>
    <w:rsid w:val="00D72D39"/>
    <w:rsid w:val="00D97ED0"/>
    <w:rsid w:val="00DA1331"/>
    <w:rsid w:val="00DB2943"/>
    <w:rsid w:val="00DC644D"/>
    <w:rsid w:val="00DF5BE2"/>
    <w:rsid w:val="00E06561"/>
    <w:rsid w:val="00E077D8"/>
    <w:rsid w:val="00E10BDD"/>
    <w:rsid w:val="00E10D65"/>
    <w:rsid w:val="00E167B0"/>
    <w:rsid w:val="00E26575"/>
    <w:rsid w:val="00E465E0"/>
    <w:rsid w:val="00E52354"/>
    <w:rsid w:val="00E977BD"/>
    <w:rsid w:val="00EC1330"/>
    <w:rsid w:val="00EC1B0C"/>
    <w:rsid w:val="00EC677A"/>
    <w:rsid w:val="00EE785F"/>
    <w:rsid w:val="00EF67CA"/>
    <w:rsid w:val="00F074A2"/>
    <w:rsid w:val="00F123A3"/>
    <w:rsid w:val="00F370EF"/>
    <w:rsid w:val="00F543A6"/>
    <w:rsid w:val="00F5736F"/>
    <w:rsid w:val="00F73941"/>
    <w:rsid w:val="00F74865"/>
    <w:rsid w:val="00F753BE"/>
    <w:rsid w:val="00F814AD"/>
    <w:rsid w:val="00FA2EC3"/>
    <w:rsid w:val="00FD1693"/>
    <w:rsid w:val="00FD1ECB"/>
    <w:rsid w:val="00FE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650C6C"/>
  <w15:docId w15:val="{377654B0-FB3E-4B4E-81B1-E585679F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56"/>
    <w:pPr>
      <w:spacing w:after="0" w:line="240" w:lineRule="auto"/>
    </w:pPr>
    <w:rPr>
      <w:rFonts w:ascii="Times New Roman" w:eastAsia="MS Mincho" w:hAnsi="Times New Roman" w:cs="Times New Roman"/>
      <w:sz w:val="24"/>
      <w:szCs w:val="24"/>
      <w:lang w:eastAsia="ja-JP"/>
    </w:rPr>
  </w:style>
  <w:style w:type="paragraph" w:styleId="Titre1">
    <w:name w:val="heading 1"/>
    <w:basedOn w:val="Normal"/>
    <w:next w:val="Normal"/>
    <w:link w:val="Titre1Car"/>
    <w:uiPriority w:val="9"/>
    <w:qFormat/>
    <w:rsid w:val="00524B82"/>
    <w:pPr>
      <w:keepNext/>
      <w:keepLines/>
      <w:spacing w:before="480" w:line="360" w:lineRule="auto"/>
      <w:jc w:val="center"/>
      <w:outlineLvl w:val="0"/>
    </w:pPr>
    <w:rPr>
      <w:rFonts w:eastAsia="Times New Roman"/>
      <w:b/>
      <w:bCs/>
      <w:caps/>
      <w:sz w:val="28"/>
      <w:szCs w:val="28"/>
      <w:lang w:eastAsia="en-US"/>
    </w:rPr>
  </w:style>
  <w:style w:type="paragraph" w:styleId="Titre2">
    <w:name w:val="heading 2"/>
    <w:basedOn w:val="Sous-titre"/>
    <w:next w:val="Normal"/>
    <w:link w:val="Titre2Car"/>
    <w:autoRedefine/>
    <w:uiPriority w:val="9"/>
    <w:unhideWhenUsed/>
    <w:qFormat/>
    <w:rsid w:val="00524B82"/>
    <w:pPr>
      <w:keepNext/>
      <w:keepLines/>
      <w:numPr>
        <w:ilvl w:val="1"/>
      </w:numPr>
      <w:spacing w:before="40" w:after="0" w:line="360" w:lineRule="auto"/>
      <w:jc w:val="both"/>
      <w:outlineLvl w:val="1"/>
    </w:pPr>
    <w:rPr>
      <w:rFonts w:ascii="Times New Roman" w:eastAsia="Times New Roman" w:hAnsi="Times New Roman" w:cs="Times New Roman"/>
      <w:b/>
      <w:i w:val="0"/>
      <w:iCs w:val="0"/>
      <w:color w:val="auto"/>
      <w:spacing w:val="0"/>
      <w:lang w:val="fr-FR" w:eastAsia="fr-FR" w:bidi="ar-SA"/>
    </w:rPr>
  </w:style>
  <w:style w:type="paragraph" w:styleId="Titre3">
    <w:name w:val="heading 3"/>
    <w:basedOn w:val="Normal"/>
    <w:next w:val="Normal"/>
    <w:link w:val="Titre3Car"/>
    <w:autoRedefine/>
    <w:uiPriority w:val="9"/>
    <w:unhideWhenUsed/>
    <w:qFormat/>
    <w:rsid w:val="00524B82"/>
    <w:pPr>
      <w:keepNext/>
      <w:keepLines/>
      <w:spacing w:before="200" w:after="240" w:line="360" w:lineRule="auto"/>
      <w:outlineLvl w:val="2"/>
    </w:pPr>
    <w:rPr>
      <w:rFonts w:eastAsia="Times New Roman"/>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7B56"/>
    <w:pPr>
      <w:autoSpaceDE w:val="0"/>
      <w:autoSpaceDN w:val="0"/>
      <w:adjustRightInd w:val="0"/>
      <w:spacing w:after="0" w:line="240" w:lineRule="auto"/>
    </w:pPr>
    <w:rPr>
      <w:rFonts w:ascii="Times New Roman" w:eastAsia="MS Mincho" w:hAnsi="Times New Roman" w:cs="Times New Roman"/>
      <w:color w:val="000000"/>
      <w:sz w:val="24"/>
      <w:szCs w:val="24"/>
      <w:lang w:eastAsia="fr-FR"/>
    </w:rPr>
  </w:style>
  <w:style w:type="character" w:customStyle="1" w:styleId="A2">
    <w:name w:val="A2"/>
    <w:uiPriority w:val="99"/>
    <w:rsid w:val="00577B56"/>
    <w:rPr>
      <w:color w:val="000000"/>
      <w:sz w:val="22"/>
      <w:szCs w:val="22"/>
    </w:rPr>
  </w:style>
  <w:style w:type="paragraph" w:customStyle="1" w:styleId="Pa2">
    <w:name w:val="Pa2"/>
    <w:basedOn w:val="Default"/>
    <w:next w:val="Default"/>
    <w:uiPriority w:val="99"/>
    <w:rsid w:val="00577B56"/>
    <w:pPr>
      <w:spacing w:line="241" w:lineRule="atLeast"/>
    </w:pPr>
    <w:rPr>
      <w:rFonts w:ascii="Arial" w:hAnsi="Arial" w:cs="Arial"/>
      <w:color w:val="auto"/>
    </w:rPr>
  </w:style>
  <w:style w:type="character" w:customStyle="1" w:styleId="A0">
    <w:name w:val="A0"/>
    <w:uiPriority w:val="99"/>
    <w:rsid w:val="00577B56"/>
    <w:rPr>
      <w:color w:val="000000"/>
      <w:sz w:val="20"/>
      <w:szCs w:val="20"/>
    </w:rPr>
  </w:style>
  <w:style w:type="table" w:styleId="Grilledutableau">
    <w:name w:val="Table Grid"/>
    <w:basedOn w:val="TableauNormal"/>
    <w:rsid w:val="00577B56"/>
    <w:pPr>
      <w:spacing w:after="0" w:line="240" w:lineRule="auto"/>
    </w:pPr>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7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77B56"/>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F753BE"/>
    <w:rPr>
      <w:rFonts w:ascii="Tahoma" w:hAnsi="Tahoma" w:cs="Tahoma"/>
      <w:sz w:val="16"/>
      <w:szCs w:val="16"/>
    </w:rPr>
  </w:style>
  <w:style w:type="character" w:customStyle="1" w:styleId="TextedebullesCar">
    <w:name w:val="Texte de bulles Car"/>
    <w:basedOn w:val="Policepardfaut"/>
    <w:link w:val="Textedebulles"/>
    <w:uiPriority w:val="99"/>
    <w:semiHidden/>
    <w:rsid w:val="00F753BE"/>
    <w:rPr>
      <w:rFonts w:ascii="Tahoma" w:eastAsia="MS Mincho" w:hAnsi="Tahoma" w:cs="Tahoma"/>
      <w:sz w:val="16"/>
      <w:szCs w:val="16"/>
      <w:lang w:eastAsia="ja-JP"/>
    </w:rPr>
  </w:style>
  <w:style w:type="paragraph" w:styleId="Bibliographie">
    <w:name w:val="Bibliography"/>
    <w:basedOn w:val="Normal"/>
    <w:next w:val="Normal"/>
    <w:uiPriority w:val="37"/>
    <w:unhideWhenUsed/>
    <w:rsid w:val="00AD11AE"/>
    <w:pPr>
      <w:tabs>
        <w:tab w:val="left" w:pos="504"/>
      </w:tabs>
      <w:spacing w:after="240"/>
      <w:ind w:left="504" w:hanging="504"/>
    </w:pPr>
  </w:style>
  <w:style w:type="character" w:customStyle="1" w:styleId="A1">
    <w:name w:val="A1"/>
    <w:uiPriority w:val="99"/>
    <w:rsid w:val="00AD11AE"/>
    <w:rPr>
      <w:rFonts w:cs="Bookman Old Style"/>
      <w:color w:val="000000"/>
      <w:sz w:val="18"/>
      <w:szCs w:val="18"/>
    </w:rPr>
  </w:style>
  <w:style w:type="character" w:customStyle="1" w:styleId="A3">
    <w:name w:val="A3"/>
    <w:uiPriority w:val="99"/>
    <w:rsid w:val="00AD11AE"/>
    <w:rPr>
      <w:rFonts w:cs="Bookman Old Style"/>
      <w:color w:val="000000"/>
      <w:sz w:val="10"/>
      <w:szCs w:val="10"/>
    </w:rPr>
  </w:style>
  <w:style w:type="character" w:styleId="Lienhypertexte">
    <w:name w:val="Hyperlink"/>
    <w:basedOn w:val="Policepardfaut"/>
    <w:uiPriority w:val="99"/>
    <w:unhideWhenUsed/>
    <w:rsid w:val="00F370EF"/>
    <w:rPr>
      <w:color w:val="0000FF" w:themeColor="hyperlink"/>
      <w:u w:val="single"/>
    </w:rPr>
  </w:style>
  <w:style w:type="paragraph" w:styleId="Titre">
    <w:name w:val="Title"/>
    <w:basedOn w:val="Normal"/>
    <w:next w:val="Normal"/>
    <w:link w:val="TitreCar"/>
    <w:uiPriority w:val="10"/>
    <w:qFormat/>
    <w:rsid w:val="007D59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7D591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D591B"/>
    <w:p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Sous-titreCar">
    <w:name w:val="Sous-titre Car"/>
    <w:basedOn w:val="Policepardfaut"/>
    <w:link w:val="Sous-titre"/>
    <w:uiPriority w:val="11"/>
    <w:rsid w:val="007D591B"/>
    <w:rPr>
      <w:rFonts w:asciiTheme="majorHAnsi" w:eastAsiaTheme="majorEastAsia" w:hAnsiTheme="majorHAnsi" w:cstheme="majorBidi"/>
      <w:i/>
      <w:iCs/>
      <w:color w:val="4F81BD" w:themeColor="accent1"/>
      <w:spacing w:val="15"/>
      <w:sz w:val="24"/>
      <w:szCs w:val="24"/>
      <w:lang w:val="en-US" w:bidi="en-US"/>
    </w:rPr>
  </w:style>
  <w:style w:type="table" w:customStyle="1" w:styleId="Tramemoyenne1-Accent11">
    <w:name w:val="Trame moyenne 1 - Accent 11"/>
    <w:basedOn w:val="TableauNormal"/>
    <w:uiPriority w:val="63"/>
    <w:rsid w:val="00AB180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emoyenne1-Accent11">
    <w:name w:val="Liste moyenne 1 - Accent 11"/>
    <w:basedOn w:val="TableauNormal"/>
    <w:uiPriority w:val="65"/>
    <w:rsid w:val="00AB180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Titre1Car">
    <w:name w:val="Titre 1 Car"/>
    <w:basedOn w:val="Policepardfaut"/>
    <w:link w:val="Titre1"/>
    <w:uiPriority w:val="9"/>
    <w:rsid w:val="00524B82"/>
    <w:rPr>
      <w:rFonts w:ascii="Times New Roman" w:eastAsia="Times New Roman" w:hAnsi="Times New Roman" w:cs="Times New Roman"/>
      <w:b/>
      <w:bCs/>
      <w:caps/>
      <w:sz w:val="28"/>
      <w:szCs w:val="28"/>
    </w:rPr>
  </w:style>
  <w:style w:type="character" w:customStyle="1" w:styleId="Titre2Car">
    <w:name w:val="Titre 2 Car"/>
    <w:basedOn w:val="Policepardfaut"/>
    <w:link w:val="Titre2"/>
    <w:uiPriority w:val="9"/>
    <w:rsid w:val="00524B82"/>
    <w:rPr>
      <w:rFonts w:ascii="Times New Roman" w:eastAsia="Times New Roman" w:hAnsi="Times New Roman" w:cs="Times New Roman"/>
      <w:b/>
      <w:sz w:val="24"/>
      <w:szCs w:val="24"/>
      <w:lang w:eastAsia="fr-FR"/>
    </w:rPr>
  </w:style>
  <w:style w:type="character" w:customStyle="1" w:styleId="Titre3Car">
    <w:name w:val="Titre 3 Car"/>
    <w:basedOn w:val="Policepardfaut"/>
    <w:link w:val="Titre3"/>
    <w:uiPriority w:val="9"/>
    <w:rsid w:val="00524B82"/>
    <w:rPr>
      <w:rFonts w:ascii="Times New Roman" w:eastAsia="Times New Roman" w:hAnsi="Times New Roman" w:cs="Times New Roman"/>
      <w:b/>
      <w:sz w:val="24"/>
      <w:szCs w:val="24"/>
      <w:lang w:eastAsia="fr-FR"/>
    </w:rPr>
  </w:style>
  <w:style w:type="paragraph" w:styleId="Sansinterligne">
    <w:name w:val="No Spacing"/>
    <w:link w:val="SansinterligneCar"/>
    <w:uiPriority w:val="1"/>
    <w:qFormat/>
    <w:rsid w:val="00524B82"/>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524B82"/>
    <w:rPr>
      <w:rFonts w:ascii="Calibri" w:eastAsia="Times New Roman" w:hAnsi="Calibri" w:cs="Times New Roman"/>
    </w:rPr>
  </w:style>
  <w:style w:type="paragraph" w:styleId="Paragraphedeliste">
    <w:name w:val="List Paragraph"/>
    <w:basedOn w:val="Normal"/>
    <w:link w:val="ParagraphedelisteCar"/>
    <w:uiPriority w:val="34"/>
    <w:qFormat/>
    <w:rsid w:val="00104E43"/>
    <w:pPr>
      <w:spacing w:after="200" w:line="360" w:lineRule="auto"/>
      <w:ind w:left="720"/>
      <w:contextualSpacing/>
      <w:jc w:val="both"/>
    </w:pPr>
    <w:rPr>
      <w:rFonts w:eastAsia="Calibri"/>
      <w:szCs w:val="22"/>
      <w:lang w:eastAsia="en-US"/>
    </w:rPr>
  </w:style>
  <w:style w:type="character" w:customStyle="1" w:styleId="ParagraphedelisteCar">
    <w:name w:val="Paragraphe de liste Car"/>
    <w:link w:val="Paragraphedeliste"/>
    <w:uiPriority w:val="34"/>
    <w:rsid w:val="00104E43"/>
    <w:rPr>
      <w:rFonts w:ascii="Times New Roman" w:eastAsia="Calibri" w:hAnsi="Times New Roman" w:cs="Times New Roman"/>
      <w:sz w:val="24"/>
    </w:rPr>
  </w:style>
  <w:style w:type="paragraph" w:styleId="Lgende">
    <w:name w:val="caption"/>
    <w:basedOn w:val="Normal"/>
    <w:next w:val="Normal"/>
    <w:uiPriority w:val="35"/>
    <w:unhideWhenUsed/>
    <w:qFormat/>
    <w:rsid w:val="001D6DA0"/>
    <w:pPr>
      <w:spacing w:after="200"/>
      <w:jc w:val="both"/>
    </w:pPr>
    <w:rPr>
      <w:rFonts w:eastAsia="Calibri"/>
      <w:i/>
      <w:iCs/>
      <w:color w:val="44546A"/>
      <w:sz w:val="18"/>
      <w:szCs w:val="18"/>
      <w:lang w:eastAsia="en-US"/>
    </w:rPr>
  </w:style>
  <w:style w:type="table" w:customStyle="1" w:styleId="Tramemoyenne1-Accent12">
    <w:name w:val="Trame moyenne 1 - Accent 12"/>
    <w:basedOn w:val="TableauNormal"/>
    <w:uiPriority w:val="63"/>
    <w:rsid w:val="00882E0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moyenne1-Accent13">
    <w:name w:val="Trame moyenne 1 - Accent 13"/>
    <w:basedOn w:val="TableauNormal"/>
    <w:uiPriority w:val="63"/>
    <w:rsid w:val="005B752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auListe4-Accentuation1">
    <w:name w:val="List Table 4 Accent 1"/>
    <w:basedOn w:val="TableauNormal"/>
    <w:uiPriority w:val="49"/>
    <w:rsid w:val="001E7A8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nonrsolue">
    <w:name w:val="Unresolved Mention"/>
    <w:basedOn w:val="Policepardfaut"/>
    <w:uiPriority w:val="99"/>
    <w:semiHidden/>
    <w:unhideWhenUsed/>
    <w:rsid w:val="009C30CB"/>
    <w:rPr>
      <w:color w:val="605E5C"/>
      <w:shd w:val="clear" w:color="auto" w:fill="E1DFDD"/>
    </w:rPr>
  </w:style>
  <w:style w:type="table" w:styleId="TableauGrille4-Accentuation1">
    <w:name w:val="Grid Table 4 Accent 1"/>
    <w:basedOn w:val="TableauNormal"/>
    <w:uiPriority w:val="49"/>
    <w:rsid w:val="00836EDA"/>
    <w:pPr>
      <w:spacing w:after="0" w:line="240" w:lineRule="auto"/>
    </w:pPr>
    <w:rPr>
      <w:rFonts w:ascii="Calibri" w:eastAsia="Calibri" w:hAnsi="Calibri" w:cs="Times New Roman"/>
      <w:sz w:val="20"/>
      <w:szCs w:val="20"/>
      <w:lang w:val="fr-CM" w:eastAsia="fr-CM"/>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tb/data/" TargetMode="External"/><Relationship Id="rId3" Type="http://schemas.openxmlformats.org/officeDocument/2006/relationships/styles" Target="styles.xml"/><Relationship Id="rId7" Type="http://schemas.openxmlformats.org/officeDocument/2006/relationships/hyperlink" Target="mailto:kholobarr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3D66C-5E7F-467F-BBB1-FC5CF435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3002</Words>
  <Characters>16513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38</cp:revision>
  <dcterms:created xsi:type="dcterms:W3CDTF">2018-09-20T07:17:00Z</dcterms:created>
  <dcterms:modified xsi:type="dcterms:W3CDTF">2019-12-01T12:25:00Z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id="y1EbyVTH"/&gt;&lt;style id="http://www.zotero.org/styles/vancouver" locale="fr-FR" hasBibliography="1" bibliographyStyleHasBeenSet="1"/&gt;&lt;prefs&gt;&lt;pref name="fieldType" value="Field"/&gt;&lt;/prefs&gt;&lt;/data&gt;</vt:lpwstr>
  </property>
</Properties>
</file>