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1" w:rsidRDefault="00131B31" w:rsidP="006E680F">
      <w:pPr>
        <w:spacing w:after="0"/>
        <w:jc w:val="both"/>
        <w:rPr>
          <w:rFonts w:ascii="Times New Roman" w:hAnsi="Times New Roman"/>
          <w:b/>
          <w:noProof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69850</wp:posOffset>
            </wp:positionV>
            <wp:extent cx="6389370" cy="640080"/>
            <wp:effectExtent l="19050" t="0" r="0" b="0"/>
            <wp:wrapTight wrapText="bothSides">
              <wp:wrapPolygon edited="0">
                <wp:start x="-64" y="0"/>
                <wp:lineTo x="-64" y="21214"/>
                <wp:lineTo x="21574" y="21214"/>
                <wp:lineTo x="21574" y="0"/>
                <wp:lineTo x="-64" y="0"/>
              </wp:wrapPolygon>
            </wp:wrapTight>
            <wp:docPr id="6" name="Image 1" descr="Homepag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mepage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17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5C2">
        <w:rPr>
          <w:rFonts w:ascii="Times New Roman" w:hAnsi="Times New Roman"/>
          <w:b/>
          <w:noProof/>
          <w:szCs w:val="20"/>
        </w:rPr>
        <w:t>Clinical case</w:t>
      </w:r>
    </w:p>
    <w:p w:rsidR="00131B31" w:rsidRPr="00131B31" w:rsidRDefault="00131B31" w:rsidP="00131B31">
      <w:pPr>
        <w:pStyle w:val="Titre"/>
        <w:spacing w:after="120"/>
        <w:jc w:val="center"/>
        <w:rPr>
          <w:rFonts w:ascii="Times New Roman" w:hAnsi="Times New Roman"/>
          <w:b/>
          <w:bCs/>
          <w:sz w:val="36"/>
        </w:rPr>
      </w:pPr>
      <w:r w:rsidRPr="00131B31">
        <w:rPr>
          <w:rFonts w:ascii="Times New Roman" w:hAnsi="Times New Roman"/>
          <w:b/>
          <w:bCs/>
          <w:sz w:val="36"/>
        </w:rPr>
        <w:t xml:space="preserve">La </w:t>
      </w:r>
      <w:r>
        <w:rPr>
          <w:rFonts w:ascii="Times New Roman" w:hAnsi="Times New Roman"/>
          <w:b/>
          <w:bCs/>
          <w:sz w:val="36"/>
        </w:rPr>
        <w:t>Maladie d</w:t>
      </w:r>
      <w:r w:rsidRPr="00131B31">
        <w:rPr>
          <w:rFonts w:ascii="Times New Roman" w:hAnsi="Times New Roman"/>
          <w:b/>
          <w:bCs/>
          <w:sz w:val="36"/>
        </w:rPr>
        <w:t xml:space="preserve">e Rendue Osler Weber </w:t>
      </w:r>
      <w:r>
        <w:rPr>
          <w:rFonts w:ascii="Times New Roman" w:hAnsi="Times New Roman"/>
          <w:b/>
          <w:bCs/>
          <w:sz w:val="36"/>
        </w:rPr>
        <w:t>Révélée par u</w:t>
      </w:r>
      <w:r w:rsidRPr="00131B31">
        <w:rPr>
          <w:rFonts w:ascii="Times New Roman" w:hAnsi="Times New Roman"/>
          <w:b/>
          <w:bCs/>
          <w:sz w:val="36"/>
        </w:rPr>
        <w:t>ne Hépatomégalie Douloureuse.</w:t>
      </w:r>
    </w:p>
    <w:p w:rsidR="00131B31" w:rsidRPr="00C5375F" w:rsidRDefault="00E74237" w:rsidP="006E680F">
      <w:pPr>
        <w:pStyle w:val="Sous-titre"/>
        <w:spacing w:line="240" w:lineRule="auto"/>
        <w:jc w:val="center"/>
        <w:rPr>
          <w:rFonts w:ascii="Times New Roman" w:hAnsi="Times New Roman"/>
          <w:b/>
          <w:bCs/>
          <w:lang w:eastAsia="fr-FR"/>
        </w:rPr>
      </w:pPr>
      <w:proofErr w:type="gramStart"/>
      <w:r w:rsidRPr="00E74237">
        <w:rPr>
          <w:rFonts w:ascii="Times New Roman" w:hAnsi="Times New Roman"/>
          <w:b/>
          <w:bCs/>
          <w:lang w:eastAsia="fr-FR"/>
        </w:rPr>
        <w:t>Osler</w:t>
      </w:r>
      <w:r w:rsidR="00E7738D">
        <w:rPr>
          <w:rFonts w:ascii="Times New Roman" w:hAnsi="Times New Roman"/>
          <w:b/>
          <w:bCs/>
          <w:lang w:eastAsia="fr-FR"/>
        </w:rPr>
        <w:t>-</w:t>
      </w:r>
      <w:r w:rsidRPr="00E74237">
        <w:rPr>
          <w:rFonts w:ascii="Times New Roman" w:hAnsi="Times New Roman"/>
          <w:b/>
          <w:bCs/>
          <w:lang w:eastAsia="fr-FR"/>
        </w:rPr>
        <w:t>Weber</w:t>
      </w:r>
      <w:r w:rsidR="00E7738D">
        <w:rPr>
          <w:rFonts w:ascii="Times New Roman" w:hAnsi="Times New Roman"/>
          <w:b/>
          <w:bCs/>
          <w:lang w:eastAsia="fr-FR"/>
        </w:rPr>
        <w:t>-</w:t>
      </w:r>
      <w:proofErr w:type="spellStart"/>
      <w:r w:rsidRPr="00E74237">
        <w:rPr>
          <w:rFonts w:ascii="Times New Roman" w:hAnsi="Times New Roman"/>
          <w:b/>
          <w:bCs/>
          <w:lang w:eastAsia="fr-FR"/>
        </w:rPr>
        <w:t>Rendu</w:t>
      </w:r>
      <w:proofErr w:type="spellEnd"/>
      <w:r w:rsidRPr="00E74237">
        <w:rPr>
          <w:rFonts w:ascii="Times New Roman" w:hAnsi="Times New Roman"/>
          <w:b/>
          <w:bCs/>
          <w:lang w:eastAsia="fr-FR"/>
        </w:rPr>
        <w:t xml:space="preserve"> disease revealed by painful </w:t>
      </w:r>
      <w:proofErr w:type="spellStart"/>
      <w:r w:rsidRPr="00E74237">
        <w:rPr>
          <w:rFonts w:ascii="Times New Roman" w:hAnsi="Times New Roman"/>
          <w:b/>
          <w:bCs/>
          <w:lang w:eastAsia="fr-FR"/>
        </w:rPr>
        <w:t>hepatomegaly</w:t>
      </w:r>
      <w:proofErr w:type="spellEnd"/>
      <w:r w:rsidRPr="00E74237">
        <w:rPr>
          <w:rFonts w:ascii="Times New Roman" w:hAnsi="Times New Roman"/>
          <w:b/>
          <w:bCs/>
          <w:lang w:eastAsia="fr-FR"/>
        </w:rPr>
        <w:t>.</w:t>
      </w:r>
      <w:proofErr w:type="gramEnd"/>
    </w:p>
    <w:p w:rsidR="00E7738D" w:rsidRPr="00E7738D" w:rsidRDefault="00E7738D" w:rsidP="00E7738D">
      <w:pPr>
        <w:jc w:val="center"/>
        <w:rPr>
          <w:rFonts w:ascii="Times New Roman" w:hAnsi="Times New Roman"/>
          <w:bCs/>
          <w:lang w:val="en-US" w:bidi="en-US"/>
        </w:rPr>
      </w:pPr>
      <w:proofErr w:type="spellStart"/>
      <w:r w:rsidRPr="00E7738D">
        <w:rPr>
          <w:rFonts w:ascii="Times New Roman" w:hAnsi="Times New Roman"/>
          <w:bCs/>
          <w:lang w:val="en-US" w:bidi="en-US"/>
        </w:rPr>
        <w:t>Itoudi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Bignoumba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PE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Maganga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Moussavou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I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Eyi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Nguema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AG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Mbounja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Zue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M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Nzouto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PD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Saibou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M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r w:rsidRPr="00E7738D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Moussavou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Kombila</w:t>
      </w:r>
      <w:proofErr w:type="spellEnd"/>
      <w:r w:rsidRPr="00E7738D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E7738D">
        <w:rPr>
          <w:rFonts w:ascii="Times New Roman" w:hAnsi="Times New Roman"/>
          <w:bCs/>
          <w:lang w:val="en-US" w:bidi="en-US"/>
        </w:rPr>
        <w:t>JB</w:t>
      </w:r>
      <w:r w:rsidRPr="00E7738D">
        <w:rPr>
          <w:rFonts w:ascii="Times New Roman" w:hAnsi="Times New Roman"/>
          <w:bCs/>
          <w:vertAlign w:val="superscript"/>
          <w:lang w:val="en-US" w:bidi="en-US"/>
        </w:rPr>
        <w:t>1</w:t>
      </w:r>
      <w:proofErr w:type="spellEnd"/>
    </w:p>
    <w:tbl>
      <w:tblPr>
        <w:tblW w:w="0" w:type="auto"/>
        <w:tblLook w:val="04A0"/>
      </w:tblPr>
      <w:tblGrid>
        <w:gridCol w:w="4077"/>
        <w:gridCol w:w="5954"/>
      </w:tblGrid>
      <w:tr w:rsidR="00131B31" w:rsidRPr="0094427C" w:rsidTr="00B37F4B">
        <w:trPr>
          <w:trHeight w:val="98"/>
        </w:trPr>
        <w:tc>
          <w:tcPr>
            <w:tcW w:w="4077" w:type="dxa"/>
            <w:vMerge w:val="restart"/>
            <w:shd w:val="clear" w:color="auto" w:fill="D3DFEE"/>
          </w:tcPr>
          <w:p w:rsidR="00131B31" w:rsidRPr="00131B31" w:rsidRDefault="005B66EE" w:rsidP="00B37F4B">
            <w:pPr>
              <w:rPr>
                <w:b/>
                <w:bCs/>
                <w:color w:val="365F91"/>
                <w:sz w:val="18"/>
                <w:szCs w:val="18"/>
                <w:vertAlign w:val="superscript"/>
                <w:lang w:val="en-US"/>
              </w:rPr>
            </w:pPr>
            <w:r w:rsidRPr="005B66EE">
              <w:rPr>
                <w:b/>
                <w:bCs/>
                <w:noProof/>
                <w:color w:val="365F91"/>
                <w:sz w:val="18"/>
                <w:szCs w:val="18"/>
                <w:vertAlign w:val="superscript"/>
                <w:lang w:val="fr-CH" w:eastAsia="fr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.35pt;margin-top:9.65pt;width:191.8pt;height:17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" stroked="f">
                  <v:textbox style="mso-next-textbox:#Text Box 5">
                    <w:txbxContent>
                      <w:p w:rsidR="00E7738D" w:rsidRPr="00E7738D" w:rsidRDefault="00131B31" w:rsidP="00E77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18"/>
                            <w:szCs w:val="20"/>
                          </w:rPr>
                        </w:pPr>
                        <w:r w:rsidRPr="006F5716">
                          <w:rPr>
                            <w:rFonts w:ascii="Times New Roman" w:hAnsi="Times New Roman" w:cs="Times New Roman"/>
                            <w:bCs/>
                            <w:sz w:val="18"/>
                            <w:szCs w:val="20"/>
                          </w:rPr>
                          <w:t xml:space="preserve">(1) </w:t>
                        </w:r>
                        <w:r w:rsidR="00E7738D" w:rsidRPr="00E7738D">
                          <w:rPr>
                            <w:rFonts w:ascii="Times New Roman" w:hAnsi="Times New Roman" w:cs="Times New Roman"/>
                            <w:bCs/>
                            <w:sz w:val="18"/>
                            <w:szCs w:val="20"/>
                          </w:rPr>
                          <w:t>Service d’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 w:cs="Times New Roman"/>
                            <w:bCs/>
                            <w:sz w:val="18"/>
                            <w:szCs w:val="20"/>
                          </w:rPr>
                          <w:t>hépatogastroentérologie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 w:cs="Times New Roman"/>
                            <w:bCs/>
                            <w:sz w:val="18"/>
                            <w:szCs w:val="20"/>
                          </w:rPr>
                          <w:t xml:space="preserve"> – CHU de Libreville</w:t>
                        </w:r>
                      </w:p>
                      <w:p w:rsidR="00131B31" w:rsidRPr="006F5716" w:rsidRDefault="00131B31" w:rsidP="003341B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</w:rPr>
                        </w:pPr>
                        <w:r w:rsidRPr="006F571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</w:rPr>
                          <w:t>Auteur correspondant :</w:t>
                        </w:r>
                      </w:p>
                      <w:p w:rsidR="00B777B5" w:rsidRPr="001B1AD7" w:rsidRDefault="00E7738D" w:rsidP="00B777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proofErr w:type="spellStart"/>
                        <w:r w:rsidRPr="001B1AD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8"/>
                            <w:szCs w:val="20"/>
                            <w:lang w:val="en-US" w:bidi="en-US"/>
                          </w:rPr>
                          <w:t>Itoudi</w:t>
                        </w:r>
                        <w:proofErr w:type="spellEnd"/>
                        <w:r w:rsidRPr="001B1AD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8"/>
                            <w:szCs w:val="20"/>
                            <w:lang w:val="en-US" w:bidi="en-US"/>
                          </w:rPr>
                          <w:t xml:space="preserve"> </w:t>
                        </w:r>
                        <w:proofErr w:type="spellStart"/>
                        <w:r w:rsidRPr="001B1AD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8"/>
                            <w:szCs w:val="20"/>
                            <w:lang w:val="en-US" w:bidi="en-US"/>
                          </w:rPr>
                          <w:t>Bignoumba</w:t>
                        </w:r>
                        <w:proofErr w:type="spellEnd"/>
                        <w:r w:rsidRPr="001B1AD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18"/>
                            <w:szCs w:val="20"/>
                            <w:lang w:val="en-US" w:bidi="en-US"/>
                          </w:rPr>
                          <w:t xml:space="preserve"> </w:t>
                        </w:r>
                        <w:r w:rsidR="00B777B5" w:rsidRPr="001B1AD7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Patrice Emery</w:t>
                        </w:r>
                      </w:p>
                      <w:p w:rsidR="00B777B5" w:rsidRPr="001B1AD7" w:rsidRDefault="00B777B5" w:rsidP="00B777B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proofErr w:type="gramStart"/>
                        <w:r w:rsidRPr="001B1AD7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Tel :</w:t>
                        </w:r>
                        <w:proofErr w:type="gramEnd"/>
                        <w:r w:rsidRPr="001B1AD7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 (+241)066906639</w:t>
                        </w:r>
                      </w:p>
                      <w:p w:rsidR="00131B31" w:rsidRPr="006B2D54" w:rsidRDefault="006B2D54" w:rsidP="00131B31">
                        <w:pP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 w:rsidRPr="006B2D54"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E-mail :</w:t>
                        </w:r>
                        <w:r w:rsidR="00B777B5" w:rsidRPr="00B777B5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20"/>
                          </w:rPr>
                          <w:t xml:space="preserve"> </w:t>
                        </w:r>
                        <w:hyperlink r:id="rId9" w:history="1">
                          <w:r w:rsidR="00B777B5" w:rsidRPr="00033177">
                            <w:rPr>
                              <w:rStyle w:val="Lienhypertexte"/>
                              <w:rFonts w:ascii="Times New Roman" w:hAnsi="Times New Roman"/>
                              <w:sz w:val="18"/>
                              <w:szCs w:val="20"/>
                            </w:rPr>
                            <w:t>ibpemery@yahoo.fr</w:t>
                          </w:r>
                        </w:hyperlink>
                        <w:r w:rsidR="00B777B5"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:rsidR="00131B31" w:rsidRPr="006F5716" w:rsidRDefault="00131B31" w:rsidP="00131B31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F5716">
                          <w:rPr>
                            <w:rFonts w:ascii="Times New Roman" w:hAnsi="Times New Roman"/>
                            <w:b/>
                            <w:bCs/>
                            <w:iCs/>
                            <w:sz w:val="18"/>
                            <w:szCs w:val="18"/>
                          </w:rPr>
                          <w:t>Mots clés : </w:t>
                        </w:r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 xml:space="preserve">Maladie </w:t>
                        </w:r>
                        <w:r w:rsidR="001B1AD7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de</w:t>
                        </w:r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 xml:space="preserve"> Rendu Osler Weber – Malformation 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artério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 xml:space="preserve">-veineuse hépatique – 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Angiodysplasies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 xml:space="preserve"> muqueuses.</w:t>
                        </w:r>
                      </w:p>
                      <w:p w:rsidR="00131B31" w:rsidRPr="00E7738D" w:rsidRDefault="00131B31" w:rsidP="00131B31">
                        <w:pPr>
                          <w:rPr>
                            <w:rFonts w:ascii="Times New Roman" w:hAnsi="Times New Roman"/>
                            <w:sz w:val="18"/>
                            <w:szCs w:val="20"/>
                            <w:lang w:val="en-US"/>
                          </w:rPr>
                        </w:pPr>
                        <w:proofErr w:type="gramStart"/>
                        <w:r w:rsidRPr="00131B31">
                          <w:rPr>
                            <w:rFonts w:ascii="Times New Roman" w:hAnsi="Times New Roman"/>
                            <w:b/>
                            <w:bCs/>
                            <w:iCs/>
                            <w:sz w:val="18"/>
                            <w:szCs w:val="20"/>
                            <w:lang w:val="en-US"/>
                          </w:rPr>
                          <w:t>Keywords</w:t>
                        </w:r>
                        <w:r w:rsidRPr="00131B3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8"/>
                            <w:szCs w:val="20"/>
                            <w:lang w:val="en-US"/>
                          </w:rPr>
                          <w:t xml:space="preserve"> :</w:t>
                        </w:r>
                        <w:proofErr w:type="gramEnd"/>
                        <w:r w:rsidRPr="00131B31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8"/>
                            <w:szCs w:val="20"/>
                            <w:lang w:val="en-US"/>
                          </w:rPr>
                          <w:t> </w:t>
                        </w:r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Osler-Weber</w:t>
                        </w:r>
                        <w:r w:rsid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Rend</w:t>
                        </w:r>
                        <w:r w:rsid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 xml:space="preserve"> Disease - Hepatic 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Arteriovenous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 xml:space="preserve"> Malformation - Mucous </w:t>
                        </w:r>
                        <w:proofErr w:type="spellStart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Angiodysplasia</w:t>
                        </w:r>
                        <w:proofErr w:type="spellEnd"/>
                        <w:r w:rsidR="00E7738D" w:rsidRPr="00E7738D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  <w:shd w:val="clear" w:color="auto" w:fill="D3DFEE"/>
          </w:tcPr>
          <w:p w:rsidR="00131B31" w:rsidRPr="006B2D54" w:rsidRDefault="00131B31" w:rsidP="00B37F4B">
            <w:pPr>
              <w:spacing w:after="12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B2D5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RÉSUMÉ</w:t>
            </w:r>
          </w:p>
        </w:tc>
      </w:tr>
      <w:tr w:rsidR="00131B31" w:rsidRPr="00EE648F" w:rsidTr="00B37F4B">
        <w:trPr>
          <w:trHeight w:val="742"/>
        </w:trPr>
        <w:tc>
          <w:tcPr>
            <w:tcW w:w="4077" w:type="dxa"/>
            <w:vMerge/>
          </w:tcPr>
          <w:p w:rsidR="00131B31" w:rsidRPr="0094427C" w:rsidRDefault="00131B31" w:rsidP="00B37F4B">
            <w:pPr>
              <w:rPr>
                <w:b/>
                <w:bCs/>
                <w:color w:val="365F91"/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:rsidR="00131B31" w:rsidRPr="006B2D54" w:rsidRDefault="00131B31" w:rsidP="00B37F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B2D54">
              <w:rPr>
                <w:rFonts w:ascii="Times New Roman" w:hAnsi="Times New Roman"/>
                <w:sz w:val="20"/>
                <w:szCs w:val="18"/>
              </w:rPr>
              <w:t>La maladie de Rendu-Osler-Weber est une affection rare, de transmission autosomique dominante, d’expression variable, jamais décrite au Gabon. Le diagnostic exige la présence d'au moins trois sur quatre critères cliniques de Curaç</w:t>
            </w:r>
            <w:r w:rsidR="001B1AD7">
              <w:rPr>
                <w:rFonts w:ascii="Times New Roman" w:hAnsi="Times New Roman"/>
                <w:sz w:val="20"/>
                <w:szCs w:val="18"/>
              </w:rPr>
              <w:t>ao</w:t>
            </w:r>
            <w:proofErr w:type="gramStart"/>
            <w:r w:rsidR="001B1AD7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proofErr w:type="gramEnd"/>
            <w:r w:rsidRPr="006B2D54">
              <w:rPr>
                <w:rFonts w:ascii="Times New Roman" w:hAnsi="Times New Roman"/>
                <w:sz w:val="20"/>
                <w:szCs w:val="18"/>
              </w:rPr>
              <w:t>Nous rapportons un cas à atteinte hépatique révélé sous la forme d’une hépatomégalie pseudo-tumorale</w:t>
            </w:r>
            <w:r w:rsidR="0035199B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</w:tr>
      <w:tr w:rsidR="00131B31" w:rsidRPr="00A40861" w:rsidTr="00B37F4B">
        <w:trPr>
          <w:trHeight w:val="237"/>
        </w:trPr>
        <w:tc>
          <w:tcPr>
            <w:tcW w:w="4077" w:type="dxa"/>
            <w:vMerge w:val="restart"/>
            <w:shd w:val="clear" w:color="auto" w:fill="D3DFEE"/>
          </w:tcPr>
          <w:p w:rsidR="00131B31" w:rsidRPr="00EE648F" w:rsidRDefault="00131B31" w:rsidP="00B37F4B">
            <w:pPr>
              <w:rPr>
                <w:b/>
                <w:bCs/>
                <w:color w:val="365F91"/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  <w:shd w:val="clear" w:color="auto" w:fill="D3DFEE"/>
          </w:tcPr>
          <w:p w:rsidR="00131B31" w:rsidRPr="006B2D54" w:rsidRDefault="00131B31" w:rsidP="00B37F4B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B2D5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ABSTRACT</w:t>
            </w:r>
          </w:p>
        </w:tc>
      </w:tr>
      <w:tr w:rsidR="00131B31" w:rsidRPr="001B1AD7" w:rsidTr="006E680F">
        <w:trPr>
          <w:trHeight w:val="1687"/>
        </w:trPr>
        <w:tc>
          <w:tcPr>
            <w:tcW w:w="4077" w:type="dxa"/>
            <w:vMerge/>
          </w:tcPr>
          <w:p w:rsidR="00131B31" w:rsidRPr="00A40861" w:rsidRDefault="00131B31" w:rsidP="00B37F4B">
            <w:pPr>
              <w:rPr>
                <w:b/>
                <w:bCs/>
                <w:color w:val="365F91"/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:rsidR="00131B31" w:rsidRPr="006B2D54" w:rsidRDefault="00131B31" w:rsidP="001B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Osler-Weber-</w:t>
            </w:r>
            <w:proofErr w:type="spellStart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Rendu</w:t>
            </w:r>
            <w:proofErr w:type="spellEnd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syndrome is an uncommon genetic disorder never described in Gabon. It is inherited as an </w:t>
            </w:r>
            <w:proofErr w:type="spellStart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autosomal</w:t>
            </w:r>
            <w:proofErr w:type="spellEnd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dominant disorder with varying </w:t>
            </w:r>
            <w:proofErr w:type="spellStart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penetrance</w:t>
            </w:r>
            <w:proofErr w:type="spellEnd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expression. The diagnosis requires the presence of at least three out of four clinical </w:t>
            </w:r>
            <w:proofErr w:type="spellStart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Curaçao</w:t>
            </w:r>
            <w:proofErr w:type="spellEnd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criteria. We report a case </w:t>
            </w:r>
            <w:r w:rsidR="001B1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liver damage revealed in the form of pseudo-tumor </w:t>
            </w:r>
            <w:proofErr w:type="spellStart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hepatomegaly</w:t>
            </w:r>
            <w:proofErr w:type="spellEnd"/>
            <w:r w:rsidRPr="006B2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6B2D54" w:rsidRDefault="006B2D54" w:rsidP="00131B3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sectPr w:rsidR="006B2D54" w:rsidSect="00131B31">
          <w:headerReference w:type="default" r:id="rId10"/>
          <w:footerReference w:type="default" r:id="rId11"/>
          <w:pgSz w:w="11906" w:h="16838" w:code="9"/>
          <w:pgMar w:top="1134" w:right="851" w:bottom="1418" w:left="1134" w:header="708" w:footer="708" w:gutter="0"/>
          <w:cols w:space="708"/>
          <w:docGrid w:linePitch="360"/>
        </w:sectPr>
      </w:pPr>
    </w:p>
    <w:p w:rsidR="006B2D54" w:rsidRPr="001B1AD7" w:rsidRDefault="006B2D54" w:rsidP="006B2D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1" w:name="N100D2"/>
    </w:p>
    <w:p w:rsidR="006B2D54" w:rsidRPr="001B1AD7" w:rsidRDefault="006B2D54" w:rsidP="006B2D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sectPr w:rsidR="006B2D54" w:rsidRPr="001B1AD7" w:rsidSect="006B2D54">
          <w:type w:val="continuous"/>
          <w:pgSz w:w="11906" w:h="16838" w:code="9"/>
          <w:pgMar w:top="1134" w:right="851" w:bottom="1418" w:left="1134" w:header="708" w:footer="708" w:gutter="0"/>
          <w:cols w:space="708"/>
          <w:docGrid w:linePitch="360"/>
        </w:sectPr>
      </w:pPr>
    </w:p>
    <w:p w:rsidR="00131B31" w:rsidRPr="006B2D54" w:rsidRDefault="006B2D54" w:rsidP="006B2D5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D5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INTRODUCTION</w:t>
      </w:r>
    </w:p>
    <w:bookmarkEnd w:id="1"/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La maladie de Rendu-Osler-Weber (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) est une maladie rare, de transmission autosomique dominante [1,2]. Elle se caractérise par des </w:t>
      </w:r>
      <w:bookmarkStart w:id="2" w:name="_Hlk22594057"/>
      <w:r w:rsidRPr="00131B31">
        <w:rPr>
          <w:rFonts w:ascii="Times New Roman" w:hAnsi="Times New Roman" w:cs="Times New Roman"/>
          <w:sz w:val="20"/>
          <w:szCs w:val="20"/>
        </w:rPr>
        <w:t xml:space="preserve">télangiectasies cutanées ou des 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angiodysplasies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 muqueuses et par des malformations 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artério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>-veineuses (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MAV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) pulmonaires, hépatiques et cérébrales responsables de complications hémorragiques parfois graves [2,3]. </w:t>
      </w:r>
      <w:bookmarkEnd w:id="2"/>
      <w:r w:rsidRPr="00131B31">
        <w:rPr>
          <w:rFonts w:ascii="Times New Roman" w:hAnsi="Times New Roman" w:cs="Times New Roman"/>
          <w:sz w:val="20"/>
          <w:szCs w:val="20"/>
        </w:rPr>
        <w:t>Nous rapportons un cas révélé par une hépatomégalie douloureuse.</w:t>
      </w:r>
    </w:p>
    <w:p w:rsidR="00886320" w:rsidRPr="006B2D54" w:rsidRDefault="006B2D54" w:rsidP="006B2D5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2D54">
        <w:rPr>
          <w:rFonts w:ascii="Times New Roman" w:hAnsi="Times New Roman" w:cs="Times New Roman"/>
          <w:b/>
          <w:sz w:val="20"/>
          <w:szCs w:val="20"/>
        </w:rPr>
        <w:t xml:space="preserve">OBSERVATION 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Un homme de 42 ans nous avait été adressé pour suspicion de cancer primitif du foie.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Son histoire </w:t>
      </w:r>
      <w:r w:rsidR="008330CE" w:rsidRPr="00131B31">
        <w:rPr>
          <w:rFonts w:ascii="Times New Roman" w:hAnsi="Times New Roman" w:cs="Times New Roman"/>
          <w:sz w:val="20"/>
          <w:szCs w:val="20"/>
        </w:rPr>
        <w:t>révélait</w:t>
      </w:r>
      <w:r w:rsidRPr="00131B31">
        <w:rPr>
          <w:rFonts w:ascii="Times New Roman" w:hAnsi="Times New Roman" w:cs="Times New Roman"/>
          <w:sz w:val="20"/>
          <w:szCs w:val="20"/>
        </w:rPr>
        <w:t xml:space="preserve"> l’apparition de douleurs fixes de l’hypochondre droit depuis 3 semaines, à type de point de côté, non modifiée</w:t>
      </w:r>
      <w:r w:rsidR="007400AA" w:rsidRPr="00131B31">
        <w:rPr>
          <w:rFonts w:ascii="Times New Roman" w:hAnsi="Times New Roman" w:cs="Times New Roman"/>
          <w:sz w:val="20"/>
          <w:szCs w:val="20"/>
        </w:rPr>
        <w:t>s</w:t>
      </w:r>
      <w:r w:rsidRPr="00131B31">
        <w:rPr>
          <w:rFonts w:ascii="Times New Roman" w:hAnsi="Times New Roman" w:cs="Times New Roman"/>
          <w:sz w:val="20"/>
          <w:szCs w:val="20"/>
        </w:rPr>
        <w:t xml:space="preserve"> par l’alimentation ni par la position, avec une échelle visuelle </w:t>
      </w:r>
      <w:r w:rsidR="00852FF8" w:rsidRPr="00131B31">
        <w:rPr>
          <w:rFonts w:ascii="Times New Roman" w:hAnsi="Times New Roman" w:cs="Times New Roman"/>
          <w:sz w:val="20"/>
          <w:szCs w:val="20"/>
        </w:rPr>
        <w:t>analogique</w:t>
      </w:r>
      <w:r w:rsidRPr="00131B31">
        <w:rPr>
          <w:rFonts w:ascii="Times New Roman" w:hAnsi="Times New Roman" w:cs="Times New Roman"/>
          <w:sz w:val="20"/>
          <w:szCs w:val="20"/>
        </w:rPr>
        <w:t xml:space="preserve"> 7 sur 10. Il n’y avait ni fièvre, ni amaigrissement. Une échographie réalisée </w:t>
      </w:r>
      <w:r w:rsidR="00852FF8" w:rsidRPr="00131B31">
        <w:rPr>
          <w:rFonts w:ascii="Times New Roman" w:hAnsi="Times New Roman" w:cs="Times New Roman"/>
          <w:sz w:val="20"/>
          <w:szCs w:val="20"/>
        </w:rPr>
        <w:t xml:space="preserve">avait conclu </w:t>
      </w:r>
      <w:r w:rsidRPr="00131B31">
        <w:rPr>
          <w:rFonts w:ascii="Times New Roman" w:hAnsi="Times New Roman" w:cs="Times New Roman"/>
          <w:sz w:val="20"/>
          <w:szCs w:val="20"/>
        </w:rPr>
        <w:t>à une hépatomégalie hétérogène avec présence d’une masse vascularisée suspecte de malignité.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Ses antécédents sont dominés par 3 épisodes d’épistaxis non traumatiques, qui auraient conduit au diagnostic d’hypertension artérielle. Il présente également des épisodes d’anémies microcytaires pour lesquelles il </w:t>
      </w:r>
      <w:r w:rsidR="006B2D54">
        <w:rPr>
          <w:rFonts w:ascii="Times New Roman" w:hAnsi="Times New Roman" w:cs="Times New Roman"/>
          <w:sz w:val="20"/>
          <w:szCs w:val="20"/>
        </w:rPr>
        <w:t xml:space="preserve">prenait en automédication </w:t>
      </w:r>
      <w:r w:rsidRPr="00131B31">
        <w:rPr>
          <w:rFonts w:ascii="Times New Roman" w:hAnsi="Times New Roman" w:cs="Times New Roman"/>
          <w:sz w:val="20"/>
          <w:szCs w:val="20"/>
        </w:rPr>
        <w:t xml:space="preserve">du fer oral. Il n’y a pas de </w:t>
      </w:r>
      <w:r w:rsidRPr="00131B31">
        <w:rPr>
          <w:rFonts w:ascii="Times New Roman" w:hAnsi="Times New Roman" w:cs="Times New Roman"/>
          <w:sz w:val="20"/>
          <w:szCs w:val="20"/>
        </w:rPr>
        <w:lastRenderedPageBreak/>
        <w:t>notion d’hépatopathie chronique connue.</w:t>
      </w:r>
      <w:r w:rsidR="006D399C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Pr="00131B31">
        <w:rPr>
          <w:rFonts w:ascii="Times New Roman" w:hAnsi="Times New Roman" w:cs="Times New Roman"/>
          <w:sz w:val="20"/>
          <w:szCs w:val="20"/>
        </w:rPr>
        <w:t>Il ne fume p</w:t>
      </w:r>
      <w:r w:rsidR="000C30B0">
        <w:rPr>
          <w:rFonts w:ascii="Times New Roman" w:hAnsi="Times New Roman" w:cs="Times New Roman"/>
          <w:sz w:val="20"/>
          <w:szCs w:val="20"/>
        </w:rPr>
        <w:t>as et ne consomme pas d’alcool.</w:t>
      </w:r>
    </w:p>
    <w:p w:rsidR="00886320" w:rsidRPr="00131B31" w:rsidRDefault="00852FF8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L’examen clinique retrouvait une hépatomégalie douloureuse, ferme à bord inférieur mousse avec douleur à l’ébranlement du foie et u</w:t>
      </w:r>
      <w:r w:rsidR="00886320" w:rsidRPr="00131B31">
        <w:rPr>
          <w:rFonts w:ascii="Times New Roman" w:hAnsi="Times New Roman" w:cs="Times New Roman"/>
          <w:sz w:val="20"/>
          <w:szCs w:val="20"/>
        </w:rPr>
        <w:t>n syndrome anémique</w:t>
      </w:r>
      <w:r w:rsidRPr="00131B31">
        <w:rPr>
          <w:rFonts w:ascii="Times New Roman" w:hAnsi="Times New Roman" w:cs="Times New Roman"/>
          <w:sz w:val="20"/>
          <w:szCs w:val="20"/>
        </w:rPr>
        <w:t xml:space="preserve">. </w:t>
      </w:r>
      <w:r w:rsidR="00886320" w:rsidRPr="00131B31">
        <w:rPr>
          <w:rFonts w:ascii="Times New Roman" w:hAnsi="Times New Roman" w:cs="Times New Roman"/>
          <w:sz w:val="20"/>
          <w:szCs w:val="20"/>
        </w:rPr>
        <w:t>L’examen cardio-vasculaire, pleuropulmonaire, neurologique étaient sans particularité. Il avait un poids stable à 88</w:t>
      </w:r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="00886320" w:rsidRPr="00131B31">
        <w:rPr>
          <w:rFonts w:ascii="Times New Roman" w:hAnsi="Times New Roman" w:cs="Times New Roman"/>
          <w:sz w:val="20"/>
          <w:szCs w:val="20"/>
        </w:rPr>
        <w:t>kg pour une taille de 1,78m.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Le scanner abdominale retrouvait une hépatomégalie </w:t>
      </w:r>
      <w:r w:rsidR="006D399C" w:rsidRPr="00131B31">
        <w:rPr>
          <w:rFonts w:ascii="Times New Roman" w:hAnsi="Times New Roman" w:cs="Times New Roman"/>
          <w:sz w:val="20"/>
          <w:szCs w:val="20"/>
        </w:rPr>
        <w:t>de</w:t>
      </w:r>
      <w:r w:rsidRPr="00131B31">
        <w:rPr>
          <w:rFonts w:ascii="Times New Roman" w:hAnsi="Times New Roman" w:cs="Times New Roman"/>
          <w:sz w:val="20"/>
          <w:szCs w:val="20"/>
        </w:rPr>
        <w:t xml:space="preserve"> 195</w:t>
      </w:r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Pr="00131B31">
        <w:rPr>
          <w:rFonts w:ascii="Times New Roman" w:hAnsi="Times New Roman" w:cs="Times New Roman"/>
          <w:sz w:val="20"/>
          <w:szCs w:val="20"/>
        </w:rPr>
        <w:t>mm de grand axe associée une augmentation du calibre de l’artère hépatique au temps artériel avec hyper vascularisation du foie gauche et du segment IV et aspect tortueux des branches artérielle</w:t>
      </w:r>
      <w:r w:rsidR="006D399C" w:rsidRPr="00131B31">
        <w:rPr>
          <w:rFonts w:ascii="Times New Roman" w:hAnsi="Times New Roman" w:cs="Times New Roman"/>
          <w:sz w:val="20"/>
          <w:szCs w:val="20"/>
        </w:rPr>
        <w:t>s</w:t>
      </w:r>
      <w:r w:rsidRPr="00131B31">
        <w:rPr>
          <w:rFonts w:ascii="Times New Roman" w:hAnsi="Times New Roman" w:cs="Times New Roman"/>
          <w:sz w:val="20"/>
          <w:szCs w:val="20"/>
        </w:rPr>
        <w:t>. Il y avait une prise de contraste hétérogène du parenchyme avec télangiectasies et masses vasculaires confluente</w:t>
      </w:r>
      <w:r w:rsidR="006D399C" w:rsidRPr="00131B31">
        <w:rPr>
          <w:rFonts w:ascii="Times New Roman" w:hAnsi="Times New Roman" w:cs="Times New Roman"/>
          <w:sz w:val="20"/>
          <w:szCs w:val="20"/>
        </w:rPr>
        <w:t>s</w:t>
      </w:r>
      <w:r w:rsidRPr="00131B31">
        <w:rPr>
          <w:rFonts w:ascii="Times New Roman" w:hAnsi="Times New Roman" w:cs="Times New Roman"/>
          <w:sz w:val="20"/>
          <w:szCs w:val="20"/>
        </w:rPr>
        <w:t xml:space="preserve"> du segment III. </w:t>
      </w:r>
      <w:r w:rsidR="00852FF8" w:rsidRPr="00131B31">
        <w:rPr>
          <w:rFonts w:ascii="Times New Roman" w:hAnsi="Times New Roman" w:cs="Times New Roman"/>
          <w:sz w:val="20"/>
          <w:szCs w:val="20"/>
        </w:rPr>
        <w:t xml:space="preserve">Il </w:t>
      </w:r>
      <w:r w:rsidR="008D2E05" w:rsidRPr="00131B31">
        <w:rPr>
          <w:rFonts w:ascii="Times New Roman" w:hAnsi="Times New Roman" w:cs="Times New Roman"/>
          <w:sz w:val="20"/>
          <w:szCs w:val="20"/>
        </w:rPr>
        <w:t>s’</w:t>
      </w:r>
      <w:r w:rsidR="00852FF8" w:rsidRPr="00131B31">
        <w:rPr>
          <w:rFonts w:ascii="Times New Roman" w:hAnsi="Times New Roman" w:cs="Times New Roman"/>
          <w:sz w:val="20"/>
          <w:szCs w:val="20"/>
        </w:rPr>
        <w:t xml:space="preserve">y </w:t>
      </w:r>
      <w:r w:rsidR="008D2E05" w:rsidRPr="00131B31">
        <w:rPr>
          <w:rFonts w:ascii="Times New Roman" w:hAnsi="Times New Roman" w:cs="Times New Roman"/>
          <w:sz w:val="20"/>
          <w:szCs w:val="20"/>
        </w:rPr>
        <w:t>associait</w:t>
      </w:r>
      <w:r w:rsidR="00852FF8" w:rsidRPr="00131B31">
        <w:rPr>
          <w:rFonts w:ascii="Times New Roman" w:hAnsi="Times New Roman" w:cs="Times New Roman"/>
          <w:sz w:val="20"/>
          <w:szCs w:val="20"/>
        </w:rPr>
        <w:t xml:space="preserve"> u</w:t>
      </w:r>
      <w:r w:rsidRPr="00131B31">
        <w:rPr>
          <w:rFonts w:ascii="Times New Roman" w:hAnsi="Times New Roman" w:cs="Times New Roman"/>
          <w:sz w:val="20"/>
          <w:szCs w:val="20"/>
        </w:rPr>
        <w:t>ne dilatation de la veine porte à 15</w:t>
      </w:r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Pr="00131B31">
        <w:rPr>
          <w:rFonts w:ascii="Times New Roman" w:hAnsi="Times New Roman" w:cs="Times New Roman"/>
          <w:sz w:val="20"/>
          <w:szCs w:val="20"/>
        </w:rPr>
        <w:t xml:space="preserve">mm avec troubles </w:t>
      </w:r>
      <w:r w:rsidR="000C30B0">
        <w:rPr>
          <w:rFonts w:ascii="Times New Roman" w:hAnsi="Times New Roman" w:cs="Times New Roman"/>
          <w:sz w:val="20"/>
          <w:szCs w:val="20"/>
        </w:rPr>
        <w:t xml:space="preserve">de </w:t>
      </w:r>
      <w:r w:rsidRPr="00131B31">
        <w:rPr>
          <w:rFonts w:ascii="Times New Roman" w:hAnsi="Times New Roman" w:cs="Times New Roman"/>
          <w:sz w:val="20"/>
          <w:szCs w:val="20"/>
        </w:rPr>
        <w:t xml:space="preserve">perfusion du foie gauche et du segment IV avec télangiectasie, masses vasculaires, shunt </w:t>
      </w:r>
      <w:proofErr w:type="spellStart"/>
      <w:r w:rsidR="008638BD" w:rsidRPr="00131B31">
        <w:rPr>
          <w:rFonts w:ascii="Times New Roman" w:hAnsi="Times New Roman" w:cs="Times New Roman"/>
          <w:sz w:val="20"/>
          <w:szCs w:val="20"/>
        </w:rPr>
        <w:t>artérioveineux</w:t>
      </w:r>
      <w:proofErr w:type="spellEnd"/>
      <w:r w:rsidR="00852FF8" w:rsidRPr="00131B31">
        <w:rPr>
          <w:rFonts w:ascii="Times New Roman" w:hAnsi="Times New Roman" w:cs="Times New Roman"/>
          <w:sz w:val="20"/>
          <w:szCs w:val="20"/>
        </w:rPr>
        <w:t>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L’endoscopie œsogastroduodénale retrouvait des lésions d’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angiodysplasie</w:t>
      </w:r>
      <w:r w:rsidR="00852FF8" w:rsidRPr="00131B31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 gastriques et duodénales.</w:t>
      </w:r>
      <w:r w:rsidR="00852FF8" w:rsidRPr="00131B31">
        <w:rPr>
          <w:rFonts w:ascii="Times New Roman" w:hAnsi="Times New Roman" w:cs="Times New Roman"/>
          <w:sz w:val="20"/>
          <w:szCs w:val="20"/>
        </w:rPr>
        <w:t xml:space="preserve"> L</w:t>
      </w:r>
      <w:r w:rsidR="000731C8" w:rsidRPr="00131B31">
        <w:rPr>
          <w:rFonts w:ascii="Times New Roman" w:hAnsi="Times New Roman" w:cs="Times New Roman"/>
          <w:sz w:val="20"/>
          <w:szCs w:val="20"/>
        </w:rPr>
        <w:t xml:space="preserve">a nasofibroscopie </w:t>
      </w:r>
      <w:r w:rsidR="00852FF8" w:rsidRPr="00131B31">
        <w:rPr>
          <w:rFonts w:ascii="Times New Roman" w:hAnsi="Times New Roman" w:cs="Times New Roman"/>
          <w:sz w:val="20"/>
          <w:szCs w:val="20"/>
        </w:rPr>
        <w:t>retrouvait également des lésions d’</w:t>
      </w:r>
      <w:proofErr w:type="spellStart"/>
      <w:r w:rsidR="00852FF8" w:rsidRPr="00131B31">
        <w:rPr>
          <w:rFonts w:ascii="Times New Roman" w:hAnsi="Times New Roman" w:cs="Times New Roman"/>
          <w:sz w:val="20"/>
          <w:szCs w:val="20"/>
        </w:rPr>
        <w:t>angiodysplasies</w:t>
      </w:r>
      <w:proofErr w:type="spellEnd"/>
      <w:r w:rsidR="00852FF8" w:rsidRPr="00131B31">
        <w:rPr>
          <w:rFonts w:ascii="Times New Roman" w:hAnsi="Times New Roman" w:cs="Times New Roman"/>
          <w:sz w:val="20"/>
          <w:szCs w:val="20"/>
        </w:rPr>
        <w:t xml:space="preserve"> nasales.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L’hémogramme retrouvait une anémie microcytaire isolée à 5,8g/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dL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, les transaminases, la bilirubine, les </w:t>
      </w:r>
      <w:r w:rsidR="002869E2" w:rsidRPr="00131B31">
        <w:rPr>
          <w:rFonts w:ascii="Times New Roman" w:hAnsi="Times New Roman" w:cs="Times New Roman"/>
          <w:sz w:val="20"/>
          <w:szCs w:val="20"/>
        </w:rPr>
        <w:t>phosphatases alcaline</w:t>
      </w:r>
      <w:r w:rsidRPr="00131B31">
        <w:rPr>
          <w:rFonts w:ascii="Times New Roman" w:hAnsi="Times New Roman" w:cs="Times New Roman"/>
          <w:sz w:val="20"/>
          <w:szCs w:val="20"/>
        </w:rPr>
        <w:t>, Gamma</w:t>
      </w:r>
      <w:r w:rsidR="002869E2" w:rsidRPr="00131B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69E2" w:rsidRPr="00131B31">
        <w:rPr>
          <w:rFonts w:ascii="Times New Roman" w:hAnsi="Times New Roman" w:cs="Times New Roman"/>
          <w:sz w:val="20"/>
          <w:szCs w:val="20"/>
        </w:rPr>
        <w:t>glutamyl</w:t>
      </w:r>
      <w:proofErr w:type="spellEnd"/>
      <w:r w:rsidR="002869E2" w:rsidRPr="00131B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69E2" w:rsidRPr="00131B31">
        <w:rPr>
          <w:rFonts w:ascii="Times New Roman" w:hAnsi="Times New Roman" w:cs="Times New Roman"/>
          <w:sz w:val="20"/>
          <w:szCs w:val="20"/>
        </w:rPr>
        <w:t>transpeptidase</w:t>
      </w:r>
      <w:proofErr w:type="spellEnd"/>
      <w:r w:rsidR="002869E2" w:rsidRPr="00131B31">
        <w:rPr>
          <w:rFonts w:ascii="Times New Roman" w:hAnsi="Times New Roman" w:cs="Times New Roman"/>
          <w:sz w:val="20"/>
          <w:szCs w:val="20"/>
        </w:rPr>
        <w:t>, l’</w:t>
      </w:r>
      <w:r w:rsidRPr="00131B31">
        <w:rPr>
          <w:rFonts w:ascii="Times New Roman" w:hAnsi="Times New Roman" w:cs="Times New Roman"/>
          <w:sz w:val="20"/>
          <w:szCs w:val="20"/>
        </w:rPr>
        <w:t xml:space="preserve">urée, </w:t>
      </w:r>
      <w:r w:rsidR="002869E2" w:rsidRPr="00131B31">
        <w:rPr>
          <w:rFonts w:ascii="Times New Roman" w:hAnsi="Times New Roman" w:cs="Times New Roman"/>
          <w:sz w:val="20"/>
          <w:szCs w:val="20"/>
        </w:rPr>
        <w:t xml:space="preserve">la </w:t>
      </w:r>
      <w:r w:rsidRPr="00131B31">
        <w:rPr>
          <w:rFonts w:ascii="Times New Roman" w:hAnsi="Times New Roman" w:cs="Times New Roman"/>
          <w:sz w:val="20"/>
          <w:szCs w:val="20"/>
        </w:rPr>
        <w:t xml:space="preserve">créatinine, </w:t>
      </w:r>
      <w:r w:rsidR="002869E2" w:rsidRPr="00131B31">
        <w:rPr>
          <w:rFonts w:ascii="Times New Roman" w:hAnsi="Times New Roman" w:cs="Times New Roman"/>
          <w:sz w:val="20"/>
          <w:szCs w:val="20"/>
        </w:rPr>
        <w:t>l’</w:t>
      </w:r>
      <w:r w:rsidRPr="00131B31">
        <w:rPr>
          <w:rFonts w:ascii="Times New Roman" w:hAnsi="Times New Roman" w:cs="Times New Roman"/>
          <w:sz w:val="20"/>
          <w:szCs w:val="20"/>
        </w:rPr>
        <w:t xml:space="preserve">alpha foeto-protéine </w:t>
      </w:r>
      <w:proofErr w:type="gramStart"/>
      <w:r w:rsidRPr="00131B31">
        <w:rPr>
          <w:rFonts w:ascii="Times New Roman" w:hAnsi="Times New Roman" w:cs="Times New Roman"/>
          <w:sz w:val="20"/>
          <w:szCs w:val="20"/>
        </w:rPr>
        <w:t>ét</w:t>
      </w:r>
      <w:r w:rsidR="000C30B0">
        <w:rPr>
          <w:rFonts w:ascii="Times New Roman" w:hAnsi="Times New Roman" w:cs="Times New Roman"/>
          <w:sz w:val="20"/>
          <w:szCs w:val="20"/>
        </w:rPr>
        <w:t>aient</w:t>
      </w:r>
      <w:proofErr w:type="gramEnd"/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="000C30B0">
        <w:rPr>
          <w:rFonts w:ascii="Times New Roman" w:hAnsi="Times New Roman" w:cs="Times New Roman"/>
          <w:sz w:val="20"/>
          <w:szCs w:val="20"/>
        </w:rPr>
        <w:lastRenderedPageBreak/>
        <w:t xml:space="preserve">normales. Les sérologies </w:t>
      </w:r>
      <w:r w:rsidRPr="00131B31">
        <w:rPr>
          <w:rFonts w:ascii="Times New Roman" w:hAnsi="Times New Roman" w:cs="Times New Roman"/>
          <w:sz w:val="20"/>
          <w:szCs w:val="20"/>
        </w:rPr>
        <w:t>VIH, Hépatite C et l’antigène HBs étaient négatifs.</w:t>
      </w:r>
    </w:p>
    <w:p w:rsidR="00886320" w:rsidRPr="00131B31" w:rsidRDefault="00886320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Le diagnostic de maladie de 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 a été retenu devant la présence de 3 des 4 critères diagnostiques cliniques de Curaçao.</w:t>
      </w:r>
      <w:r w:rsidR="004D76F5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L’enquête familiale </w:t>
      </w:r>
      <w:r w:rsidR="009770E2" w:rsidRPr="00131B31">
        <w:rPr>
          <w:rFonts w:ascii="Times New Roman" w:hAnsi="Times New Roman" w:cs="Times New Roman"/>
          <w:sz w:val="20"/>
          <w:szCs w:val="20"/>
        </w:rPr>
        <w:t>auprès de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 sa sœur </w:t>
      </w:r>
      <w:r w:rsidR="009770E2" w:rsidRPr="00131B31">
        <w:rPr>
          <w:rFonts w:ascii="Times New Roman" w:hAnsi="Times New Roman" w:cs="Times New Roman"/>
          <w:sz w:val="20"/>
          <w:szCs w:val="20"/>
        </w:rPr>
        <w:t>s’est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9770E2" w:rsidRPr="00131B31">
        <w:rPr>
          <w:rFonts w:ascii="Times New Roman" w:hAnsi="Times New Roman" w:cs="Times New Roman"/>
          <w:sz w:val="20"/>
          <w:szCs w:val="20"/>
        </w:rPr>
        <w:t>révélée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 être sans </w:t>
      </w:r>
      <w:r w:rsidR="009770E2" w:rsidRPr="00131B31">
        <w:rPr>
          <w:rFonts w:ascii="Times New Roman" w:hAnsi="Times New Roman" w:cs="Times New Roman"/>
          <w:sz w:val="20"/>
          <w:szCs w:val="20"/>
        </w:rPr>
        <w:t>particularité. Un</w:t>
      </w:r>
      <w:r w:rsidR="004D76F5" w:rsidRPr="00131B31">
        <w:rPr>
          <w:rFonts w:ascii="Times New Roman" w:hAnsi="Times New Roman" w:cs="Times New Roman"/>
          <w:sz w:val="20"/>
          <w:szCs w:val="20"/>
        </w:rPr>
        <w:t xml:space="preserve"> traitement symptomatique lui a été proposé en attendant une orientation vers un centre expert à l’étranger.</w:t>
      </w:r>
    </w:p>
    <w:p w:rsidR="00852FF8" w:rsidRPr="006B2D54" w:rsidRDefault="006B2D54" w:rsidP="006B2D5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2D54">
        <w:rPr>
          <w:rFonts w:ascii="Times New Roman" w:hAnsi="Times New Roman" w:cs="Times New Roman"/>
          <w:b/>
          <w:sz w:val="20"/>
          <w:szCs w:val="20"/>
        </w:rPr>
        <w:t xml:space="preserve">DISCUSSION </w:t>
      </w:r>
    </w:p>
    <w:p w:rsidR="00E95948" w:rsidRPr="00131B31" w:rsidRDefault="00D26075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Au meilleur de notre connaissance, nous rapportons le premier cas de maladie </w:t>
      </w:r>
      <w:proofErr w:type="spellStart"/>
      <w:r w:rsidR="00B065F2"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="00856132" w:rsidRPr="00131B31">
        <w:rPr>
          <w:rFonts w:ascii="Times New Roman" w:hAnsi="Times New Roman" w:cs="Times New Roman"/>
          <w:sz w:val="20"/>
          <w:szCs w:val="20"/>
        </w:rPr>
        <w:t xml:space="preserve"> au Gabon</w:t>
      </w:r>
      <w:r w:rsidRPr="00131B31">
        <w:rPr>
          <w:rFonts w:ascii="Times New Roman" w:hAnsi="Times New Roman" w:cs="Times New Roman"/>
          <w:sz w:val="20"/>
          <w:szCs w:val="20"/>
        </w:rPr>
        <w:t xml:space="preserve">. </w:t>
      </w:r>
      <w:r w:rsidR="00343692" w:rsidRPr="00131B31">
        <w:rPr>
          <w:rFonts w:ascii="Times New Roman" w:hAnsi="Times New Roman" w:cs="Times New Roman"/>
          <w:sz w:val="20"/>
          <w:szCs w:val="20"/>
        </w:rPr>
        <w:t>Il s’agit d’une affection</w:t>
      </w:r>
      <w:r w:rsidRPr="00131B31">
        <w:rPr>
          <w:rFonts w:ascii="Times New Roman" w:hAnsi="Times New Roman" w:cs="Times New Roman"/>
          <w:sz w:val="20"/>
          <w:szCs w:val="20"/>
        </w:rPr>
        <w:t xml:space="preserve"> vasculaire</w:t>
      </w:r>
      <w:r w:rsidR="00A20B11" w:rsidRPr="00131B31">
        <w:rPr>
          <w:rFonts w:ascii="Times New Roman" w:hAnsi="Times New Roman" w:cs="Times New Roman"/>
          <w:sz w:val="20"/>
          <w:szCs w:val="20"/>
        </w:rPr>
        <w:t xml:space="preserve"> rare, de transmission autosomique dominante,</w:t>
      </w:r>
      <w:r w:rsidRPr="00131B31">
        <w:rPr>
          <w:rFonts w:ascii="Times New Roman" w:hAnsi="Times New Roman" w:cs="Times New Roman"/>
          <w:sz w:val="20"/>
          <w:szCs w:val="20"/>
        </w:rPr>
        <w:t xml:space="preserve"> liée à une anomalie de la signalisation cellulaire du</w:t>
      </w:r>
      <w:r w:rsidRPr="00131B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31B31">
        <w:rPr>
          <w:rFonts w:ascii="Times New Roman" w:hAnsi="Times New Roman" w:cs="Times New Roman"/>
          <w:i/>
          <w:iCs/>
          <w:sz w:val="20"/>
          <w:szCs w:val="20"/>
        </w:rPr>
        <w:t>transforming</w:t>
      </w:r>
      <w:proofErr w:type="spellEnd"/>
      <w:r w:rsidRPr="00131B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31B31">
        <w:rPr>
          <w:rFonts w:ascii="Times New Roman" w:hAnsi="Times New Roman" w:cs="Times New Roman"/>
          <w:i/>
          <w:iCs/>
          <w:sz w:val="20"/>
          <w:szCs w:val="20"/>
        </w:rPr>
        <w:t>growth</w:t>
      </w:r>
      <w:proofErr w:type="spellEnd"/>
      <w:r w:rsidRPr="00131B31">
        <w:rPr>
          <w:rFonts w:ascii="Times New Roman" w:hAnsi="Times New Roman" w:cs="Times New Roman"/>
          <w:i/>
          <w:iCs/>
          <w:sz w:val="20"/>
          <w:szCs w:val="20"/>
        </w:rPr>
        <w:t xml:space="preserve"> factor beta</w:t>
      </w:r>
      <w:r w:rsidRPr="00131B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TGFβ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>)</w:t>
      </w:r>
      <w:r w:rsidR="004015B4" w:rsidRPr="00131B31">
        <w:rPr>
          <w:rFonts w:ascii="Times New Roman" w:hAnsi="Times New Roman" w:cs="Times New Roman"/>
          <w:sz w:val="20"/>
          <w:szCs w:val="20"/>
        </w:rPr>
        <w:t xml:space="preserve"> [1</w:t>
      </w:r>
      <w:r w:rsidR="008638BD" w:rsidRPr="00131B31">
        <w:rPr>
          <w:rFonts w:ascii="Times New Roman" w:hAnsi="Times New Roman" w:cs="Times New Roman"/>
          <w:sz w:val="20"/>
          <w:szCs w:val="20"/>
        </w:rPr>
        <w:t>-</w:t>
      </w:r>
      <w:r w:rsidR="004015B4" w:rsidRPr="00131B31">
        <w:rPr>
          <w:rFonts w:ascii="Times New Roman" w:hAnsi="Times New Roman" w:cs="Times New Roman"/>
          <w:sz w:val="20"/>
          <w:szCs w:val="20"/>
        </w:rPr>
        <w:t>3]</w:t>
      </w:r>
      <w:r w:rsidR="00856132" w:rsidRPr="00131B31">
        <w:rPr>
          <w:rFonts w:ascii="Times New Roman" w:hAnsi="Times New Roman" w:cs="Times New Roman"/>
          <w:sz w:val="20"/>
          <w:szCs w:val="20"/>
        </w:rPr>
        <w:t xml:space="preserve">. Elle est caractérisée par la présence de télangiectasies </w:t>
      </w:r>
      <w:proofErr w:type="spellStart"/>
      <w:r w:rsidR="00856132" w:rsidRPr="00131B31">
        <w:rPr>
          <w:rFonts w:ascii="Times New Roman" w:hAnsi="Times New Roman" w:cs="Times New Roman"/>
          <w:sz w:val="20"/>
          <w:szCs w:val="20"/>
        </w:rPr>
        <w:t>cutanéo</w:t>
      </w:r>
      <w:proofErr w:type="spellEnd"/>
      <w:r w:rsidR="00856132" w:rsidRPr="00131B31">
        <w:rPr>
          <w:rFonts w:ascii="Times New Roman" w:hAnsi="Times New Roman" w:cs="Times New Roman"/>
          <w:sz w:val="20"/>
          <w:szCs w:val="20"/>
        </w:rPr>
        <w:t xml:space="preserve">- muqueuses diffuses et par des malformations artério-veineuses </w:t>
      </w:r>
      <w:r w:rsidR="00A20B11" w:rsidRPr="00131B31">
        <w:rPr>
          <w:rFonts w:ascii="Times New Roman" w:hAnsi="Times New Roman" w:cs="Times New Roman"/>
          <w:sz w:val="20"/>
          <w:szCs w:val="20"/>
        </w:rPr>
        <w:t xml:space="preserve">viscérales </w:t>
      </w:r>
      <w:r w:rsidR="00856132" w:rsidRPr="00131B31">
        <w:rPr>
          <w:rFonts w:ascii="Times New Roman" w:hAnsi="Times New Roman" w:cs="Times New Roman"/>
          <w:sz w:val="20"/>
          <w:szCs w:val="20"/>
        </w:rPr>
        <w:t xml:space="preserve">responsables de complications hémorragiques parfois graves </w:t>
      </w:r>
      <w:bookmarkStart w:id="3" w:name="_Hlk22594700"/>
      <w:r w:rsidR="00343692" w:rsidRPr="00131B31">
        <w:rPr>
          <w:rFonts w:ascii="Times New Roman" w:hAnsi="Times New Roman" w:cs="Times New Roman"/>
          <w:sz w:val="20"/>
          <w:szCs w:val="20"/>
        </w:rPr>
        <w:t>[</w:t>
      </w:r>
      <w:r w:rsidRPr="00131B31">
        <w:rPr>
          <w:rFonts w:ascii="Times New Roman" w:hAnsi="Times New Roman" w:cs="Times New Roman"/>
          <w:sz w:val="20"/>
          <w:szCs w:val="20"/>
        </w:rPr>
        <w:t>1</w:t>
      </w:r>
      <w:r w:rsidR="008638BD" w:rsidRPr="00131B31">
        <w:rPr>
          <w:rFonts w:ascii="Times New Roman" w:hAnsi="Times New Roman" w:cs="Times New Roman"/>
          <w:sz w:val="20"/>
          <w:szCs w:val="20"/>
        </w:rPr>
        <w:t>-</w:t>
      </w:r>
      <w:r w:rsidRPr="00131B31">
        <w:rPr>
          <w:rFonts w:ascii="Times New Roman" w:hAnsi="Times New Roman" w:cs="Times New Roman"/>
          <w:sz w:val="20"/>
          <w:szCs w:val="20"/>
        </w:rPr>
        <w:t>3]</w:t>
      </w:r>
      <w:bookmarkEnd w:id="3"/>
      <w:r w:rsidRPr="00131B31">
        <w:rPr>
          <w:rFonts w:ascii="Times New Roman" w:hAnsi="Times New Roman" w:cs="Times New Roman"/>
          <w:sz w:val="20"/>
          <w:szCs w:val="20"/>
        </w:rPr>
        <w:t>.</w:t>
      </w:r>
      <w:r w:rsidR="004015B4" w:rsidRPr="00131B31">
        <w:rPr>
          <w:rFonts w:ascii="Times New Roman" w:hAnsi="Times New Roman" w:cs="Times New Roman"/>
          <w:sz w:val="20"/>
          <w:szCs w:val="20"/>
        </w:rPr>
        <w:t xml:space="preserve"> L’atteinte hépatique est la conséquence de malformations vasculaires sous forme de fistules entre les systèmes artériel</w:t>
      </w:r>
      <w:r w:rsidR="004D76F5" w:rsidRPr="00131B31">
        <w:rPr>
          <w:rFonts w:ascii="Times New Roman" w:hAnsi="Times New Roman" w:cs="Times New Roman"/>
          <w:sz w:val="20"/>
          <w:szCs w:val="20"/>
        </w:rPr>
        <w:t>s</w:t>
      </w:r>
      <w:r w:rsidR="004015B4" w:rsidRPr="00131B31">
        <w:rPr>
          <w:rFonts w:ascii="Times New Roman" w:hAnsi="Times New Roman" w:cs="Times New Roman"/>
          <w:sz w:val="20"/>
          <w:szCs w:val="20"/>
        </w:rPr>
        <w:t xml:space="preserve"> et veineux hépatique</w:t>
      </w:r>
      <w:r w:rsidR="004D76F5" w:rsidRPr="00131B31">
        <w:rPr>
          <w:rFonts w:ascii="Times New Roman" w:hAnsi="Times New Roman" w:cs="Times New Roman"/>
          <w:sz w:val="20"/>
          <w:szCs w:val="20"/>
        </w:rPr>
        <w:t>s</w:t>
      </w:r>
      <w:r w:rsidR="004015B4" w:rsidRPr="00131B31">
        <w:rPr>
          <w:rFonts w:ascii="Times New Roman" w:hAnsi="Times New Roman" w:cs="Times New Roman"/>
          <w:sz w:val="20"/>
          <w:szCs w:val="20"/>
        </w:rPr>
        <w:t>, associées à une hépatomégalie</w:t>
      </w:r>
      <w:r w:rsidR="002F3604" w:rsidRPr="00131B31">
        <w:rPr>
          <w:rFonts w:ascii="Times New Roman" w:hAnsi="Times New Roman" w:cs="Times New Roman"/>
          <w:sz w:val="20"/>
          <w:szCs w:val="20"/>
        </w:rPr>
        <w:t xml:space="preserve"> [1-4]</w:t>
      </w:r>
      <w:r w:rsidR="004015B4" w:rsidRPr="00131B31">
        <w:rPr>
          <w:rFonts w:ascii="Times New Roman" w:hAnsi="Times New Roman" w:cs="Times New Roman"/>
          <w:sz w:val="20"/>
          <w:szCs w:val="20"/>
        </w:rPr>
        <w:t xml:space="preserve">. </w:t>
      </w:r>
      <w:r w:rsidR="002F3604" w:rsidRPr="00131B31">
        <w:rPr>
          <w:rFonts w:ascii="Times New Roman" w:hAnsi="Times New Roman" w:cs="Times New Roman"/>
          <w:sz w:val="20"/>
          <w:szCs w:val="20"/>
        </w:rPr>
        <w:t xml:space="preserve">Ces shunts </w:t>
      </w:r>
      <w:proofErr w:type="spellStart"/>
      <w:r w:rsidR="002F3604" w:rsidRPr="00131B31">
        <w:rPr>
          <w:rFonts w:ascii="Times New Roman" w:hAnsi="Times New Roman" w:cs="Times New Roman"/>
          <w:sz w:val="20"/>
          <w:szCs w:val="20"/>
        </w:rPr>
        <w:t>artérioveineux</w:t>
      </w:r>
      <w:proofErr w:type="spellEnd"/>
      <w:r w:rsidR="002F3604" w:rsidRPr="00131B31">
        <w:rPr>
          <w:rFonts w:ascii="Times New Roman" w:hAnsi="Times New Roman" w:cs="Times New Roman"/>
          <w:sz w:val="20"/>
          <w:szCs w:val="20"/>
        </w:rPr>
        <w:t xml:space="preserve"> peuvent induire </w:t>
      </w:r>
      <w:r w:rsidR="004015B4" w:rsidRPr="00131B31">
        <w:rPr>
          <w:rFonts w:ascii="Times New Roman" w:hAnsi="Times New Roman" w:cs="Times New Roman"/>
          <w:sz w:val="20"/>
          <w:szCs w:val="20"/>
        </w:rPr>
        <w:t>une hypertension portale</w:t>
      </w:r>
      <w:r w:rsidR="002F3604" w:rsidRPr="00131B31">
        <w:rPr>
          <w:rFonts w:ascii="Times New Roman" w:hAnsi="Times New Roman" w:cs="Times New Roman"/>
          <w:sz w:val="20"/>
          <w:szCs w:val="20"/>
        </w:rPr>
        <w:t xml:space="preserve">, des troubles </w:t>
      </w:r>
      <w:proofErr w:type="spellStart"/>
      <w:r w:rsidR="002F3604" w:rsidRPr="00131B31">
        <w:rPr>
          <w:rFonts w:ascii="Times New Roman" w:hAnsi="Times New Roman" w:cs="Times New Roman"/>
          <w:sz w:val="20"/>
          <w:szCs w:val="20"/>
        </w:rPr>
        <w:t>perfusionnels</w:t>
      </w:r>
      <w:proofErr w:type="spellEnd"/>
      <w:r w:rsidR="002F3604" w:rsidRPr="00131B31">
        <w:rPr>
          <w:rFonts w:ascii="Times New Roman" w:hAnsi="Times New Roman" w:cs="Times New Roman"/>
          <w:sz w:val="20"/>
          <w:szCs w:val="20"/>
        </w:rPr>
        <w:t xml:space="preserve">, une </w:t>
      </w:r>
      <w:proofErr w:type="spellStart"/>
      <w:r w:rsidR="002F3604" w:rsidRPr="00131B31">
        <w:rPr>
          <w:rFonts w:ascii="Times New Roman" w:hAnsi="Times New Roman" w:cs="Times New Roman"/>
          <w:sz w:val="20"/>
          <w:szCs w:val="20"/>
        </w:rPr>
        <w:t>cholangiopathie</w:t>
      </w:r>
      <w:proofErr w:type="spellEnd"/>
      <w:r w:rsidR="002F3604" w:rsidRPr="00131B31">
        <w:rPr>
          <w:rFonts w:ascii="Times New Roman" w:hAnsi="Times New Roman" w:cs="Times New Roman"/>
          <w:sz w:val="20"/>
          <w:szCs w:val="20"/>
        </w:rPr>
        <w:t xml:space="preserve"> ischémique</w:t>
      </w:r>
      <w:r w:rsidR="004015B4" w:rsidRPr="00131B31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22595739"/>
      <w:r w:rsidR="004015B4" w:rsidRPr="00131B31">
        <w:rPr>
          <w:rFonts w:ascii="Times New Roman" w:hAnsi="Times New Roman" w:cs="Times New Roman"/>
          <w:sz w:val="20"/>
          <w:szCs w:val="20"/>
        </w:rPr>
        <w:t>[1-4].</w:t>
      </w:r>
      <w:r w:rsidRPr="00131B31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</w:p>
    <w:p w:rsidR="00886320" w:rsidRPr="00131B31" w:rsidRDefault="00B065F2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Le diagnostic repose sur des critères cliniques </w:t>
      </w:r>
      <w:r w:rsidR="00414F9A" w:rsidRPr="00131B31">
        <w:rPr>
          <w:rFonts w:ascii="Times New Roman" w:hAnsi="Times New Roman" w:cs="Times New Roman"/>
          <w:sz w:val="20"/>
          <w:szCs w:val="20"/>
        </w:rPr>
        <w:t>de Curaçao qui associent une épistaxis (spontanée, récidivante), des télangiectasies de localisations multiples (cutanées ou muqueuses), des malformations artério-veineuses viscérales (pulmonaires, hépatiques, cérébrales) et une atteinte familiale. Le diagnostic est certain devant la présence de 3 des 4 critères</w:t>
      </w:r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="00292A29" w:rsidRPr="00131B31">
        <w:rPr>
          <w:rFonts w:ascii="Times New Roman" w:hAnsi="Times New Roman" w:cs="Times New Roman"/>
          <w:sz w:val="20"/>
          <w:szCs w:val="20"/>
        </w:rPr>
        <w:t>[4-6]</w:t>
      </w:r>
      <w:r w:rsidR="00414F9A" w:rsidRPr="00131B31">
        <w:rPr>
          <w:rFonts w:ascii="Times New Roman" w:hAnsi="Times New Roman" w:cs="Times New Roman"/>
          <w:sz w:val="20"/>
          <w:szCs w:val="20"/>
        </w:rPr>
        <w:t xml:space="preserve">. Notre patient présentait 3 épisodes </w:t>
      </w:r>
      <w:r w:rsidR="00237711" w:rsidRPr="00131B31">
        <w:rPr>
          <w:rFonts w:ascii="Times New Roman" w:hAnsi="Times New Roman" w:cs="Times New Roman"/>
          <w:sz w:val="20"/>
          <w:szCs w:val="20"/>
        </w:rPr>
        <w:t>antérieur</w:t>
      </w:r>
      <w:r w:rsidR="004D76F5" w:rsidRPr="00131B31">
        <w:rPr>
          <w:rFonts w:ascii="Times New Roman" w:hAnsi="Times New Roman" w:cs="Times New Roman"/>
          <w:sz w:val="20"/>
          <w:szCs w:val="20"/>
        </w:rPr>
        <w:t>s</w:t>
      </w:r>
      <w:r w:rsidR="00237711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414F9A" w:rsidRPr="00131B31">
        <w:rPr>
          <w:rFonts w:ascii="Times New Roman" w:hAnsi="Times New Roman" w:cs="Times New Roman"/>
          <w:sz w:val="20"/>
          <w:szCs w:val="20"/>
        </w:rPr>
        <w:t>d’</w:t>
      </w:r>
      <w:r w:rsidR="008C05AE" w:rsidRPr="00131B31">
        <w:rPr>
          <w:rFonts w:ascii="Times New Roman" w:hAnsi="Times New Roman" w:cs="Times New Roman"/>
          <w:sz w:val="20"/>
          <w:szCs w:val="20"/>
        </w:rPr>
        <w:t>épistaxis, des lésions d’</w:t>
      </w:r>
      <w:proofErr w:type="spellStart"/>
      <w:r w:rsidR="008C05AE" w:rsidRPr="00131B31">
        <w:rPr>
          <w:rFonts w:ascii="Times New Roman" w:hAnsi="Times New Roman" w:cs="Times New Roman"/>
          <w:sz w:val="20"/>
          <w:szCs w:val="20"/>
        </w:rPr>
        <w:t>angiodysplasie</w:t>
      </w:r>
      <w:r w:rsidR="00E95948" w:rsidRPr="00131B31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95948" w:rsidRPr="00131B31">
        <w:rPr>
          <w:rFonts w:ascii="Times New Roman" w:hAnsi="Times New Roman" w:cs="Times New Roman"/>
          <w:sz w:val="20"/>
          <w:szCs w:val="20"/>
        </w:rPr>
        <w:t xml:space="preserve"> nasales, gastriques et duodénales et des </w:t>
      </w:r>
      <w:r w:rsidR="008C05AE" w:rsidRPr="00131B31">
        <w:rPr>
          <w:rFonts w:ascii="Times New Roman" w:hAnsi="Times New Roman" w:cs="Times New Roman"/>
          <w:sz w:val="20"/>
          <w:szCs w:val="20"/>
        </w:rPr>
        <w:t xml:space="preserve">multiples </w:t>
      </w:r>
      <w:proofErr w:type="spellStart"/>
      <w:r w:rsidR="00237711" w:rsidRPr="00131B31">
        <w:rPr>
          <w:rFonts w:ascii="Times New Roman" w:hAnsi="Times New Roman" w:cs="Times New Roman"/>
          <w:sz w:val="20"/>
          <w:szCs w:val="20"/>
        </w:rPr>
        <w:t>MAV</w:t>
      </w:r>
      <w:proofErr w:type="spellEnd"/>
      <w:r w:rsidR="008C05AE" w:rsidRPr="00131B31">
        <w:rPr>
          <w:rFonts w:ascii="Times New Roman" w:hAnsi="Times New Roman" w:cs="Times New Roman"/>
          <w:sz w:val="20"/>
          <w:szCs w:val="20"/>
        </w:rPr>
        <w:t xml:space="preserve"> hépatiques. </w:t>
      </w:r>
      <w:r w:rsidR="004D76F5" w:rsidRPr="00131B31">
        <w:rPr>
          <w:rFonts w:ascii="Times New Roman" w:hAnsi="Times New Roman" w:cs="Times New Roman"/>
          <w:sz w:val="20"/>
          <w:szCs w:val="20"/>
        </w:rPr>
        <w:t>Bien que n</w:t>
      </w:r>
      <w:r w:rsidR="008C05AE" w:rsidRPr="00131B31">
        <w:rPr>
          <w:rFonts w:ascii="Times New Roman" w:hAnsi="Times New Roman" w:cs="Times New Roman"/>
          <w:sz w:val="20"/>
          <w:szCs w:val="20"/>
        </w:rPr>
        <w:t>ous n’a</w:t>
      </w:r>
      <w:r w:rsidR="004D76F5" w:rsidRPr="00131B31">
        <w:rPr>
          <w:rFonts w:ascii="Times New Roman" w:hAnsi="Times New Roman" w:cs="Times New Roman"/>
          <w:sz w:val="20"/>
          <w:szCs w:val="20"/>
        </w:rPr>
        <w:t>y</w:t>
      </w:r>
      <w:r w:rsidR="008C05AE" w:rsidRPr="00131B31">
        <w:rPr>
          <w:rFonts w:ascii="Times New Roman" w:hAnsi="Times New Roman" w:cs="Times New Roman"/>
          <w:sz w:val="20"/>
          <w:szCs w:val="20"/>
        </w:rPr>
        <w:t>ons pas retrouvé de cas similaire</w:t>
      </w:r>
      <w:r w:rsidR="004D76F5" w:rsidRPr="00131B31">
        <w:rPr>
          <w:rFonts w:ascii="Times New Roman" w:hAnsi="Times New Roman" w:cs="Times New Roman"/>
          <w:sz w:val="20"/>
          <w:szCs w:val="20"/>
        </w:rPr>
        <w:t xml:space="preserve"> dans sa famille, la présence de </w:t>
      </w:r>
      <w:r w:rsidR="008C05AE" w:rsidRPr="00131B31">
        <w:rPr>
          <w:rFonts w:ascii="Times New Roman" w:hAnsi="Times New Roman" w:cs="Times New Roman"/>
          <w:sz w:val="20"/>
          <w:szCs w:val="20"/>
        </w:rPr>
        <w:t xml:space="preserve">3 des 4 </w:t>
      </w:r>
      <w:r w:rsidR="004A3387" w:rsidRPr="00131B31">
        <w:rPr>
          <w:rFonts w:ascii="Times New Roman" w:hAnsi="Times New Roman" w:cs="Times New Roman"/>
          <w:sz w:val="20"/>
          <w:szCs w:val="20"/>
        </w:rPr>
        <w:t>critères</w:t>
      </w:r>
      <w:r w:rsidR="008C05AE" w:rsidRPr="00131B31">
        <w:rPr>
          <w:rFonts w:ascii="Times New Roman" w:hAnsi="Times New Roman" w:cs="Times New Roman"/>
          <w:sz w:val="20"/>
          <w:szCs w:val="20"/>
        </w:rPr>
        <w:t xml:space="preserve"> diagnostiques de Curaçao</w:t>
      </w:r>
      <w:r w:rsidR="004D76F5" w:rsidRPr="00131B31">
        <w:rPr>
          <w:rFonts w:ascii="Times New Roman" w:hAnsi="Times New Roman" w:cs="Times New Roman"/>
          <w:sz w:val="20"/>
          <w:szCs w:val="20"/>
        </w:rPr>
        <w:t xml:space="preserve"> permettait 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de retenir le diagnostic certain de maladie de </w:t>
      </w:r>
      <w:proofErr w:type="spellStart"/>
      <w:r w:rsidR="00CF3728"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="00292A29" w:rsidRPr="00131B31">
        <w:rPr>
          <w:rFonts w:ascii="Times New Roman" w:hAnsi="Times New Roman" w:cs="Times New Roman"/>
          <w:sz w:val="20"/>
          <w:szCs w:val="20"/>
        </w:rPr>
        <w:t xml:space="preserve"> [5]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. </w:t>
      </w:r>
      <w:r w:rsidR="008C05AE" w:rsidRPr="00131B31">
        <w:rPr>
          <w:rFonts w:ascii="Times New Roman" w:hAnsi="Times New Roman" w:cs="Times New Roman"/>
          <w:sz w:val="20"/>
          <w:szCs w:val="20"/>
        </w:rPr>
        <w:t>La recherche</w:t>
      </w:r>
      <w:r w:rsidR="00D26075" w:rsidRPr="00131B31">
        <w:rPr>
          <w:rFonts w:ascii="Times New Roman" w:hAnsi="Times New Roman" w:cs="Times New Roman"/>
          <w:sz w:val="20"/>
          <w:szCs w:val="20"/>
        </w:rPr>
        <w:t xml:space="preserve"> d</w:t>
      </w:r>
      <w:r w:rsidR="00CF3728" w:rsidRPr="00131B31">
        <w:rPr>
          <w:rFonts w:ascii="Times New Roman" w:hAnsi="Times New Roman" w:cs="Times New Roman"/>
          <w:sz w:val="20"/>
          <w:szCs w:val="20"/>
        </w:rPr>
        <w:t>e</w:t>
      </w:r>
      <w:r w:rsidR="00D26075" w:rsidRPr="00131B31">
        <w:rPr>
          <w:rFonts w:ascii="Times New Roman" w:hAnsi="Times New Roman" w:cs="Times New Roman"/>
          <w:sz w:val="20"/>
          <w:szCs w:val="20"/>
        </w:rPr>
        <w:t xml:space="preserve"> mutation génétique</w:t>
      </w:r>
      <w:r w:rsidR="008C05AE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dans ce contexte </w:t>
      </w:r>
      <w:r w:rsidR="009770E2" w:rsidRPr="00131B31">
        <w:rPr>
          <w:rFonts w:ascii="Times New Roman" w:hAnsi="Times New Roman" w:cs="Times New Roman"/>
          <w:sz w:val="20"/>
          <w:szCs w:val="20"/>
        </w:rPr>
        <w:t>était</w:t>
      </w:r>
      <w:r w:rsidR="00B806DB" w:rsidRPr="00131B31">
        <w:rPr>
          <w:rFonts w:ascii="Times New Roman" w:hAnsi="Times New Roman" w:cs="Times New Roman"/>
          <w:sz w:val="20"/>
          <w:szCs w:val="20"/>
        </w:rPr>
        <w:t xml:space="preserve"> inutile pour le diagnostic car les critères de Curaçao</w:t>
      </w:r>
      <w:r w:rsidR="00A201C3" w:rsidRPr="00131B31">
        <w:rPr>
          <w:rFonts w:ascii="Times New Roman" w:hAnsi="Times New Roman" w:cs="Times New Roman"/>
          <w:sz w:val="20"/>
          <w:szCs w:val="20"/>
        </w:rPr>
        <w:t xml:space="preserve"> suffisent à </w:t>
      </w:r>
      <w:r w:rsidR="00CF3728" w:rsidRPr="00131B31">
        <w:rPr>
          <w:rFonts w:ascii="Times New Roman" w:hAnsi="Times New Roman" w:cs="Times New Roman"/>
          <w:sz w:val="20"/>
          <w:szCs w:val="20"/>
        </w:rPr>
        <w:t>l’établir</w:t>
      </w:r>
      <w:r w:rsidR="00B806DB" w:rsidRPr="00131B31">
        <w:rPr>
          <w:rFonts w:ascii="Times New Roman" w:hAnsi="Times New Roman" w:cs="Times New Roman"/>
          <w:sz w:val="20"/>
          <w:szCs w:val="20"/>
        </w:rPr>
        <w:t>.</w:t>
      </w:r>
      <w:r w:rsidR="000C30B0">
        <w:rPr>
          <w:rFonts w:ascii="Times New Roman" w:hAnsi="Times New Roman" w:cs="Times New Roman"/>
          <w:sz w:val="20"/>
          <w:szCs w:val="20"/>
        </w:rPr>
        <w:t xml:space="preserve"> </w:t>
      </w:r>
      <w:r w:rsidR="00A201C3" w:rsidRPr="00131B31">
        <w:rPr>
          <w:rFonts w:ascii="Times New Roman" w:hAnsi="Times New Roman" w:cs="Times New Roman"/>
          <w:sz w:val="20"/>
          <w:szCs w:val="20"/>
        </w:rPr>
        <w:t>L’enquête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 familiale </w:t>
      </w:r>
      <w:r w:rsidR="009770E2" w:rsidRPr="00131B31">
        <w:rPr>
          <w:rFonts w:ascii="Times New Roman" w:hAnsi="Times New Roman" w:cs="Times New Roman"/>
          <w:sz w:val="20"/>
          <w:szCs w:val="20"/>
        </w:rPr>
        <w:t>s’est limitée à sa sœur cadette et était sans particularité</w:t>
      </w:r>
      <w:r w:rsidR="00292A29" w:rsidRPr="00131B31">
        <w:rPr>
          <w:rFonts w:ascii="Times New Roman" w:hAnsi="Times New Roman" w:cs="Times New Roman"/>
          <w:sz w:val="20"/>
          <w:szCs w:val="20"/>
        </w:rPr>
        <w:t xml:space="preserve"> [5]</w:t>
      </w:r>
      <w:r w:rsidR="009770E2" w:rsidRPr="00131B31">
        <w:rPr>
          <w:rFonts w:ascii="Times New Roman" w:hAnsi="Times New Roman" w:cs="Times New Roman"/>
          <w:sz w:val="20"/>
          <w:szCs w:val="20"/>
        </w:rPr>
        <w:t xml:space="preserve">. Cette </w:t>
      </w:r>
      <w:r w:rsidR="00292A29" w:rsidRPr="00131B31">
        <w:rPr>
          <w:rFonts w:ascii="Times New Roman" w:hAnsi="Times New Roman" w:cs="Times New Roman"/>
          <w:sz w:val="20"/>
          <w:szCs w:val="20"/>
        </w:rPr>
        <w:t>enquête</w:t>
      </w:r>
      <w:r w:rsidR="009770E2" w:rsidRPr="00131B31">
        <w:rPr>
          <w:rFonts w:ascii="Times New Roman" w:hAnsi="Times New Roman" w:cs="Times New Roman"/>
          <w:sz w:val="20"/>
          <w:szCs w:val="20"/>
        </w:rPr>
        <w:t xml:space="preserve"> familiale </w:t>
      </w:r>
      <w:r w:rsidR="006A7E62" w:rsidRPr="00131B31">
        <w:rPr>
          <w:rFonts w:ascii="Times New Roman" w:hAnsi="Times New Roman" w:cs="Times New Roman"/>
          <w:sz w:val="20"/>
          <w:szCs w:val="20"/>
        </w:rPr>
        <w:t>doit être effectuée de façon systématique</w:t>
      </w:r>
      <w:r w:rsidR="00A201C3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292A29" w:rsidRPr="00131B31">
        <w:rPr>
          <w:rFonts w:ascii="Times New Roman" w:hAnsi="Times New Roman" w:cs="Times New Roman"/>
          <w:sz w:val="20"/>
          <w:szCs w:val="20"/>
        </w:rPr>
        <w:t>à la recherche de cas similaires dans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9770E2" w:rsidRPr="00131B31">
        <w:rPr>
          <w:rFonts w:ascii="Times New Roman" w:hAnsi="Times New Roman" w:cs="Times New Roman"/>
          <w:sz w:val="20"/>
          <w:szCs w:val="20"/>
        </w:rPr>
        <w:t>l</w:t>
      </w:r>
      <w:r w:rsidR="006A7E62" w:rsidRPr="00131B31">
        <w:rPr>
          <w:rFonts w:ascii="Times New Roman" w:hAnsi="Times New Roman" w:cs="Times New Roman"/>
          <w:sz w:val="20"/>
          <w:szCs w:val="20"/>
        </w:rPr>
        <w:t>a famille</w:t>
      </w:r>
      <w:r w:rsidR="00292A29" w:rsidRPr="00131B31">
        <w:rPr>
          <w:rFonts w:ascii="Times New Roman" w:hAnsi="Times New Roman" w:cs="Times New Roman"/>
          <w:sz w:val="20"/>
          <w:szCs w:val="20"/>
        </w:rPr>
        <w:t xml:space="preserve"> [6-8]</w:t>
      </w:r>
      <w:r w:rsidR="006A7E62" w:rsidRPr="00131B31">
        <w:rPr>
          <w:rFonts w:ascii="Times New Roman" w:hAnsi="Times New Roman" w:cs="Times New Roman"/>
          <w:sz w:val="20"/>
          <w:szCs w:val="20"/>
        </w:rPr>
        <w:t>.</w:t>
      </w:r>
      <w:r w:rsidR="004A3387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CF3728" w:rsidRPr="00131B31">
        <w:rPr>
          <w:rFonts w:ascii="Times New Roman" w:hAnsi="Times New Roman" w:cs="Times New Roman"/>
          <w:sz w:val="20"/>
          <w:szCs w:val="20"/>
        </w:rPr>
        <w:t>Toutefois, L’absence d’autres membres de la famille symptomatique n’exclue pas le diagnostic</w:t>
      </w:r>
      <w:r w:rsidR="00292A29" w:rsidRPr="00131B31">
        <w:rPr>
          <w:rFonts w:ascii="Times New Roman" w:hAnsi="Times New Roman" w:cs="Times New Roman"/>
          <w:sz w:val="20"/>
          <w:szCs w:val="20"/>
        </w:rPr>
        <w:t xml:space="preserve"> [6-8].</w:t>
      </w:r>
      <w:r w:rsidR="00CF3728" w:rsidRPr="00131B31">
        <w:rPr>
          <w:rFonts w:ascii="Times New Roman" w:hAnsi="Times New Roman" w:cs="Times New Roman"/>
          <w:sz w:val="20"/>
          <w:szCs w:val="20"/>
        </w:rPr>
        <w:t xml:space="preserve"> En effet, l’expression de la maladie est très variable, y compris dans une même famille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</w:t>
      </w:r>
      <w:r w:rsidR="00292A29" w:rsidRPr="00131B31">
        <w:rPr>
          <w:rFonts w:ascii="Times New Roman" w:hAnsi="Times New Roman" w:cs="Times New Roman"/>
          <w:sz w:val="20"/>
          <w:szCs w:val="20"/>
        </w:rPr>
        <w:t>[6-8]</w:t>
      </w:r>
      <w:r w:rsidR="00CF3728" w:rsidRPr="00131B31">
        <w:rPr>
          <w:rFonts w:ascii="Times New Roman" w:hAnsi="Times New Roman" w:cs="Times New Roman"/>
          <w:sz w:val="20"/>
          <w:szCs w:val="20"/>
        </w:rPr>
        <w:t>.</w:t>
      </w:r>
    </w:p>
    <w:p w:rsidR="007133D1" w:rsidRPr="00131B31" w:rsidRDefault="009770E2" w:rsidP="00131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>L’atteinte hépatique retrouvée chez notre patient est un élément de gravité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[6-10]</w:t>
      </w:r>
      <w:r w:rsidRPr="00131B31">
        <w:rPr>
          <w:rFonts w:ascii="Times New Roman" w:hAnsi="Times New Roman" w:cs="Times New Roman"/>
          <w:sz w:val="20"/>
          <w:szCs w:val="20"/>
        </w:rPr>
        <w:t>. Elle expose le patient aussi bien aux complications hémorragiques classiques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, aux complications de l’hypertension portale, aux complications thromboemboliques et aux </w:t>
      </w:r>
      <w:proofErr w:type="spellStart"/>
      <w:r w:rsidR="00766E85" w:rsidRPr="00131B31">
        <w:rPr>
          <w:rFonts w:ascii="Times New Roman" w:hAnsi="Times New Roman" w:cs="Times New Roman"/>
          <w:sz w:val="20"/>
          <w:szCs w:val="20"/>
        </w:rPr>
        <w:t>cholangiopathies</w:t>
      </w:r>
      <w:proofErr w:type="spellEnd"/>
      <w:r w:rsidR="00766E85" w:rsidRPr="00131B31">
        <w:rPr>
          <w:rFonts w:ascii="Times New Roman" w:hAnsi="Times New Roman" w:cs="Times New Roman"/>
          <w:sz w:val="20"/>
          <w:szCs w:val="20"/>
        </w:rPr>
        <w:t xml:space="preserve"> ischémiques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[6-10]</w:t>
      </w:r>
      <w:r w:rsidR="00766E85" w:rsidRPr="00131B31">
        <w:rPr>
          <w:rFonts w:ascii="Times New Roman" w:hAnsi="Times New Roman" w:cs="Times New Roman"/>
          <w:sz w:val="20"/>
          <w:szCs w:val="20"/>
        </w:rPr>
        <w:t>. L’atteinte</w:t>
      </w:r>
      <w:r w:rsidR="00343692" w:rsidRPr="00131B31">
        <w:rPr>
          <w:rFonts w:ascii="Times New Roman" w:hAnsi="Times New Roman" w:cs="Times New Roman"/>
          <w:sz w:val="20"/>
          <w:szCs w:val="20"/>
        </w:rPr>
        <w:t xml:space="preserve"> hépatique </w:t>
      </w:r>
      <w:r w:rsidR="00766E85" w:rsidRPr="00131B31">
        <w:rPr>
          <w:rFonts w:ascii="Times New Roman" w:hAnsi="Times New Roman" w:cs="Times New Roman"/>
          <w:sz w:val="20"/>
          <w:szCs w:val="20"/>
        </w:rPr>
        <w:t>d</w:t>
      </w:r>
      <w:r w:rsidR="007133D1" w:rsidRPr="00131B31">
        <w:rPr>
          <w:rFonts w:ascii="Times New Roman" w:hAnsi="Times New Roman" w:cs="Times New Roman"/>
          <w:sz w:val="20"/>
          <w:szCs w:val="20"/>
        </w:rPr>
        <w:t xml:space="preserve">ans une série de 333 patients suivie pour maladie de </w:t>
      </w:r>
      <w:proofErr w:type="spellStart"/>
      <w:r w:rsidR="007133D1"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="007133D1" w:rsidRPr="00131B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33D1" w:rsidRPr="00131B31">
        <w:rPr>
          <w:rFonts w:ascii="Times New Roman" w:hAnsi="Times New Roman" w:cs="Times New Roman"/>
          <w:sz w:val="20"/>
          <w:szCs w:val="20"/>
        </w:rPr>
        <w:t>Welle</w:t>
      </w:r>
      <w:proofErr w:type="spellEnd"/>
      <w:r w:rsidR="007133D1" w:rsidRPr="00131B31">
        <w:rPr>
          <w:rFonts w:ascii="Times New Roman" w:hAnsi="Times New Roman" w:cs="Times New Roman"/>
          <w:sz w:val="20"/>
          <w:szCs w:val="20"/>
        </w:rPr>
        <w:t xml:space="preserve"> et al retrouvaient 54,1% d’anomalie vasculaires hépatiques sous forme de télangiectasies, de masses vasculaires confluentes, d’anomalies de perfusion et des shunts </w:t>
      </w:r>
      <w:r w:rsidR="004B49B9" w:rsidRPr="00131B31">
        <w:rPr>
          <w:rFonts w:ascii="Times New Roman" w:hAnsi="Times New Roman" w:cs="Times New Roman"/>
          <w:sz w:val="20"/>
          <w:szCs w:val="20"/>
        </w:rPr>
        <w:t>hépatiques similaires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 à celles de notre patient </w:t>
      </w:r>
      <w:r w:rsidR="007133D1" w:rsidRPr="00131B31">
        <w:rPr>
          <w:rFonts w:ascii="Times New Roman" w:hAnsi="Times New Roman" w:cs="Times New Roman"/>
          <w:sz w:val="20"/>
          <w:szCs w:val="20"/>
        </w:rPr>
        <w:t xml:space="preserve">[8]. 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C’est pourquoi ce </w:t>
      </w:r>
      <w:r w:rsidR="006A7E62" w:rsidRPr="00131B31">
        <w:rPr>
          <w:rFonts w:ascii="Times New Roman" w:hAnsi="Times New Roman" w:cs="Times New Roman"/>
          <w:sz w:val="20"/>
          <w:szCs w:val="20"/>
        </w:rPr>
        <w:lastRenderedPageBreak/>
        <w:t xml:space="preserve">dernier recommande l’utilisation du scanner abdominal </w:t>
      </w:r>
      <w:r w:rsidR="00A201C3" w:rsidRPr="00131B31">
        <w:rPr>
          <w:rFonts w:ascii="Times New Roman" w:hAnsi="Times New Roman" w:cs="Times New Roman"/>
          <w:sz w:val="20"/>
          <w:szCs w:val="20"/>
        </w:rPr>
        <w:t>multi phases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 comme outil important de l’évaluation </w:t>
      </w:r>
      <w:r w:rsidR="00A201C3" w:rsidRPr="00131B31">
        <w:rPr>
          <w:rFonts w:ascii="Times New Roman" w:hAnsi="Times New Roman" w:cs="Times New Roman"/>
          <w:sz w:val="20"/>
          <w:szCs w:val="20"/>
        </w:rPr>
        <w:t>des patients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 suspect</w:t>
      </w:r>
      <w:r w:rsidR="006E680F">
        <w:rPr>
          <w:rFonts w:ascii="Times New Roman" w:hAnsi="Times New Roman" w:cs="Times New Roman"/>
          <w:sz w:val="20"/>
          <w:szCs w:val="20"/>
        </w:rPr>
        <w:t>s</w:t>
      </w:r>
      <w:r w:rsidR="006A7E62" w:rsidRPr="00131B31">
        <w:rPr>
          <w:rFonts w:ascii="Times New Roman" w:hAnsi="Times New Roman" w:cs="Times New Roman"/>
          <w:sz w:val="20"/>
          <w:szCs w:val="20"/>
        </w:rPr>
        <w:t xml:space="preserve"> de maladie de </w:t>
      </w:r>
      <w:proofErr w:type="spellStart"/>
      <w:r w:rsidR="006A7E62"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="006A7E62" w:rsidRPr="00131B31">
        <w:rPr>
          <w:rFonts w:ascii="Times New Roman" w:hAnsi="Times New Roman" w:cs="Times New Roman"/>
          <w:sz w:val="20"/>
          <w:szCs w:val="20"/>
        </w:rPr>
        <w:t xml:space="preserve"> [8].</w:t>
      </w:r>
    </w:p>
    <w:p w:rsidR="00A95D14" w:rsidRPr="00131B31" w:rsidRDefault="00343692" w:rsidP="0013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Il n’existe pas de traitement curatif de la maladie de 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[6-10]</w:t>
      </w:r>
      <w:r w:rsidR="00766E85" w:rsidRPr="00131B31">
        <w:rPr>
          <w:rFonts w:ascii="Times New Roman" w:hAnsi="Times New Roman" w:cs="Times New Roman"/>
          <w:sz w:val="20"/>
          <w:szCs w:val="20"/>
        </w:rPr>
        <w:t>. L</w:t>
      </w:r>
      <w:r w:rsidRPr="00131B31">
        <w:rPr>
          <w:rFonts w:ascii="Times New Roman" w:hAnsi="Times New Roman" w:cs="Times New Roman"/>
          <w:sz w:val="20"/>
          <w:szCs w:val="20"/>
        </w:rPr>
        <w:t>a prise en charge vise principalement à prévenir et traiter les complications [6</w:t>
      </w:r>
      <w:r w:rsidR="004B49B9" w:rsidRPr="00131B31">
        <w:rPr>
          <w:rFonts w:ascii="Times New Roman" w:hAnsi="Times New Roman" w:cs="Times New Roman"/>
          <w:sz w:val="20"/>
          <w:szCs w:val="20"/>
        </w:rPr>
        <w:t>-10</w:t>
      </w:r>
      <w:r w:rsidRPr="00131B31">
        <w:rPr>
          <w:rFonts w:ascii="Times New Roman" w:hAnsi="Times New Roman" w:cs="Times New Roman"/>
          <w:sz w:val="20"/>
          <w:szCs w:val="20"/>
        </w:rPr>
        <w:t xml:space="preserve">]. 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En ce qui concerne les anomalies vasculaires hépatiques, le traitement n’est recommandé 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que 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si le patient est symptomatique. La prise en charge 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consiste 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à corriger l’état </w:t>
      </w:r>
      <w:proofErr w:type="spellStart"/>
      <w:r w:rsidR="008D2E05" w:rsidRPr="00131B31">
        <w:rPr>
          <w:rFonts w:ascii="Times New Roman" w:hAnsi="Times New Roman" w:cs="Times New Roman"/>
          <w:sz w:val="20"/>
          <w:szCs w:val="20"/>
        </w:rPr>
        <w:t>hyperdynamique</w:t>
      </w:r>
      <w:proofErr w:type="spellEnd"/>
      <w:r w:rsidR="008D2E05" w:rsidRPr="00131B31">
        <w:rPr>
          <w:rFonts w:ascii="Times New Roman" w:hAnsi="Times New Roman" w:cs="Times New Roman"/>
          <w:sz w:val="20"/>
          <w:szCs w:val="20"/>
        </w:rPr>
        <w:t xml:space="preserve"> et les 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troubles </w:t>
      </w:r>
      <w:r w:rsidR="006E680F">
        <w:rPr>
          <w:rFonts w:ascii="Times New Roman" w:hAnsi="Times New Roman" w:cs="Times New Roman"/>
          <w:sz w:val="20"/>
          <w:szCs w:val="20"/>
        </w:rPr>
        <w:t xml:space="preserve">de </w:t>
      </w:r>
      <w:r w:rsidR="004B49B9" w:rsidRPr="00131B31">
        <w:rPr>
          <w:rFonts w:ascii="Times New Roman" w:hAnsi="Times New Roman" w:cs="Times New Roman"/>
          <w:sz w:val="20"/>
          <w:szCs w:val="20"/>
        </w:rPr>
        <w:t>perfusion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 au niveau du foie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[6-10]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. L’embolisation artérielle est </w:t>
      </w:r>
      <w:r w:rsidR="00766E85" w:rsidRPr="00131B31">
        <w:rPr>
          <w:rFonts w:ascii="Times New Roman" w:hAnsi="Times New Roman" w:cs="Times New Roman"/>
          <w:sz w:val="20"/>
          <w:szCs w:val="20"/>
        </w:rPr>
        <w:t>une option thérapeutique mais non disponible au Gabon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[7]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. Elle est 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associée à un risque ischémique 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du </w:t>
      </w:r>
      <w:r w:rsidR="008D2E05" w:rsidRPr="00131B31">
        <w:rPr>
          <w:rFonts w:ascii="Times New Roman" w:hAnsi="Times New Roman" w:cs="Times New Roman"/>
          <w:sz w:val="20"/>
          <w:szCs w:val="20"/>
        </w:rPr>
        <w:t>foie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 et des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 voies biliaires [7]. La transplantation hépatique est actuellement considérée comme le traitement de référence pour les formes graves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[7-10].</w:t>
      </w:r>
      <w:r w:rsidR="00766E85" w:rsidRPr="00131B31">
        <w:rPr>
          <w:rFonts w:ascii="Times New Roman" w:hAnsi="Times New Roman" w:cs="Times New Roman"/>
          <w:sz w:val="20"/>
          <w:szCs w:val="20"/>
        </w:rPr>
        <w:t xml:space="preserve"> Ce traitement n’est également p</w:t>
      </w:r>
      <w:r w:rsidR="00A95D14" w:rsidRPr="00131B31">
        <w:rPr>
          <w:rFonts w:ascii="Times New Roman" w:hAnsi="Times New Roman" w:cs="Times New Roman"/>
          <w:sz w:val="20"/>
          <w:szCs w:val="20"/>
        </w:rPr>
        <w:t>a</w:t>
      </w:r>
      <w:r w:rsidR="00766E85" w:rsidRPr="00131B31">
        <w:rPr>
          <w:rFonts w:ascii="Times New Roman" w:hAnsi="Times New Roman" w:cs="Times New Roman"/>
          <w:sz w:val="20"/>
          <w:szCs w:val="20"/>
        </w:rPr>
        <w:t>s disponible au Gabon</w:t>
      </w:r>
      <w:r w:rsidR="00A95D14" w:rsidRPr="00131B31">
        <w:rPr>
          <w:rFonts w:ascii="Times New Roman" w:hAnsi="Times New Roman" w:cs="Times New Roman"/>
          <w:sz w:val="20"/>
          <w:szCs w:val="20"/>
        </w:rPr>
        <w:t>.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 La complexité de cette </w:t>
      </w:r>
      <w:r w:rsidR="00A95D14" w:rsidRPr="00131B31">
        <w:rPr>
          <w:rFonts w:ascii="Times New Roman" w:hAnsi="Times New Roman" w:cs="Times New Roman"/>
          <w:sz w:val="20"/>
          <w:szCs w:val="20"/>
        </w:rPr>
        <w:t xml:space="preserve">affection recommande </w:t>
      </w:r>
      <w:r w:rsidR="008D2E05" w:rsidRPr="00131B31">
        <w:rPr>
          <w:rFonts w:ascii="Times New Roman" w:hAnsi="Times New Roman" w:cs="Times New Roman"/>
          <w:sz w:val="20"/>
          <w:szCs w:val="20"/>
        </w:rPr>
        <w:t xml:space="preserve">une prise en charge multidisciplinaire 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dans </w:t>
      </w:r>
      <w:r w:rsidR="008D2E05" w:rsidRPr="00131B31">
        <w:rPr>
          <w:rFonts w:ascii="Times New Roman" w:hAnsi="Times New Roman" w:cs="Times New Roman"/>
          <w:sz w:val="20"/>
          <w:szCs w:val="20"/>
        </w:rPr>
        <w:t>des centres expérimentés</w:t>
      </w:r>
      <w:r w:rsidR="004B49B9" w:rsidRPr="00131B31">
        <w:rPr>
          <w:rFonts w:ascii="Times New Roman" w:hAnsi="Times New Roman" w:cs="Times New Roman"/>
          <w:sz w:val="20"/>
          <w:szCs w:val="20"/>
        </w:rPr>
        <w:t xml:space="preserve"> [7-10]</w:t>
      </w:r>
      <w:r w:rsidR="001B1AD7">
        <w:rPr>
          <w:rFonts w:ascii="Times New Roman" w:hAnsi="Times New Roman" w:cs="Times New Roman"/>
          <w:sz w:val="20"/>
          <w:szCs w:val="20"/>
        </w:rPr>
        <w:t>.</w:t>
      </w:r>
    </w:p>
    <w:p w:rsidR="00C35F7E" w:rsidRPr="006B2D54" w:rsidRDefault="006B2D54" w:rsidP="006B2D5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8D2E05" w:rsidRPr="00131B31" w:rsidRDefault="00A95D14" w:rsidP="006B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B31">
        <w:rPr>
          <w:rFonts w:ascii="Times New Roman" w:hAnsi="Times New Roman" w:cs="Times New Roman"/>
          <w:sz w:val="20"/>
          <w:szCs w:val="20"/>
        </w:rPr>
        <w:t xml:space="preserve">La maladie de </w:t>
      </w:r>
      <w:proofErr w:type="spellStart"/>
      <w:r w:rsidRPr="00131B31">
        <w:rPr>
          <w:rFonts w:ascii="Times New Roman" w:hAnsi="Times New Roman" w:cs="Times New Roman"/>
          <w:sz w:val="20"/>
          <w:szCs w:val="20"/>
        </w:rPr>
        <w:t>ROW</w:t>
      </w:r>
      <w:proofErr w:type="spellEnd"/>
      <w:r w:rsidRPr="00131B31">
        <w:rPr>
          <w:rFonts w:ascii="Times New Roman" w:hAnsi="Times New Roman" w:cs="Times New Roman"/>
          <w:sz w:val="20"/>
          <w:szCs w:val="20"/>
        </w:rPr>
        <w:t xml:space="preserve"> est une affection rare qui peut se présenter sous forme d’hépatomégalie pseudo-tumorale. Sa prise en charge est </w:t>
      </w:r>
      <w:r w:rsidR="00FB4A68" w:rsidRPr="00131B31">
        <w:rPr>
          <w:rFonts w:ascii="Times New Roman" w:hAnsi="Times New Roman" w:cs="Times New Roman"/>
          <w:sz w:val="20"/>
          <w:szCs w:val="20"/>
        </w:rPr>
        <w:t>multidisciplinaire et limitée</w:t>
      </w:r>
      <w:r w:rsidRPr="00131B31">
        <w:rPr>
          <w:rFonts w:ascii="Times New Roman" w:hAnsi="Times New Roman" w:cs="Times New Roman"/>
          <w:sz w:val="20"/>
          <w:szCs w:val="20"/>
        </w:rPr>
        <w:t xml:space="preserve"> dans notre contexte.</w:t>
      </w:r>
    </w:p>
    <w:p w:rsidR="006A7E62" w:rsidRPr="006B2D54" w:rsidRDefault="006B2D54" w:rsidP="006B2D5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2D54">
        <w:rPr>
          <w:rFonts w:ascii="Times New Roman" w:hAnsi="Times New Roman" w:cs="Times New Roman"/>
          <w:b/>
          <w:sz w:val="20"/>
          <w:szCs w:val="20"/>
        </w:rPr>
        <w:t>RÉFÉRENCES</w:t>
      </w:r>
    </w:p>
    <w:p w:rsidR="006A7E62" w:rsidRPr="006E680F" w:rsidRDefault="005B66EE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hyperlink r:id="rId12" w:history="1"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Tortora A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, </w:t>
      </w:r>
      <w:hyperlink r:id="rId13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Riccioni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ME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, </w:t>
      </w:r>
      <w:hyperlink r:id="rId14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Gaetani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E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, </w:t>
      </w:r>
      <w:hyperlink r:id="rId15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Ojetti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V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, </w:t>
      </w:r>
      <w:hyperlink r:id="rId16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Holleran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G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, </w:t>
      </w:r>
      <w:hyperlink r:id="rId17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Gasbarrini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A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>.</w:t>
      </w:r>
      <w:r w:rsidR="006A7E62" w:rsidRPr="006E680F">
        <w:rPr>
          <w:rFonts w:ascii="Times New Roman" w:hAnsi="Times New Roman" w:cs="Times New Roman"/>
          <w:bCs/>
          <w:sz w:val="18"/>
          <w:szCs w:val="20"/>
        </w:rPr>
        <w:t xml:space="preserve"> Rendu-Osler-Weber </w:t>
      </w:r>
      <w:proofErr w:type="spellStart"/>
      <w:proofErr w:type="gramStart"/>
      <w:r w:rsidR="006A7E62" w:rsidRPr="006E680F">
        <w:rPr>
          <w:rFonts w:ascii="Times New Roman" w:hAnsi="Times New Roman" w:cs="Times New Roman"/>
          <w:bCs/>
          <w:sz w:val="18"/>
          <w:szCs w:val="20"/>
        </w:rPr>
        <w:t>disease</w:t>
      </w:r>
      <w:proofErr w:type="spellEnd"/>
      <w:r w:rsidR="006A7E62" w:rsidRPr="006E680F">
        <w:rPr>
          <w:rFonts w:ascii="Times New Roman" w:hAnsi="Times New Roman" w:cs="Times New Roman"/>
          <w:bCs/>
          <w:sz w:val="18"/>
          <w:szCs w:val="20"/>
        </w:rPr>
        <w:t>:</w:t>
      </w:r>
      <w:proofErr w:type="gramEnd"/>
      <w:r w:rsidR="006A7E62" w:rsidRPr="006E680F">
        <w:rPr>
          <w:rFonts w:ascii="Times New Roman" w:hAnsi="Times New Roman" w:cs="Times New Roman"/>
          <w:bCs/>
          <w:sz w:val="18"/>
          <w:szCs w:val="20"/>
        </w:rPr>
        <w:t xml:space="preserve"> a </w:t>
      </w:r>
      <w:proofErr w:type="spellStart"/>
      <w:r w:rsidR="006A7E62" w:rsidRPr="006E680F">
        <w:rPr>
          <w:rFonts w:ascii="Times New Roman" w:hAnsi="Times New Roman" w:cs="Times New Roman"/>
          <w:bCs/>
          <w:sz w:val="18"/>
          <w:szCs w:val="20"/>
        </w:rPr>
        <w:t>gastroenterologist's</w:t>
      </w:r>
      <w:proofErr w:type="spellEnd"/>
      <w:r w:rsidR="006A7E62" w:rsidRPr="006E680F">
        <w:rPr>
          <w:rFonts w:ascii="Times New Roman" w:hAnsi="Times New Roman" w:cs="Times New Roman"/>
          <w:bCs/>
          <w:sz w:val="18"/>
          <w:szCs w:val="20"/>
        </w:rPr>
        <w:t xml:space="preserve"> perspective. </w:t>
      </w:r>
      <w:hyperlink r:id="rId18" w:tooltip="Orphanet journal of rare diseases." w:history="1">
        <w:proofErr w:type="spell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Orphanet</w:t>
        </w:r>
        <w:proofErr w:type="spell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 xml:space="preserve"> J Rare </w:t>
        </w:r>
        <w:proofErr w:type="gramStart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Dis</w:t>
        </w:r>
        <w:proofErr w:type="gramEnd"/>
        <w:r w:rsidR="006A7E62" w:rsidRPr="006E680F">
          <w:rPr>
            <w:rStyle w:val="Lienhypertexte"/>
            <w:rFonts w:ascii="Times New Roman" w:hAnsi="Times New Roman" w:cs="Times New Roman"/>
            <w:color w:val="auto"/>
            <w:sz w:val="18"/>
            <w:szCs w:val="20"/>
            <w:u w:val="none"/>
          </w:rPr>
          <w:t>.</w:t>
        </w:r>
      </w:hyperlink>
      <w:r w:rsidR="006A7E62" w:rsidRPr="006E680F">
        <w:rPr>
          <w:rFonts w:ascii="Times New Roman" w:hAnsi="Times New Roman" w:cs="Times New Roman"/>
          <w:sz w:val="18"/>
          <w:szCs w:val="20"/>
        </w:rPr>
        <w:t xml:space="preserve"> </w:t>
      </w:r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2019, 7</w:t>
      </w:r>
      <w:proofErr w:type="gramStart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;14</w:t>
      </w:r>
      <w:proofErr w:type="gramEnd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(1):130. </w:t>
      </w:r>
      <w:proofErr w:type="spellStart"/>
      <w:proofErr w:type="gramStart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doi</w:t>
      </w:r>
      <w:proofErr w:type="spellEnd"/>
      <w:proofErr w:type="gramEnd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: 10.1186/</w:t>
      </w:r>
      <w:proofErr w:type="spellStart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s13023</w:t>
      </w:r>
      <w:proofErr w:type="spellEnd"/>
      <w:r w:rsidR="006A7E62" w:rsidRPr="006E680F">
        <w:rPr>
          <w:rFonts w:ascii="Times New Roman" w:hAnsi="Times New Roman" w:cs="Times New Roman"/>
          <w:sz w:val="18"/>
          <w:szCs w:val="20"/>
          <w:lang w:val="en-US"/>
        </w:rPr>
        <w:t>-019-1107-4.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6E680F">
        <w:rPr>
          <w:rFonts w:ascii="Times New Roman" w:hAnsi="Times New Roman" w:cs="Times New Roman"/>
          <w:sz w:val="18"/>
          <w:szCs w:val="20"/>
        </w:rPr>
        <w:t>Boehlen</w:t>
      </w:r>
      <w:proofErr w:type="spellEnd"/>
      <w:r w:rsidRPr="006E680F">
        <w:rPr>
          <w:rFonts w:ascii="Times New Roman" w:hAnsi="Times New Roman" w:cs="Times New Roman"/>
          <w:sz w:val="18"/>
          <w:szCs w:val="20"/>
        </w:rPr>
        <w:t xml:space="preserve"> F, </w:t>
      </w:r>
      <w:proofErr w:type="spellStart"/>
      <w:r w:rsidRPr="006E680F">
        <w:rPr>
          <w:rFonts w:ascii="Times New Roman" w:hAnsi="Times New Roman" w:cs="Times New Roman"/>
          <w:sz w:val="18"/>
          <w:szCs w:val="20"/>
        </w:rPr>
        <w:t>landis</w:t>
      </w:r>
      <w:proofErr w:type="spellEnd"/>
      <w:r w:rsidRPr="006E680F">
        <w:rPr>
          <w:rFonts w:ascii="Times New Roman" w:hAnsi="Times New Roman" w:cs="Times New Roman"/>
          <w:sz w:val="18"/>
          <w:szCs w:val="20"/>
        </w:rPr>
        <w:t xml:space="preserve"> BN, </w:t>
      </w:r>
      <w:proofErr w:type="spellStart"/>
      <w:r w:rsidRPr="006E680F">
        <w:rPr>
          <w:rFonts w:ascii="Times New Roman" w:hAnsi="Times New Roman" w:cs="Times New Roman"/>
          <w:sz w:val="18"/>
          <w:szCs w:val="20"/>
        </w:rPr>
        <w:t>spahr</w:t>
      </w:r>
      <w:proofErr w:type="spellEnd"/>
      <w:r w:rsidRPr="006E680F">
        <w:rPr>
          <w:rFonts w:ascii="Times New Roman" w:hAnsi="Times New Roman" w:cs="Times New Roman"/>
          <w:sz w:val="18"/>
          <w:szCs w:val="20"/>
        </w:rPr>
        <w:t xml:space="preserve"> L et al. Maladie de Rendu-Osler-Weber : importance d’une prise en charge multidisciplinaire. </w:t>
      </w:r>
      <w:r w:rsidRPr="006E680F">
        <w:rPr>
          <w:rFonts w:ascii="Times New Roman" w:hAnsi="Times New Roman" w:cs="Times New Roman"/>
          <w:iCs/>
          <w:sz w:val="18"/>
          <w:szCs w:val="20"/>
        </w:rPr>
        <w:t>Rev Med Suisse 2016 ; 12 : 1056-62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r w:rsidRPr="006E680F">
        <w:rPr>
          <w:rFonts w:ascii="Times New Roman" w:hAnsi="Times New Roman" w:cs="Times New Roman"/>
          <w:sz w:val="18"/>
          <w:szCs w:val="20"/>
          <w:lang w:val="en-US"/>
        </w:rPr>
        <w:t>Dupuis-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Girod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S,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Bailly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S,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Plauchu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H. Hereditary hemorrhagic 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telangiectasia :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from molecular biology to patient care. J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Thromb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Haemost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2010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;8:1447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>-56.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r w:rsidRPr="006E680F">
        <w:rPr>
          <w:rFonts w:ascii="Times New Roman" w:hAnsi="Times New Roman" w:cs="Times New Roman"/>
          <w:sz w:val="18"/>
          <w:szCs w:val="20"/>
          <w:lang w:val="en-US"/>
        </w:rPr>
        <w:t>Garcia-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Tsao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G. Liver involvement in hereditary hemorrhagic telangiectasia. J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Hepatol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2007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;46:499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>-507.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Shovlin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CL,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Guttmacher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AE,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Buscarini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E, et al. Diagnostic criteria for hereditary hemorrhagic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telangiectasia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(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Rendu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>-Osler-Weber syndrome). Am J Med Genet 2000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;91:66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>-7.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Geisthoff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UW, Nguyen HL,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Röth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A,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Seyfert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U. How to manage patients with hereditary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haemorrhagic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telangiectasia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. Br J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Haematol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2015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;171:443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>-52.</w:t>
      </w:r>
    </w:p>
    <w:p w:rsidR="006A7E62" w:rsidRPr="006E680F" w:rsidRDefault="006A7E62" w:rsidP="006E680F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D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upuis-Girod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S,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Chesnais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AL,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Ginon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I, et al. Long-term outcome of patients with hereditary hemorrhagic telangiectasia and severe hepatic involvement after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orthotopic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liver 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transplantation :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A single-center study. Liver </w:t>
      </w:r>
      <w:proofErr w:type="spellStart"/>
      <w:r w:rsidRPr="006E680F">
        <w:rPr>
          <w:rFonts w:ascii="Times New Roman" w:hAnsi="Times New Roman" w:cs="Times New Roman"/>
          <w:sz w:val="18"/>
          <w:szCs w:val="20"/>
          <w:lang w:val="en-US"/>
        </w:rPr>
        <w:t>Transpl</w:t>
      </w:r>
      <w:proofErr w:type="spellEnd"/>
      <w:r w:rsidRPr="006E680F">
        <w:rPr>
          <w:rFonts w:ascii="Times New Roman" w:hAnsi="Times New Roman" w:cs="Times New Roman"/>
          <w:sz w:val="18"/>
          <w:szCs w:val="20"/>
          <w:lang w:val="en-US"/>
        </w:rPr>
        <w:t xml:space="preserve"> 2010</w:t>
      </w:r>
      <w:proofErr w:type="gramStart"/>
      <w:r w:rsidRPr="006E680F">
        <w:rPr>
          <w:rFonts w:ascii="Times New Roman" w:hAnsi="Times New Roman" w:cs="Times New Roman"/>
          <w:sz w:val="18"/>
          <w:szCs w:val="20"/>
          <w:lang w:val="en-US"/>
        </w:rPr>
        <w:t>;16:340</w:t>
      </w:r>
      <w:proofErr w:type="gramEnd"/>
      <w:r w:rsidRPr="006E680F">
        <w:rPr>
          <w:rFonts w:ascii="Times New Roman" w:hAnsi="Times New Roman" w:cs="Times New Roman"/>
          <w:sz w:val="18"/>
          <w:szCs w:val="20"/>
          <w:lang w:val="en-US"/>
        </w:rPr>
        <w:t>-7.</w:t>
      </w:r>
    </w:p>
    <w:p w:rsidR="006A7E62" w:rsidRPr="001B1AD7" w:rsidRDefault="005B66EE" w:rsidP="006E680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</w:pPr>
      <w:hyperlink r:id="rId19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Welle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CL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0" w:history="1"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Welch BT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1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Brinjikji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W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, et al.</w:t>
      </w:r>
      <w:r w:rsidR="006A7E62" w:rsidRPr="00C44E65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20"/>
          <w:lang w:val="en-US" w:eastAsia="fr-FR"/>
        </w:rPr>
        <w:t xml:space="preserve"> </w:t>
      </w:r>
      <w:r w:rsidR="006A7E62" w:rsidRPr="001B1AD7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0"/>
          <w:lang w:val="en-US" w:eastAsia="fr-FR"/>
        </w:rPr>
        <w:t xml:space="preserve">Abdominal manifestations of hereditary hemorrhagic </w:t>
      </w:r>
      <w:proofErr w:type="spellStart"/>
      <w:r w:rsidR="006A7E62" w:rsidRPr="001B1AD7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0"/>
          <w:lang w:val="en-US" w:eastAsia="fr-FR"/>
        </w:rPr>
        <w:t>telangiectasia</w:t>
      </w:r>
      <w:proofErr w:type="spellEnd"/>
      <w:r w:rsidR="006A7E62" w:rsidRPr="001B1AD7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0"/>
          <w:lang w:val="en-US" w:eastAsia="fr-FR"/>
        </w:rPr>
        <w:t xml:space="preserve">: a series of 333 patients over 15 years. </w:t>
      </w:r>
      <w:hyperlink r:id="rId22" w:tooltip="Cureus." w:history="1">
        <w:proofErr w:type="spellStart"/>
        <w:r w:rsidR="006A7E62" w:rsidRPr="006E680F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Cureus</w:t>
        </w:r>
        <w:proofErr w:type="spellEnd"/>
        <w:r w:rsidR="006A7E62" w:rsidRPr="006E680F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.</w:t>
        </w:r>
      </w:hyperlink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 2018 Sep 14</w:t>
      </w:r>
      <w:proofErr w:type="gram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;10</w:t>
      </w:r>
      <w:proofErr w:type="gram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(9):</w:t>
      </w:r>
      <w:proofErr w:type="spell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e3305</w:t>
      </w:r>
      <w:proofErr w:type="spell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. </w:t>
      </w:r>
      <w:proofErr w:type="spell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doi</w:t>
      </w:r>
      <w:proofErr w:type="spell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: 10.7759/</w:t>
      </w:r>
      <w:proofErr w:type="spell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cureus.3305</w:t>
      </w:r>
      <w:proofErr w:type="spellEnd"/>
    </w:p>
    <w:p w:rsidR="006A7E62" w:rsidRPr="006E680F" w:rsidRDefault="005B66EE" w:rsidP="006E680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20"/>
          <w:lang w:eastAsia="fr-FR"/>
        </w:rPr>
      </w:pPr>
      <w:hyperlink r:id="rId23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Kiyeng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</w:t>
        </w:r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JC</w:t>
        </w:r>
        <w:proofErr w:type="spellEnd"/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4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Siika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A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5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Koech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C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6" w:history="1"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Bloomfield GS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.</w:t>
      </w:r>
      <w:r w:rsidR="006A7E62" w:rsidRPr="00C44E65">
        <w:rPr>
          <w:rFonts w:ascii="Times New Roman" w:eastAsia="Times New Roman" w:hAnsi="Times New Roman" w:cs="Times New Roman"/>
          <w:bCs/>
          <w:kern w:val="36"/>
          <w:sz w:val="18"/>
          <w:szCs w:val="20"/>
          <w:lang w:val="en-US" w:eastAsia="fr-FR"/>
        </w:rPr>
        <w:t xml:space="preserve"> Definite hereditary hemorrhagic telangiectasia in a 60-year-old black Kenyan woman: a case report.</w:t>
      </w:r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 </w:t>
      </w:r>
      <w:hyperlink r:id="rId27" w:tooltip="Journal of medical case reports." w:history="1">
        <w:r w:rsidR="006A7E62" w:rsidRPr="006E680F">
          <w:rPr>
            <w:rFonts w:ascii="Times New Roman" w:eastAsia="Times New Roman" w:hAnsi="Times New Roman" w:cs="Times New Roman"/>
            <w:sz w:val="18"/>
            <w:szCs w:val="20"/>
            <w:lang w:eastAsia="fr-FR"/>
          </w:rPr>
          <w:t xml:space="preserve">J Med Case </w:t>
        </w:r>
        <w:proofErr w:type="spellStart"/>
        <w:r w:rsidR="006A7E62" w:rsidRPr="006E680F">
          <w:rPr>
            <w:rFonts w:ascii="Times New Roman" w:eastAsia="Times New Roman" w:hAnsi="Times New Roman" w:cs="Times New Roman"/>
            <w:sz w:val="18"/>
            <w:szCs w:val="20"/>
            <w:lang w:eastAsia="fr-FR"/>
          </w:rPr>
          <w:t>Rep</w:t>
        </w:r>
        <w:proofErr w:type="spellEnd"/>
        <w:r w:rsidR="006A7E62" w:rsidRPr="006E680F">
          <w:rPr>
            <w:rFonts w:ascii="Times New Roman" w:eastAsia="Times New Roman" w:hAnsi="Times New Roman" w:cs="Times New Roman"/>
            <w:sz w:val="18"/>
            <w:szCs w:val="20"/>
            <w:lang w:eastAsia="fr-FR"/>
          </w:rPr>
          <w:t>.</w:t>
        </w:r>
      </w:hyperlink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 2016 May </w:t>
      </w:r>
      <w:proofErr w:type="gram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25;10</w:t>
      </w:r>
      <w:proofErr w:type="gram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(1):126. </w:t>
      </w:r>
      <w:proofErr w:type="spellStart"/>
      <w:proofErr w:type="gram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doi</w:t>
      </w:r>
      <w:proofErr w:type="spell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:</w:t>
      </w:r>
      <w:proofErr w:type="gram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 10.1186/s13256-016-0909-4.</w:t>
      </w:r>
    </w:p>
    <w:p w:rsidR="00237711" w:rsidRPr="006E680F" w:rsidRDefault="005B66EE" w:rsidP="006E680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</w:pPr>
      <w:hyperlink r:id="rId28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Ljaz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HM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29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Lodhi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MU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</w:t>
      </w:r>
      <w:hyperlink r:id="rId30" w:history="1">
        <w:proofErr w:type="spellStart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>Chowdhury</w:t>
        </w:r>
        <w:proofErr w:type="spellEnd"/>
        <w:r w:rsidR="006A7E62" w:rsidRPr="00C44E65">
          <w:rPr>
            <w:rFonts w:ascii="Times New Roman" w:eastAsia="Times New Roman" w:hAnsi="Times New Roman" w:cs="Times New Roman"/>
            <w:sz w:val="18"/>
            <w:szCs w:val="20"/>
            <w:lang w:val="en-US" w:eastAsia="fr-FR"/>
          </w:rPr>
          <w:t xml:space="preserve"> W</w:t>
        </w:r>
      </w:hyperlink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, et al.  </w:t>
      </w:r>
      <w:r w:rsidR="006A7E62" w:rsidRPr="00C44E65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0"/>
          <w:lang w:val="en-US" w:eastAsia="fr-FR"/>
        </w:rPr>
        <w:t>Co-existing Gastrointestinal Hemorrhage and Deep Vein Thrombosis in a Patient with Hereditary Hemorrhagic Telangiectasia: Management Dilemma</w:t>
      </w:r>
      <w:proofErr w:type="gramStart"/>
      <w:r w:rsidR="006A7E62" w:rsidRPr="00C44E65">
        <w:rPr>
          <w:rFonts w:ascii="Times New Roman" w:eastAsia="Times New Roman" w:hAnsi="Times New Roman" w:cs="Times New Roman"/>
          <w:bCs/>
          <w:color w:val="000000"/>
          <w:kern w:val="36"/>
          <w:sz w:val="18"/>
          <w:szCs w:val="20"/>
          <w:lang w:val="en-US" w:eastAsia="fr-FR"/>
        </w:rPr>
        <w:t>.</w:t>
      </w:r>
      <w:r w:rsidR="006A7E62" w:rsidRPr="006E680F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>.</w:t>
      </w:r>
      <w:proofErr w:type="gramEnd"/>
      <w:r w:rsidR="006A7E62" w:rsidRPr="00C44E65">
        <w:rPr>
          <w:rFonts w:ascii="Times New Roman" w:eastAsia="Times New Roman" w:hAnsi="Times New Roman" w:cs="Times New Roman"/>
          <w:sz w:val="18"/>
          <w:szCs w:val="20"/>
          <w:lang w:val="en-US" w:eastAsia="fr-FR"/>
        </w:rPr>
        <w:t xml:space="preserve"> </w:t>
      </w:r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2019 </w:t>
      </w:r>
      <w:proofErr w:type="spellStart"/>
      <w:proofErr w:type="gram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Jul</w:t>
      </w:r>
      <w:proofErr w:type="spell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;44</w:t>
      </w:r>
      <w:proofErr w:type="gram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(7):2384-2391. </w:t>
      </w:r>
      <w:proofErr w:type="spellStart"/>
      <w:proofErr w:type="gramStart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doi</w:t>
      </w:r>
      <w:proofErr w:type="spell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>:</w:t>
      </w:r>
      <w:proofErr w:type="gramEnd"/>
      <w:r w:rsidR="006A7E62" w:rsidRPr="006E680F">
        <w:rPr>
          <w:rFonts w:ascii="Times New Roman" w:eastAsia="Times New Roman" w:hAnsi="Times New Roman" w:cs="Times New Roman"/>
          <w:sz w:val="18"/>
          <w:szCs w:val="20"/>
          <w:lang w:eastAsia="fr-FR"/>
        </w:rPr>
        <w:t xml:space="preserve"> 10.1007/s00261-019-01976-7.</w:t>
      </w:r>
    </w:p>
    <w:sectPr w:rsidR="00237711" w:rsidRPr="006E680F" w:rsidSect="006B2D54">
      <w:type w:val="continuous"/>
      <w:pgSz w:w="11906" w:h="16838" w:code="9"/>
      <w:pgMar w:top="1134" w:right="851" w:bottom="1418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31" w:rsidRDefault="00131B31" w:rsidP="00131B31">
      <w:pPr>
        <w:spacing w:after="0" w:line="240" w:lineRule="auto"/>
      </w:pPr>
      <w:r>
        <w:separator/>
      </w:r>
    </w:p>
  </w:endnote>
  <w:endnote w:type="continuationSeparator" w:id="0">
    <w:p w:rsidR="00131B31" w:rsidRDefault="00131B31" w:rsidP="0013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/>
        <w:sz w:val="20"/>
        <w:lang w:val="en-US"/>
      </w:rPr>
      <w:id w:val="170060617"/>
      <w:docPartObj>
        <w:docPartGallery w:val="Page Numbers (Bottom of Page)"/>
        <w:docPartUnique/>
      </w:docPartObj>
    </w:sdtPr>
    <w:sdtContent>
      <w:p w:rsidR="00283616" w:rsidRPr="00283616" w:rsidRDefault="00C44E65" w:rsidP="00283616">
        <w:pPr>
          <w:pStyle w:val="Pieddepage"/>
          <w:tabs>
            <w:tab w:val="clear" w:pos="4536"/>
            <w:tab w:val="clear" w:pos="9072"/>
            <w:tab w:val="left" w:pos="4140"/>
          </w:tabs>
          <w:rPr>
            <w:rFonts w:ascii="Times New Roman"/>
            <w:sz w:val="20"/>
            <w:lang w:val="en-US"/>
          </w:rPr>
        </w:pPr>
        <w:r w:rsidRPr="00283616">
          <w:rPr>
            <w:rFonts w:ascii="Times New Roman"/>
            <w:sz w:val="20"/>
            <w:lang w:val="en-US"/>
          </w:rPr>
          <w:t xml:space="preserve">Health Sci. Dis: Vol </w:t>
        </w:r>
        <w:r>
          <w:rPr>
            <w:rFonts w:ascii="Times New Roman"/>
            <w:sz w:val="20"/>
            <w:lang w:val="en-US"/>
          </w:rPr>
          <w:t>21</w:t>
        </w:r>
        <w:r w:rsidRPr="00283616">
          <w:rPr>
            <w:rFonts w:ascii="Times New Roman"/>
            <w:sz w:val="20"/>
            <w:lang w:val="en-US"/>
          </w:rPr>
          <w:t xml:space="preserve"> (</w:t>
        </w:r>
        <w:r>
          <w:rPr>
            <w:rFonts w:ascii="Times New Roman"/>
            <w:sz w:val="20"/>
            <w:lang w:val="en-US"/>
          </w:rPr>
          <w:t>2</w:t>
        </w:r>
        <w:r w:rsidRPr="00283616">
          <w:rPr>
            <w:rFonts w:ascii="Times New Roman"/>
            <w:sz w:val="20"/>
            <w:lang w:val="en-US"/>
          </w:rPr>
          <w:t>) J</w:t>
        </w:r>
        <w:r>
          <w:rPr>
            <w:rFonts w:ascii="Times New Roman"/>
            <w:sz w:val="20"/>
            <w:lang w:val="en-US"/>
          </w:rPr>
          <w:t>anuary</w:t>
        </w:r>
        <w:r w:rsidRPr="00283616">
          <w:rPr>
            <w:rFonts w:ascii="Times New Roman"/>
            <w:sz w:val="20"/>
            <w:lang w:val="en-US"/>
          </w:rPr>
          <w:t xml:space="preserve"> 20</w:t>
        </w:r>
        <w:r>
          <w:rPr>
            <w:rFonts w:ascii="Times New Roman"/>
            <w:sz w:val="20"/>
            <w:lang w:val="en-US"/>
          </w:rPr>
          <w:t>20</w:t>
        </w:r>
      </w:p>
      <w:p w:rsidR="00972932" w:rsidRPr="008A2539" w:rsidRDefault="00C44E65" w:rsidP="00283616">
        <w:pPr>
          <w:pStyle w:val="Pieddepage"/>
          <w:rPr>
            <w:rFonts w:ascii="Times New Roman"/>
            <w:sz w:val="20"/>
            <w:lang w:val="en-US"/>
          </w:rPr>
        </w:pPr>
        <w:r w:rsidRPr="00283616">
          <w:rPr>
            <w:rFonts w:ascii="Times New Roman"/>
            <w:sz w:val="20"/>
            <w:lang w:val="en-US"/>
          </w:rPr>
          <w:t xml:space="preserve">Available at </w:t>
        </w:r>
        <w:hyperlink r:id="rId1" w:history="1">
          <w:r w:rsidRPr="00283616">
            <w:rPr>
              <w:rStyle w:val="Lienhypertexte"/>
              <w:rFonts w:ascii="Times New Roman"/>
              <w:sz w:val="20"/>
              <w:lang w:val="en-US"/>
            </w:rPr>
            <w:t>www.hsd-fmsb.org</w:t>
          </w:r>
        </w:hyperlink>
        <w:r w:rsidR="005B66EE" w:rsidRPr="005B66EE">
          <w:rPr>
            <w:rFonts w:ascii="Times New Roman"/>
            <w:noProof/>
            <w:sz w:val="20"/>
            <w:lang w:val="en-US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-25.95pt;margin-top:15pt;width:29pt;height:21.6pt;z-index:251658240;mso-position-horizontal-relative:right-margin-area;mso-position-vertical-relative:bottom-margin-area" o:allowincell="f" adj="14135" strokecolor="gray [1629]" strokeweight=".25pt">
              <v:textbox style="mso-next-textbox:#_x0000_s2049">
                <w:txbxContent>
                  <w:p w:rsidR="00283616" w:rsidRDefault="005B66EE">
                    <w:pPr>
                      <w:jc w:val="center"/>
                    </w:pPr>
                    <w:r>
                      <w:fldChar w:fldCharType="begin"/>
                    </w:r>
                    <w:r w:rsidR="00C44E65">
                      <w:instrText xml:space="preserve"> PAGE    \* MERGEFORMAT </w:instrText>
                    </w:r>
                    <w:r>
                      <w:fldChar w:fldCharType="separate"/>
                    </w:r>
                    <w:r w:rsidR="0035199B" w:rsidRPr="0035199B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31" w:rsidRDefault="00131B31" w:rsidP="00131B31">
      <w:pPr>
        <w:spacing w:after="0" w:line="240" w:lineRule="auto"/>
      </w:pPr>
      <w:r>
        <w:separator/>
      </w:r>
    </w:p>
  </w:footnote>
  <w:footnote w:type="continuationSeparator" w:id="0">
    <w:p w:rsidR="00131B31" w:rsidRDefault="00131B31" w:rsidP="0013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1" w:rsidRPr="000C30B0" w:rsidRDefault="001B1AD7" w:rsidP="00131B31">
    <w:pPr>
      <w:spacing w:after="0" w:line="240" w:lineRule="auto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bCs/>
        <w:sz w:val="20"/>
      </w:rPr>
      <w:t>Maladie de</w:t>
    </w:r>
    <w:r w:rsidR="000C30B0" w:rsidRPr="000C30B0">
      <w:rPr>
        <w:rFonts w:ascii="Times New Roman" w:hAnsi="Times New Roman" w:cs="Times New Roman"/>
        <w:bCs/>
        <w:sz w:val="20"/>
      </w:rPr>
      <w:t xml:space="preserve"> Rendue Osler Weber</w:t>
    </w:r>
    <w:r w:rsidR="000C30B0" w:rsidRPr="000C30B0">
      <w:rPr>
        <w:rFonts w:ascii="Times New Roman" w:hAnsi="Times New Roman" w:cs="Times New Roman"/>
        <w:sz w:val="20"/>
      </w:rPr>
      <w:t xml:space="preserve"> </w:t>
    </w:r>
    <w:r w:rsidR="000C30B0">
      <w:rPr>
        <w:rFonts w:ascii="Times New Roman" w:hAnsi="Times New Roman" w:cs="Times New Roman"/>
        <w:sz w:val="20"/>
      </w:rPr>
      <w:t>à Libreville</w:t>
    </w:r>
    <w:r w:rsidR="00131B31" w:rsidRPr="000C30B0">
      <w:rPr>
        <w:rFonts w:ascii="Times New Roman" w:hAnsi="Times New Roman" w:cs="Times New Roman"/>
        <w:sz w:val="20"/>
      </w:rPr>
      <w:t xml:space="preserve"> </w:t>
    </w:r>
    <w:r w:rsidR="00131B31" w:rsidRPr="000C30B0">
      <w:rPr>
        <w:rFonts w:ascii="Times New Roman" w:hAnsi="Times New Roman" w:cs="Times New Roman"/>
        <w:sz w:val="20"/>
      </w:rPr>
      <w:tab/>
    </w:r>
    <w:r w:rsidR="00131B31" w:rsidRPr="000C30B0">
      <w:rPr>
        <w:rFonts w:ascii="Times New Roman" w:hAnsi="Times New Roman" w:cs="Times New Roman"/>
        <w:sz w:val="20"/>
      </w:rPr>
      <w:tab/>
    </w:r>
    <w:r w:rsidR="00131B31" w:rsidRPr="000C30B0">
      <w:rPr>
        <w:rFonts w:ascii="Times New Roman" w:hAnsi="Times New Roman" w:cs="Times New Roman"/>
        <w:sz w:val="20"/>
      </w:rPr>
      <w:tab/>
    </w:r>
    <w:r w:rsidR="00131B31" w:rsidRPr="000C30B0">
      <w:rPr>
        <w:rFonts w:ascii="Times New Roman" w:hAnsi="Times New Roman" w:cs="Times New Roman"/>
        <w:sz w:val="20"/>
      </w:rPr>
      <w:tab/>
    </w:r>
    <w:r w:rsidR="00131B31" w:rsidRPr="000C30B0">
      <w:rPr>
        <w:rFonts w:ascii="Times New Roman" w:hAnsi="Times New Roman" w:cs="Times New Roman"/>
        <w:sz w:val="20"/>
      </w:rPr>
      <w:tab/>
    </w:r>
    <w:r w:rsidR="00131B31" w:rsidRPr="000C30B0">
      <w:rPr>
        <w:rFonts w:ascii="Times New Roman" w:hAnsi="Times New Roman" w:cs="Times New Roman"/>
        <w:sz w:val="20"/>
      </w:rPr>
      <w:tab/>
    </w:r>
    <w:r w:rsidR="000C30B0">
      <w:rPr>
        <w:rFonts w:ascii="Times New Roman" w:hAnsi="Times New Roman" w:cs="Times New Roman"/>
        <w:i/>
        <w:sz w:val="20"/>
      </w:rPr>
      <w:t xml:space="preserve">      </w:t>
    </w:r>
    <w:r w:rsidR="00131B31" w:rsidRPr="000C30B0">
      <w:rPr>
        <w:rFonts w:ascii="Times New Roman" w:hAnsi="Times New Roman" w:cs="Times New Roman"/>
        <w:i/>
        <w:sz w:val="20"/>
      </w:rPr>
      <w:t xml:space="preserve">  </w:t>
    </w:r>
    <w:proofErr w:type="spellStart"/>
    <w:r w:rsidR="000C30B0">
      <w:rPr>
        <w:rFonts w:ascii="Times New Roman" w:hAnsi="Times New Roman" w:cs="Times New Roman"/>
        <w:i/>
        <w:sz w:val="20"/>
      </w:rPr>
      <w:t>Itoudi</w:t>
    </w:r>
    <w:proofErr w:type="spellEnd"/>
    <w:r w:rsidR="000C30B0">
      <w:rPr>
        <w:rFonts w:ascii="Times New Roman" w:hAnsi="Times New Roman" w:cs="Times New Roman"/>
        <w:i/>
        <w:sz w:val="20"/>
      </w:rPr>
      <w:t xml:space="preserve"> </w:t>
    </w:r>
    <w:proofErr w:type="spellStart"/>
    <w:r w:rsidR="000C30B0">
      <w:rPr>
        <w:rFonts w:ascii="Times New Roman" w:hAnsi="Times New Roman" w:cs="Times New Roman"/>
        <w:i/>
        <w:sz w:val="20"/>
      </w:rPr>
      <w:t>Bignouba</w:t>
    </w:r>
    <w:proofErr w:type="spellEnd"/>
    <w:r w:rsidR="00131B31" w:rsidRPr="000C30B0">
      <w:rPr>
        <w:rFonts w:ascii="Times New Roman" w:hAnsi="Times New Roman" w:cs="Times New Roman"/>
        <w:i/>
        <w:sz w:val="20"/>
        <w:vertAlign w:val="superscript"/>
      </w:rPr>
      <w:t xml:space="preserve"> </w:t>
    </w:r>
    <w:r w:rsidR="00131B31" w:rsidRPr="000C30B0">
      <w:rPr>
        <w:rFonts w:ascii="Times New Roman" w:hAnsi="Times New Roman" w:cs="Times New Roman"/>
        <w:i/>
        <w:sz w:val="20"/>
      </w:rPr>
      <w:t>et al</w:t>
    </w:r>
  </w:p>
  <w:p w:rsidR="00131B31" w:rsidRPr="000E5CDE" w:rsidRDefault="00131B31" w:rsidP="00131B31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4FB"/>
    <w:multiLevelType w:val="hybridMultilevel"/>
    <w:tmpl w:val="16E47D8C"/>
    <w:lvl w:ilvl="0" w:tplc="F6CEECB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5A6A43"/>
    <w:multiLevelType w:val="hybridMultilevel"/>
    <w:tmpl w:val="ACDC0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BB0"/>
    <w:multiLevelType w:val="hybridMultilevel"/>
    <w:tmpl w:val="B72225EC"/>
    <w:lvl w:ilvl="0" w:tplc="DF7C4B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B646B4"/>
    <w:multiLevelType w:val="hybridMultilevel"/>
    <w:tmpl w:val="2D7A07E2"/>
    <w:lvl w:ilvl="0" w:tplc="DC22A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369"/>
    <w:rsid w:val="0001781F"/>
    <w:rsid w:val="000731C8"/>
    <w:rsid w:val="000C30B0"/>
    <w:rsid w:val="00131B31"/>
    <w:rsid w:val="00133BC1"/>
    <w:rsid w:val="00141BC7"/>
    <w:rsid w:val="001B1AD7"/>
    <w:rsid w:val="001B6E6B"/>
    <w:rsid w:val="001F3226"/>
    <w:rsid w:val="00216768"/>
    <w:rsid w:val="00237711"/>
    <w:rsid w:val="002751A0"/>
    <w:rsid w:val="002869E2"/>
    <w:rsid w:val="00292A29"/>
    <w:rsid w:val="002A4C0B"/>
    <w:rsid w:val="002C7888"/>
    <w:rsid w:val="002E3CB9"/>
    <w:rsid w:val="002F016C"/>
    <w:rsid w:val="002F3604"/>
    <w:rsid w:val="00304E7B"/>
    <w:rsid w:val="003341BC"/>
    <w:rsid w:val="00343692"/>
    <w:rsid w:val="0035199B"/>
    <w:rsid w:val="003604D2"/>
    <w:rsid w:val="004015B4"/>
    <w:rsid w:val="004100F2"/>
    <w:rsid w:val="00414F9A"/>
    <w:rsid w:val="00462CD4"/>
    <w:rsid w:val="004878AD"/>
    <w:rsid w:val="004A3387"/>
    <w:rsid w:val="004B49B9"/>
    <w:rsid w:val="004C4369"/>
    <w:rsid w:val="004D76F5"/>
    <w:rsid w:val="004F678B"/>
    <w:rsid w:val="005B66EE"/>
    <w:rsid w:val="00674869"/>
    <w:rsid w:val="0069695B"/>
    <w:rsid w:val="006A7E62"/>
    <w:rsid w:val="006B2D54"/>
    <w:rsid w:val="006D399C"/>
    <w:rsid w:val="006E680F"/>
    <w:rsid w:val="0070314A"/>
    <w:rsid w:val="007133D1"/>
    <w:rsid w:val="007400AA"/>
    <w:rsid w:val="007527A9"/>
    <w:rsid w:val="00766E85"/>
    <w:rsid w:val="007A3B70"/>
    <w:rsid w:val="00817A3B"/>
    <w:rsid w:val="008330CE"/>
    <w:rsid w:val="00852FF8"/>
    <w:rsid w:val="00856132"/>
    <w:rsid w:val="008638BD"/>
    <w:rsid w:val="00886320"/>
    <w:rsid w:val="008C05AE"/>
    <w:rsid w:val="008D2E05"/>
    <w:rsid w:val="008F36AB"/>
    <w:rsid w:val="009466A1"/>
    <w:rsid w:val="009770E2"/>
    <w:rsid w:val="009E0A4A"/>
    <w:rsid w:val="009F1AFB"/>
    <w:rsid w:val="00A13852"/>
    <w:rsid w:val="00A201C3"/>
    <w:rsid w:val="00A20B11"/>
    <w:rsid w:val="00A25E19"/>
    <w:rsid w:val="00A60B31"/>
    <w:rsid w:val="00A91BF8"/>
    <w:rsid w:val="00A95D14"/>
    <w:rsid w:val="00AB7C6C"/>
    <w:rsid w:val="00B0027C"/>
    <w:rsid w:val="00B00B03"/>
    <w:rsid w:val="00B065F2"/>
    <w:rsid w:val="00B777B5"/>
    <w:rsid w:val="00B806DB"/>
    <w:rsid w:val="00BB4D20"/>
    <w:rsid w:val="00BC11A4"/>
    <w:rsid w:val="00BC5201"/>
    <w:rsid w:val="00BD71C4"/>
    <w:rsid w:val="00C223CF"/>
    <w:rsid w:val="00C311F0"/>
    <w:rsid w:val="00C35F7E"/>
    <w:rsid w:val="00C44E65"/>
    <w:rsid w:val="00CB14FE"/>
    <w:rsid w:val="00CF3728"/>
    <w:rsid w:val="00D01908"/>
    <w:rsid w:val="00D26075"/>
    <w:rsid w:val="00DC4205"/>
    <w:rsid w:val="00E21378"/>
    <w:rsid w:val="00E72CB8"/>
    <w:rsid w:val="00E74237"/>
    <w:rsid w:val="00E7738D"/>
    <w:rsid w:val="00E95948"/>
    <w:rsid w:val="00EA082B"/>
    <w:rsid w:val="00F12F99"/>
    <w:rsid w:val="00FB4A68"/>
    <w:rsid w:val="00F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48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48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1B3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31B3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1B3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31B31"/>
    <w:rPr>
      <w:rFonts w:eastAsiaTheme="minorEastAsia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31B3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1B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B3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131B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0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88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9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7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2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5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5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80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cbi.nlm.nih.gov/pubmed/?term=Riccioni%20ME%5BAuthor%5D&amp;cauthor=true&amp;cauthor_uid=31174568" TargetMode="External"/><Relationship Id="rId18" Type="http://schemas.openxmlformats.org/officeDocument/2006/relationships/hyperlink" Target="https://www.ncbi.nlm.nih.gov/pubmed/31174568" TargetMode="External"/><Relationship Id="rId26" Type="http://schemas.openxmlformats.org/officeDocument/2006/relationships/hyperlink" Target="https://www.ncbi.nlm.nih.gov/pubmed/?term=Bloomfield%20GS%5BAuthor%5D&amp;cauthor=true&amp;cauthor_uid=272252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Brinjikji%20W%5BAuthor%5D&amp;cauthor=true&amp;cauthor_uid=308884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Tortora%20A%5BAuthor%5D&amp;cauthor=true&amp;cauthor_uid=31174568" TargetMode="External"/><Relationship Id="rId17" Type="http://schemas.openxmlformats.org/officeDocument/2006/relationships/hyperlink" Target="https://www.ncbi.nlm.nih.gov/pubmed/?term=Gasbarrini%20A%5BAuthor%5D&amp;cauthor=true&amp;cauthor_uid=31174568" TargetMode="External"/><Relationship Id="rId25" Type="http://schemas.openxmlformats.org/officeDocument/2006/relationships/hyperlink" Target="https://www.ncbi.nlm.nih.gov/pubmed/?term=Koech%20C%5BAuthor%5D&amp;cauthor=true&amp;cauthor_uid=27225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Holleran%20G%5BAuthor%5D&amp;cauthor=true&amp;cauthor_uid=31174568" TargetMode="External"/><Relationship Id="rId20" Type="http://schemas.openxmlformats.org/officeDocument/2006/relationships/hyperlink" Target="https://www.ncbi.nlm.nih.gov/pubmed/?term=Welch%20BT%5BAuthor%5D&amp;cauthor=true&amp;cauthor_uid=30888464" TargetMode="External"/><Relationship Id="rId29" Type="http://schemas.openxmlformats.org/officeDocument/2006/relationships/hyperlink" Target="https://www.ncbi.nlm.nih.gov/pubmed/?term=Lodhi%20MU%5BAuthor%5D&amp;cauthor=true&amp;cauthor_uid=30949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bi.nlm.nih.gov/pubmed/?term=Siika%20A%5BAuthor%5D&amp;cauthor=true&amp;cauthor_uid=2722522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Ojetti%20V%5BAuthor%5D&amp;cauthor=true&amp;cauthor_uid=31174568" TargetMode="External"/><Relationship Id="rId23" Type="http://schemas.openxmlformats.org/officeDocument/2006/relationships/hyperlink" Target="https://www.ncbi.nlm.nih.gov/pubmed/?term=Kiyeng%20JC%5BAuthor%5D&amp;cauthor=true&amp;cauthor_uid=27225226" TargetMode="External"/><Relationship Id="rId28" Type="http://schemas.openxmlformats.org/officeDocument/2006/relationships/hyperlink" Target="https://www.ncbi.nlm.nih.gov/pubmed/?term=Ijaz%20HM%5BAuthor%5D&amp;cauthor=true&amp;cauthor_uid=3094942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ncbi.nlm.nih.gov/pubmed/?term=Welle%20CL%5BAuthor%5D&amp;cauthor=true&amp;cauthor_uid=3088846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pemery@yahoo.fr" TargetMode="External"/><Relationship Id="rId14" Type="http://schemas.openxmlformats.org/officeDocument/2006/relationships/hyperlink" Target="https://www.ncbi.nlm.nih.gov/pubmed/?term=Gaetani%20E%5BAuthor%5D&amp;cauthor=true&amp;cauthor_uid=31174568" TargetMode="External"/><Relationship Id="rId22" Type="http://schemas.openxmlformats.org/officeDocument/2006/relationships/hyperlink" Target="https://www.ncbi.nlm.nih.gov/pubmed/30949422" TargetMode="External"/><Relationship Id="rId27" Type="http://schemas.openxmlformats.org/officeDocument/2006/relationships/hyperlink" Target="https://www.ncbi.nlm.nih.gov/pubmed/27225226" TargetMode="External"/><Relationship Id="rId30" Type="http://schemas.openxmlformats.org/officeDocument/2006/relationships/hyperlink" Target="https://www.ncbi.nlm.nih.gov/pubmed/?term=Chowdhury%20W%5BAuthor%5D&amp;cauthor=true&amp;cauthor_uid=309494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88AC-6B82-4066-A585-A56E615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017-001</dc:creator>
  <cp:lastModifiedBy>NAS</cp:lastModifiedBy>
  <cp:revision>5</cp:revision>
  <dcterms:created xsi:type="dcterms:W3CDTF">2020-01-05T11:00:00Z</dcterms:created>
  <dcterms:modified xsi:type="dcterms:W3CDTF">2020-01-07T07:07:00Z</dcterms:modified>
</cp:coreProperties>
</file>