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E941B1">
        <w:rPr>
          <w:rFonts w:ascii="Arial Narrow" w:hAnsi="Arial Narrow"/>
        </w:rPr>
        <w:t xml:space="preserve"> Michael NKO’O</w:t>
      </w:r>
    </w:p>
    <w:p w:rsidR="00650730" w:rsidRPr="00650730" w:rsidRDefault="005514C3" w:rsidP="00650730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650730" w:rsidRPr="00650730">
        <w:rPr>
          <w:rFonts w:ascii="Arial Narrow" w:hAnsi="Arial Narrow"/>
          <w:b/>
          <w:bCs/>
        </w:rPr>
        <w:t>Facteurs Pronostiques du Cancer Colorectal au Cameroun</w:t>
      </w:r>
    </w:p>
    <w:p w:rsidR="00577F02" w:rsidRPr="00650730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r w:rsidR="00650730" w:rsidRPr="00650730">
        <w:rPr>
          <w:rFonts w:ascii="Arial Narrow" w:hAnsi="Arial Narrow"/>
          <w:bCs/>
          <w:iCs/>
        </w:rPr>
        <w:t xml:space="preserve">Servais Albert Fiacre </w:t>
      </w:r>
      <w:proofErr w:type="spellStart"/>
      <w:r w:rsidR="00650730" w:rsidRPr="00650730">
        <w:rPr>
          <w:rFonts w:ascii="Arial Narrow" w:hAnsi="Arial Narrow"/>
          <w:bCs/>
          <w:iCs/>
        </w:rPr>
        <w:t>Bagnaka</w:t>
      </w:r>
      <w:proofErr w:type="spellEnd"/>
      <w:r w:rsidR="00650730" w:rsidRPr="00650730">
        <w:rPr>
          <w:rFonts w:ascii="Arial Narrow" w:hAnsi="Arial Narrow"/>
          <w:bCs/>
          <w:iCs/>
        </w:rPr>
        <w:t xml:space="preserve"> </w:t>
      </w:r>
      <w:proofErr w:type="spellStart"/>
      <w:r w:rsidR="00650730" w:rsidRPr="00650730">
        <w:rPr>
          <w:rFonts w:ascii="Arial Narrow" w:hAnsi="Arial Narrow"/>
          <w:bCs/>
          <w:iCs/>
        </w:rPr>
        <w:t>Eloumou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650730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C0423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65073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65073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65073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</w:t>
            </w:r>
            <w:r w:rsidR="00C0423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65073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65073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5C7C4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50730" w:rsidP="00C3368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</w:t>
            </w:r>
            <w:r w:rsidR="00C336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92</w:t>
            </w:r>
            <w:r w:rsidR="005C7C4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83294" w:rsidP="0065073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65073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48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D8329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D8329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D8329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C02D3" w:rsidP="00C3368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50</w:t>
            </w:r>
            <w:r w:rsidR="00C336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E603D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3C02D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E603D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  <w:r w:rsidR="003C02D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pas dit clairement 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C02D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1B3A3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CA368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1B3A30" w:rsidP="001B3A3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733</w:t>
            </w:r>
            <w:r w:rsid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CA368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1B3A3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1B3A3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CA368A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B3A30" w:rsidP="001B3A30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</w:t>
            </w:r>
            <w:r w:rsidR="00CA368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tableaux et 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</w:t>
            </w:r>
            <w:r w:rsidR="00CA368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B3A30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598</w:t>
            </w:r>
            <w:r w:rsidR="005C7C4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et</w:t>
            </w:r>
            <w:r w:rsid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54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5C7C4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5744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C7C4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5744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7442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CA368A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74428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</w:t>
            </w:r>
            <w:r w:rsidR="00CA368A" w:rsidRP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574428" w:rsidP="0057442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Chirurgiens,</w:t>
            </w:r>
            <w:r w:rsidR="005C7C46">
              <w:rPr>
                <w:rFonts w:ascii="Arial Narrow" w:hAnsi="Arial Narrow"/>
                <w:sz w:val="20"/>
              </w:rPr>
              <w:t xml:space="preserve"> oncologues,</w:t>
            </w:r>
            <w:r>
              <w:rPr>
                <w:rFonts w:ascii="Arial Narrow" w:hAnsi="Arial Narrow"/>
                <w:sz w:val="20"/>
              </w:rPr>
              <w:t xml:space="preserve"> gastro-entérologues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574428" w:rsidP="0057442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pathologie cancéreuse</w:t>
            </w:r>
            <w:r w:rsidR="005C7C46">
              <w:rPr>
                <w:rFonts w:ascii="Arial Narrow" w:hAnsi="Arial Narrow"/>
                <w:sz w:val="20"/>
              </w:rPr>
              <w:t xml:space="preserve"> est de traitement difficile dans notre contexte</w:t>
            </w:r>
            <w:r>
              <w:rPr>
                <w:rFonts w:ascii="Arial Narrow" w:hAnsi="Arial Narrow"/>
                <w:sz w:val="20"/>
              </w:rPr>
              <w:t xml:space="preserve">, au vu des moyens diagnostiques disponible, du diagnostic tardif. Dès lors la question du pronostic que soulève l’article est pertinente, notamment le </w:t>
            </w:r>
            <w:proofErr w:type="spellStart"/>
            <w:r>
              <w:rPr>
                <w:rFonts w:ascii="Arial Narrow" w:hAnsi="Arial Narrow"/>
                <w:sz w:val="20"/>
              </w:rPr>
              <w:t>CCR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qui est une pathologie qui affecte souvent la population jeune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Default="00386F7D" w:rsidP="00CF6FE1"/>
    <w:p w:rsidR="00CA368A" w:rsidRDefault="00CA368A" w:rsidP="00CF6FE1"/>
    <w:sectPr w:rsidR="00CA368A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B95E19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B95E19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B95E19">
                    <w:fldChar w:fldCharType="begin"/>
                  </w:r>
                  <w:r w:rsidR="00E8152A">
                    <w:instrText>PAGE   \* MERGEFORMAT</w:instrText>
                  </w:r>
                  <w:r w:rsidRPr="00B95E19">
                    <w:fldChar w:fldCharType="separate"/>
                  </w:r>
                  <w:r w:rsidR="00574428" w:rsidRPr="00574428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</w:t>
    </w:r>
    <w:r w:rsidR="00E8152A">
      <w:rPr>
        <w:rFonts w:ascii="Times New Roman" w:hAnsi="Times New Roman"/>
        <w:sz w:val="20"/>
        <w:szCs w:val="20"/>
        <w:lang w:val="en-US"/>
      </w:rPr>
      <w:t xml:space="preserve">Dis: Vol </w:t>
    </w:r>
    <w:r w:rsidR="00560FCC">
      <w:rPr>
        <w:rFonts w:ascii="Times New Roman" w:hAnsi="Times New Roman"/>
        <w:sz w:val="20"/>
        <w:szCs w:val="20"/>
        <w:lang w:val="en-US"/>
      </w:rPr>
      <w:t>2</w:t>
    </w:r>
    <w:r w:rsidR="00574428">
      <w:rPr>
        <w:rFonts w:ascii="Times New Roman" w:hAnsi="Times New Roman"/>
        <w:sz w:val="20"/>
        <w:szCs w:val="20"/>
        <w:lang w:val="en-US"/>
      </w:rPr>
      <w:t>1</w:t>
    </w:r>
    <w:r w:rsidR="00530A53">
      <w:rPr>
        <w:rFonts w:ascii="Times New Roman" w:hAnsi="Times New Roman"/>
        <w:sz w:val="20"/>
        <w:szCs w:val="20"/>
        <w:lang w:val="en-US"/>
      </w:rPr>
      <w:t xml:space="preserve"> (</w:t>
    </w:r>
    <w:r w:rsidR="00574428">
      <w:rPr>
        <w:rFonts w:ascii="Times New Roman" w:hAnsi="Times New Roman"/>
        <w:sz w:val="20"/>
        <w:szCs w:val="20"/>
        <w:lang w:val="en-US"/>
      </w:rPr>
      <w:t>2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74428">
      <w:rPr>
        <w:rFonts w:ascii="Times New Roman" w:hAnsi="Times New Roman"/>
        <w:sz w:val="20"/>
        <w:szCs w:val="20"/>
        <w:lang w:val="en-US"/>
      </w:rPr>
      <w:t>20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B3A30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02D3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42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C7C46"/>
    <w:rsid w:val="005D1952"/>
    <w:rsid w:val="005D657C"/>
    <w:rsid w:val="005D7C96"/>
    <w:rsid w:val="005E4238"/>
    <w:rsid w:val="005E6C3E"/>
    <w:rsid w:val="005F6716"/>
    <w:rsid w:val="00603EF7"/>
    <w:rsid w:val="00604576"/>
    <w:rsid w:val="00634C9A"/>
    <w:rsid w:val="00635977"/>
    <w:rsid w:val="00637E73"/>
    <w:rsid w:val="00646120"/>
    <w:rsid w:val="00646657"/>
    <w:rsid w:val="00650385"/>
    <w:rsid w:val="00650730"/>
    <w:rsid w:val="00653465"/>
    <w:rsid w:val="00656AAC"/>
    <w:rsid w:val="00661A1D"/>
    <w:rsid w:val="00666858"/>
    <w:rsid w:val="006920BA"/>
    <w:rsid w:val="006A4AD2"/>
    <w:rsid w:val="006B4CD9"/>
    <w:rsid w:val="006C239B"/>
    <w:rsid w:val="006C374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010E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5E19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423E"/>
    <w:rsid w:val="00C0659A"/>
    <w:rsid w:val="00C13B7A"/>
    <w:rsid w:val="00C14724"/>
    <w:rsid w:val="00C23C5E"/>
    <w:rsid w:val="00C3368D"/>
    <w:rsid w:val="00C36F5D"/>
    <w:rsid w:val="00C55AF4"/>
    <w:rsid w:val="00C56839"/>
    <w:rsid w:val="00C7253F"/>
    <w:rsid w:val="00C81E05"/>
    <w:rsid w:val="00C9417E"/>
    <w:rsid w:val="00C94E2A"/>
    <w:rsid w:val="00CA368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83294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03D1"/>
    <w:rsid w:val="00E64123"/>
    <w:rsid w:val="00E64F74"/>
    <w:rsid w:val="00E66757"/>
    <w:rsid w:val="00E76390"/>
    <w:rsid w:val="00E8152A"/>
    <w:rsid w:val="00E9190C"/>
    <w:rsid w:val="00E941B1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6494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2020-01-07T08:16:00Z</dcterms:created>
  <dcterms:modified xsi:type="dcterms:W3CDTF">2020-01-07T09:16:00Z</dcterms:modified>
</cp:coreProperties>
</file>