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ascii="Times New Roman" w:hAnsi="Times New Roman"/>
          <w:b/>
          <w:sz w:val="24"/>
          <w:lang w:val="en-US"/>
        </w:rPr>
      </w:pPr>
      <w:r>
        <w:rPr>
          <w:rFonts w:ascii="Times New Roman" w:hAnsi="Times New Roman"/>
          <w:sz w:val="24"/>
          <w:lang w:eastAsia="fr-FR"/>
        </w:rPr>
        <w:drawing>
          <wp:anchor distT="0" distB="0" distL="114300" distR="114300" simplePos="0" relativeHeight="251658240"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i/>
          <w:iCs/>
          <w:color w:val="4F81BD"/>
          <w:spacing w:val="15"/>
          <w:lang w:val="en-US" w:bidi="en-US"/>
        </w:rPr>
      </w:pPr>
      <w:r>
        <w:rPr>
          <w:rFonts w:hint="default" w:ascii="Times New Roman" w:hAnsi="Times New Roman" w:eastAsia="Times New Roman"/>
          <w:b/>
          <w:bCs/>
          <w:color w:val="17365D"/>
          <w:spacing w:val="5"/>
          <w:sz w:val="32"/>
          <w:szCs w:val="72"/>
        </w:rPr>
        <w:t>Motifs d’</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dmission pour </w:t>
      </w:r>
      <w:r>
        <w:rPr>
          <w:rFonts w:hint="default" w:ascii="Times New Roman" w:hAnsi="Times New Roman" w:eastAsia="Times New Roman"/>
          <w:b/>
          <w:bCs/>
          <w:color w:val="17365D"/>
          <w:spacing w:val="5"/>
          <w:sz w:val="32"/>
          <w:szCs w:val="72"/>
          <w:lang w:val="fr-FR"/>
        </w:rPr>
        <w:t>P</w:t>
      </w:r>
      <w:r>
        <w:rPr>
          <w:rFonts w:hint="default" w:ascii="Times New Roman" w:hAnsi="Times New Roman" w:eastAsia="Times New Roman"/>
          <w:b/>
          <w:bCs/>
          <w:color w:val="17365D"/>
          <w:spacing w:val="5"/>
          <w:sz w:val="32"/>
          <w:szCs w:val="72"/>
        </w:rPr>
        <w:t xml:space="preserve">athologies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ardiovasculaires dans le </w:t>
      </w:r>
      <w:r>
        <w:rPr>
          <w:rFonts w:hint="default" w:ascii="Times New Roman" w:hAnsi="Times New Roman" w:eastAsia="Times New Roman"/>
          <w:b/>
          <w:bCs/>
          <w:color w:val="17365D"/>
          <w:spacing w:val="5"/>
          <w:sz w:val="32"/>
          <w:szCs w:val="72"/>
          <w:lang w:val="fr-FR"/>
        </w:rPr>
        <w:t>S</w:t>
      </w:r>
      <w:r>
        <w:rPr>
          <w:rFonts w:hint="default" w:ascii="Times New Roman" w:hAnsi="Times New Roman" w:eastAsia="Times New Roman"/>
          <w:b/>
          <w:bCs/>
          <w:color w:val="17365D"/>
          <w:spacing w:val="5"/>
          <w:sz w:val="32"/>
          <w:szCs w:val="72"/>
        </w:rPr>
        <w:t xml:space="preserve">ervice de </w:t>
      </w:r>
      <w:r>
        <w:rPr>
          <w:rFonts w:hint="default" w:ascii="Times New Roman" w:hAnsi="Times New Roman" w:eastAsia="Times New Roman"/>
          <w:b/>
          <w:bCs/>
          <w:color w:val="17365D"/>
          <w:spacing w:val="5"/>
          <w:sz w:val="32"/>
          <w:szCs w:val="72"/>
          <w:lang w:val="fr-FR"/>
        </w:rPr>
        <w:t>M</w:t>
      </w:r>
      <w:r>
        <w:rPr>
          <w:rFonts w:hint="default" w:ascii="Times New Roman" w:hAnsi="Times New Roman" w:eastAsia="Times New Roman"/>
          <w:b/>
          <w:bCs/>
          <w:color w:val="17365D"/>
          <w:spacing w:val="5"/>
          <w:sz w:val="32"/>
          <w:szCs w:val="72"/>
        </w:rPr>
        <w:t>édecine à l’</w:t>
      </w:r>
      <w:r>
        <w:rPr>
          <w:rFonts w:hint="default" w:ascii="Times New Roman" w:hAnsi="Times New Roman" w:eastAsia="Times New Roman"/>
          <w:b/>
          <w:bCs/>
          <w:color w:val="17365D"/>
          <w:spacing w:val="5"/>
          <w:sz w:val="32"/>
          <w:szCs w:val="72"/>
          <w:lang w:val="fr-FR"/>
        </w:rPr>
        <w:t>H</w:t>
      </w:r>
      <w:r>
        <w:rPr>
          <w:rFonts w:hint="default" w:ascii="Times New Roman" w:hAnsi="Times New Roman" w:eastAsia="Times New Roman"/>
          <w:b/>
          <w:bCs/>
          <w:color w:val="17365D"/>
          <w:spacing w:val="5"/>
          <w:sz w:val="32"/>
          <w:szCs w:val="72"/>
        </w:rPr>
        <w:t>ôpital du Mali de Bamako</w:t>
      </w:r>
      <w:r>
        <w:rPr>
          <w:rFonts w:ascii="Times New Roman" w:hAnsi="Times New Roman" w:eastAsia="Times New Roman"/>
          <w:b/>
          <w:bCs/>
          <w:i/>
          <w:iCs/>
          <w:color w:val="4F81BD"/>
          <w:spacing w:val="15"/>
          <w:lang w:val="en-US" w:bidi="en-US"/>
        </w:rPr>
        <w:br w:type="textWrapping"/>
      </w:r>
      <w:r>
        <w:rPr>
          <w:rFonts w:ascii="Times New Roman" w:hAnsi="Times New Roman" w:eastAsia="Times New Roman"/>
          <w:b/>
          <w:bCs/>
          <w:i/>
          <w:iCs/>
          <w:color w:val="4F81BD"/>
          <w:spacing w:val="15"/>
          <w:lang w:val="en-US" w:bidi="en-US"/>
        </w:rPr>
        <w:t>Reasons for Admission for Cardiovascular Pathologies in the Medicine Service at the Mali hospital of bamako</w:t>
      </w:r>
    </w:p>
    <w:p>
      <w:pPr>
        <w:spacing w:after="0" w:line="240" w:lineRule="auto"/>
        <w:jc w:val="center"/>
        <w:rPr>
          <w:rFonts w:ascii="Times New Roman" w:hAnsi="Times New Roman"/>
          <w:sz w:val="24"/>
          <w:szCs w:val="20"/>
        </w:rPr>
      </w:pPr>
      <w:r>
        <w:rPr>
          <w:rFonts w:hint="default" w:ascii="Times New Roman" w:hAnsi="Times New Roman"/>
          <w:sz w:val="24"/>
          <w:szCs w:val="20"/>
        </w:rPr>
        <w:t>Konaté M</w:t>
      </w:r>
      <w:r>
        <w:rPr>
          <w:rFonts w:hint="default" w:ascii="Times New Roman" w:hAnsi="Times New Roman"/>
          <w:sz w:val="24"/>
          <w:szCs w:val="20"/>
          <w:vertAlign w:val="superscript"/>
        </w:rPr>
        <w:t>1</w:t>
      </w:r>
      <w:r>
        <w:rPr>
          <w:rFonts w:hint="default" w:ascii="Times New Roman" w:hAnsi="Times New Roman"/>
          <w:sz w:val="24"/>
          <w:szCs w:val="20"/>
        </w:rPr>
        <w:t>, Sidibé S</w:t>
      </w:r>
      <w:r>
        <w:rPr>
          <w:rFonts w:hint="default" w:ascii="Times New Roman" w:hAnsi="Times New Roman"/>
          <w:sz w:val="24"/>
          <w:szCs w:val="20"/>
          <w:vertAlign w:val="superscript"/>
        </w:rPr>
        <w:t>2</w:t>
      </w:r>
      <w:r>
        <w:rPr>
          <w:rFonts w:hint="default" w:ascii="Times New Roman" w:hAnsi="Times New Roman"/>
          <w:sz w:val="24"/>
          <w:szCs w:val="20"/>
        </w:rPr>
        <w:t>, Thiam CA</w:t>
      </w:r>
      <w:r>
        <w:rPr>
          <w:rFonts w:hint="default" w:ascii="Times New Roman" w:hAnsi="Times New Roman"/>
          <w:sz w:val="24"/>
          <w:szCs w:val="20"/>
          <w:vertAlign w:val="superscript"/>
        </w:rPr>
        <w:t>3</w:t>
      </w:r>
      <w:r>
        <w:rPr>
          <w:rFonts w:hint="default" w:ascii="Times New Roman" w:hAnsi="Times New Roman"/>
          <w:sz w:val="24"/>
          <w:szCs w:val="20"/>
        </w:rPr>
        <w:t>, Sow DS</w:t>
      </w:r>
      <w:r>
        <w:rPr>
          <w:rFonts w:hint="default" w:ascii="Times New Roman" w:hAnsi="Times New Roman"/>
          <w:sz w:val="24"/>
          <w:szCs w:val="20"/>
          <w:vertAlign w:val="superscript"/>
        </w:rPr>
        <w:t>1</w:t>
      </w:r>
      <w:r>
        <w:rPr>
          <w:rFonts w:hint="default" w:ascii="Times New Roman" w:hAnsi="Times New Roman"/>
          <w:sz w:val="24"/>
          <w:szCs w:val="20"/>
        </w:rPr>
        <w:t>, Ba HO</w:t>
      </w:r>
      <w:r>
        <w:rPr>
          <w:rFonts w:hint="default" w:ascii="Times New Roman" w:hAnsi="Times New Roman"/>
          <w:sz w:val="24"/>
          <w:szCs w:val="20"/>
          <w:vertAlign w:val="superscript"/>
        </w:rPr>
        <w:t>4</w:t>
      </w:r>
      <w:r>
        <w:rPr>
          <w:rFonts w:hint="default" w:ascii="Times New Roman" w:hAnsi="Times New Roman"/>
          <w:sz w:val="24"/>
          <w:szCs w:val="20"/>
        </w:rPr>
        <w:t>, Maiga A</w:t>
      </w:r>
      <w:r>
        <w:rPr>
          <w:rFonts w:hint="default" w:ascii="Times New Roman" w:hAnsi="Times New Roman"/>
          <w:sz w:val="24"/>
          <w:szCs w:val="20"/>
          <w:vertAlign w:val="superscript"/>
        </w:rPr>
        <w:t>5</w:t>
      </w:r>
      <w:r>
        <w:rPr>
          <w:rFonts w:hint="default" w:ascii="Times New Roman" w:hAnsi="Times New Roman"/>
          <w:sz w:val="24"/>
          <w:szCs w:val="20"/>
        </w:rPr>
        <w:t>, Sangare I</w:t>
      </w:r>
      <w:r>
        <w:rPr>
          <w:rFonts w:hint="default" w:ascii="Times New Roman" w:hAnsi="Times New Roman"/>
          <w:sz w:val="24"/>
          <w:szCs w:val="20"/>
          <w:vertAlign w:val="superscript"/>
        </w:rPr>
        <w:t>4</w:t>
      </w:r>
      <w:r>
        <w:rPr>
          <w:rFonts w:hint="default" w:ascii="Times New Roman" w:hAnsi="Times New Roman"/>
          <w:sz w:val="24"/>
          <w:szCs w:val="20"/>
        </w:rPr>
        <w:t>, Traoré D</w:t>
      </w:r>
      <w:r>
        <w:rPr>
          <w:rFonts w:hint="default" w:ascii="Times New Roman" w:hAnsi="Times New Roman"/>
          <w:sz w:val="24"/>
          <w:szCs w:val="20"/>
          <w:vertAlign w:val="superscript"/>
        </w:rPr>
        <w:t>6</w:t>
      </w:r>
      <w:r>
        <w:rPr>
          <w:rFonts w:hint="default" w:ascii="Times New Roman" w:hAnsi="Times New Roman"/>
          <w:sz w:val="24"/>
          <w:szCs w:val="20"/>
        </w:rPr>
        <w:t>, Coulibaly S</w:t>
      </w:r>
      <w:r>
        <w:rPr>
          <w:rFonts w:hint="default" w:ascii="Times New Roman" w:hAnsi="Times New Roman"/>
          <w:sz w:val="24"/>
          <w:szCs w:val="20"/>
          <w:vertAlign w:val="superscript"/>
        </w:rPr>
        <w:t>2</w:t>
      </w:r>
      <w:r>
        <w:rPr>
          <w:rFonts w:hint="default" w:ascii="Times New Roman" w:hAnsi="Times New Roman"/>
          <w:sz w:val="24"/>
          <w:szCs w:val="20"/>
        </w:rPr>
        <w:t>, Traoré B</w:t>
      </w:r>
      <w:r>
        <w:rPr>
          <w:rFonts w:hint="default" w:ascii="Times New Roman" w:hAnsi="Times New Roman"/>
          <w:sz w:val="24"/>
          <w:szCs w:val="20"/>
          <w:vertAlign w:val="superscript"/>
        </w:rPr>
        <w:t>1</w:t>
      </w:r>
      <w:r>
        <w:rPr>
          <w:rFonts w:hint="default" w:ascii="Times New Roman" w:hAnsi="Times New Roman"/>
          <w:sz w:val="24"/>
          <w:szCs w:val="20"/>
        </w:rPr>
        <w:t>, Mariko M</w:t>
      </w:r>
      <w:r>
        <w:rPr>
          <w:rFonts w:hint="default" w:ascii="Times New Roman" w:hAnsi="Times New Roman"/>
          <w:sz w:val="24"/>
          <w:szCs w:val="20"/>
          <w:vertAlign w:val="superscript"/>
        </w:rPr>
        <w:t>1</w:t>
      </w:r>
      <w:r>
        <w:rPr>
          <w:rFonts w:hint="default" w:ascii="Times New Roman" w:hAnsi="Times New Roman"/>
          <w:sz w:val="24"/>
          <w:szCs w:val="20"/>
        </w:rPr>
        <w:t>, Ouologuem N</w:t>
      </w:r>
      <w:r>
        <w:rPr>
          <w:rFonts w:hint="default" w:ascii="Times New Roman" w:hAnsi="Times New Roman"/>
          <w:sz w:val="24"/>
          <w:szCs w:val="20"/>
          <w:vertAlign w:val="superscript"/>
        </w:rPr>
        <w:t>1</w:t>
      </w:r>
      <w:r>
        <w:rPr>
          <w:rFonts w:hint="default" w:ascii="Times New Roman" w:hAnsi="Times New Roman"/>
          <w:sz w:val="24"/>
          <w:szCs w:val="20"/>
        </w:rPr>
        <w:t>, Koné A</w:t>
      </w:r>
      <w:r>
        <w:rPr>
          <w:rFonts w:hint="default" w:ascii="Times New Roman" w:hAnsi="Times New Roman"/>
          <w:sz w:val="24"/>
          <w:szCs w:val="20"/>
          <w:vertAlign w:val="superscript"/>
        </w:rPr>
        <w:t>1</w:t>
      </w:r>
      <w:r>
        <w:rPr>
          <w:rFonts w:hint="default" w:ascii="Times New Roman" w:hAnsi="Times New Roman"/>
          <w:sz w:val="24"/>
          <w:szCs w:val="20"/>
        </w:rPr>
        <w:t>, Camara Y</w:t>
      </w:r>
      <w:r>
        <w:rPr>
          <w:rFonts w:hint="default" w:ascii="Times New Roman" w:hAnsi="Times New Roman"/>
          <w:sz w:val="24"/>
          <w:szCs w:val="20"/>
          <w:vertAlign w:val="superscript"/>
        </w:rPr>
        <w:t>3</w:t>
      </w:r>
      <w:r>
        <w:rPr>
          <w:rFonts w:hint="default" w:ascii="Times New Roman" w:hAnsi="Times New Roman"/>
          <w:sz w:val="24"/>
          <w:szCs w:val="20"/>
        </w:rPr>
        <w:t>, Diallo YL</w:t>
      </w:r>
      <w:r>
        <w:rPr>
          <w:rFonts w:hint="default" w:ascii="Times New Roman" w:hAnsi="Times New Roman"/>
          <w:sz w:val="24"/>
          <w:szCs w:val="20"/>
          <w:vertAlign w:val="superscript"/>
        </w:rPr>
        <w:t>1</w:t>
      </w:r>
      <w:r>
        <w:rPr>
          <w:rFonts w:hint="default" w:ascii="Times New Roman" w:hAnsi="Times New Roman"/>
          <w:sz w:val="24"/>
          <w:szCs w:val="20"/>
        </w:rPr>
        <w:t>, Traoré Z</w:t>
      </w:r>
      <w:r>
        <w:rPr>
          <w:rFonts w:hint="default" w:ascii="Times New Roman" w:hAnsi="Times New Roman"/>
          <w:sz w:val="24"/>
          <w:szCs w:val="20"/>
          <w:vertAlign w:val="superscript"/>
        </w:rPr>
        <w:t>1</w:t>
      </w:r>
      <w:r>
        <w:rPr>
          <w:rFonts w:hint="default" w:ascii="Times New Roman" w:hAnsi="Times New Roman"/>
          <w:sz w:val="24"/>
          <w:szCs w:val="20"/>
        </w:rPr>
        <w:t>, Doumbia N</w:t>
      </w:r>
      <w:r>
        <w:rPr>
          <w:rFonts w:hint="default" w:ascii="Times New Roman" w:hAnsi="Times New Roman"/>
          <w:sz w:val="24"/>
          <w:szCs w:val="20"/>
          <w:vertAlign w:val="superscript"/>
        </w:rPr>
        <w:t>1</w:t>
      </w:r>
      <w:r>
        <w:rPr>
          <w:rFonts w:hint="default" w:ascii="Times New Roman" w:hAnsi="Times New Roman"/>
          <w:sz w:val="24"/>
          <w:szCs w:val="20"/>
        </w:rPr>
        <w:t>, Menta I</w:t>
      </w:r>
      <w:r>
        <w:rPr>
          <w:rFonts w:hint="default" w:ascii="Times New Roman" w:hAnsi="Times New Roman"/>
          <w:sz w:val="24"/>
          <w:szCs w:val="20"/>
          <w:vertAlign w:val="superscript"/>
        </w:rPr>
        <w:t>5</w:t>
      </w:r>
      <w:r>
        <w:rPr>
          <w:rFonts w:hint="default" w:ascii="Times New Roman" w:hAnsi="Times New Roman"/>
          <w:sz w:val="24"/>
          <w:szCs w:val="20"/>
        </w:rPr>
        <w:t>, Diallo B</w:t>
      </w:r>
      <w:r>
        <w:rPr>
          <w:rFonts w:hint="default" w:ascii="Times New Roman" w:hAnsi="Times New Roman"/>
          <w:sz w:val="24"/>
          <w:szCs w:val="20"/>
          <w:vertAlign w:val="superscript"/>
        </w:rPr>
        <w:t>2</w:t>
      </w:r>
    </w:p>
    <w:tbl>
      <w:tblPr>
        <w:tblStyle w:val="10"/>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Text Box 4" o:spid="_x0000_s1026" o:spt="202" type="#_x0000_t202" style="position:absolute;left:0pt;margin-left:3.3pt;margin-top:11.35pt;height:317.65pt;width:137.5pt;z-index:251657216;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focussize="0,0"/>
                  <v:stroke on="f" joinstyle="miter"/>
                  <v:imagedata o:title=""/>
                  <o:lock v:ext="edit"/>
                  <v:textbox>
                    <w:txbxContent>
                      <w:p>
                        <w:pPr>
                          <w:pStyle w:val="1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Médecine Hôpital du Mali</w:t>
                        </w:r>
                      </w:p>
                      <w:p>
                        <w:pPr>
                          <w:pStyle w:val="1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cardiologie CHU Point G</w:t>
                        </w:r>
                      </w:p>
                      <w:p>
                        <w:pPr>
                          <w:pStyle w:val="1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cardiologie Hôpital de Kati</w:t>
                        </w:r>
                      </w:p>
                      <w:p>
                        <w:pPr>
                          <w:pStyle w:val="17"/>
                          <w:numPr>
                            <w:ilvl w:val="0"/>
                            <w:numId w:val="1"/>
                          </w:numPr>
                          <w:spacing w:after="0" w:line="240" w:lineRule="auto"/>
                          <w:ind w:left="426"/>
                          <w:contextualSpacing w:val="0"/>
                          <w:rPr>
                            <w:rFonts w:hint="default" w:ascii="Times New Roman" w:hAnsi="Times New Roman"/>
                            <w:sz w:val="18"/>
                            <w:szCs w:val="20"/>
                          </w:rPr>
                        </w:pPr>
                        <w:r>
                          <w:rPr>
                            <w:rFonts w:hint="default" w:ascii="Times New Roman" w:hAnsi="Times New Roman"/>
                            <w:sz w:val="18"/>
                            <w:szCs w:val="20"/>
                          </w:rPr>
                          <w:t>Service de Cardiologie CHU Gabriel TOURE</w:t>
                        </w:r>
                      </w:p>
                      <w:p>
                        <w:pPr>
                          <w:pStyle w:val="1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Cardiologie CHU Mère Enfant Bamako</w:t>
                        </w:r>
                      </w:p>
                      <w:p>
                        <w:pPr>
                          <w:pStyle w:val="17"/>
                          <w:numPr>
                            <w:ilvl w:val="0"/>
                            <w:numId w:val="1"/>
                          </w:numPr>
                          <w:spacing w:after="0" w:line="240" w:lineRule="auto"/>
                          <w:ind w:left="426"/>
                          <w:contextualSpacing w:val="0"/>
                          <w:rPr>
                            <w:rFonts w:ascii="Times New Roman" w:hAnsi="Times New Roman"/>
                            <w:sz w:val="18"/>
                            <w:szCs w:val="20"/>
                          </w:rPr>
                        </w:pPr>
                        <w:r>
                          <w:rPr>
                            <w:rFonts w:hint="default" w:ascii="Times New Roman" w:hAnsi="Times New Roman"/>
                            <w:sz w:val="18"/>
                            <w:szCs w:val="20"/>
                          </w:rPr>
                          <w:t>Service de Médecine Interne CHU Point G</w:t>
                        </w:r>
                      </w:p>
                      <w:p>
                        <w:pPr>
                          <w:spacing w:after="0" w:line="240" w:lineRule="auto"/>
                          <w:ind w:left="426"/>
                          <w:rPr>
                            <w:rFonts w:ascii="Times New Roman" w:hAnsi="Times New Roman"/>
                            <w:sz w:val="18"/>
                            <w:szCs w:val="20"/>
                          </w:rPr>
                        </w:pPr>
                      </w:p>
                      <w:p>
                        <w:pPr>
                          <w:spacing w:after="0" w:line="240" w:lineRule="auto"/>
                          <w:ind w:left="426"/>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 xml:space="preserve">t : Dr </w:t>
                        </w:r>
                        <w:r>
                          <w:rPr>
                            <w:rFonts w:hint="default" w:ascii="Times New Roman" w:hAnsi="Times New Roman"/>
                            <w:sz w:val="18"/>
                            <w:szCs w:val="20"/>
                          </w:rPr>
                          <w:t>Massama KONATE</w:t>
                        </w:r>
                      </w:p>
                      <w:p>
                        <w:pPr>
                          <w:spacing w:after="0" w:line="240" w:lineRule="auto"/>
                          <w:ind w:left="426"/>
                          <w:rPr>
                            <w:rFonts w:ascii="Times New Roman" w:hAnsi="Times New Roman"/>
                            <w:sz w:val="18"/>
                            <w:szCs w:val="20"/>
                          </w:rPr>
                        </w:pPr>
                        <w:r>
                          <w:rPr>
                            <w:rFonts w:ascii="Times New Roman" w:hAnsi="Times New Roman"/>
                            <w:sz w:val="18"/>
                            <w:szCs w:val="20"/>
                          </w:rPr>
                          <w:t xml:space="preserve">Adresse e-mail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"mailto:massamakonate@gmail.com" </w:instrText>
                        </w:r>
                        <w:r>
                          <w:rPr>
                            <w:rFonts w:hint="default" w:ascii="Times New Roman" w:hAnsi="Times New Roman" w:cs="Times New Roman"/>
                            <w:sz w:val="20"/>
                            <w:szCs w:val="20"/>
                          </w:rPr>
                          <w:fldChar w:fldCharType="separate"/>
                        </w:r>
                        <w:r>
                          <w:rPr>
                            <w:rStyle w:val="8"/>
                            <w:rFonts w:hint="default" w:ascii="Times New Roman" w:hAnsi="Times New Roman" w:cs="Times New Roman"/>
                            <w:sz w:val="20"/>
                            <w:szCs w:val="20"/>
                          </w:rPr>
                          <w:t>massamakonate@gmail.com</w:t>
                        </w:r>
                        <w:r>
                          <w:rPr>
                            <w:rStyle w:val="8"/>
                            <w:rFonts w:hint="default" w:ascii="Times New Roman" w:hAnsi="Times New Roman" w:cs="Times New Roman"/>
                            <w:sz w:val="20"/>
                            <w:szCs w:val="20"/>
                          </w:rPr>
                          <w:fldChar w:fldCharType="end"/>
                        </w:r>
                      </w:p>
                      <w:p>
                        <w:pPr>
                          <w:spacing w:after="0" w:line="240" w:lineRule="auto"/>
                          <w:ind w:left="426"/>
                          <w:rPr>
                            <w:rFonts w:ascii="Times New Roman" w:hAnsi="Times New Roman"/>
                            <w:sz w:val="18"/>
                            <w:szCs w:val="20"/>
                          </w:rPr>
                        </w:pPr>
                        <w:r>
                          <w:rPr>
                            <w:rFonts w:ascii="Times New Roman" w:hAnsi="Times New Roman"/>
                            <w:sz w:val="18"/>
                            <w:szCs w:val="20"/>
                          </w:rPr>
                          <w:t xml:space="preserve">Boite postale : </w:t>
                        </w:r>
                      </w:p>
                      <w:p>
                        <w:pPr>
                          <w:spacing w:after="0" w:line="240" w:lineRule="auto"/>
                          <w:rPr>
                            <w:rFonts w:hint="default" w:ascii="Times New Roman" w:hAnsi="Times New Roman"/>
                            <w:sz w:val="18"/>
                            <w:szCs w:val="20"/>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Pathologies cardiovasculaires</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Épidémiologie -</w:t>
                        </w:r>
                        <w:r>
                          <w:rPr>
                            <w:rFonts w:hint="default" w:ascii="Times New Roman" w:hAnsi="Times New Roman"/>
                            <w:sz w:val="18"/>
                            <w:szCs w:val="20"/>
                          </w:rPr>
                          <w:t xml:space="preserve"> </w:t>
                        </w:r>
                        <w:r>
                          <w:rPr>
                            <w:rFonts w:hint="default" w:ascii="Times New Roman" w:hAnsi="Times New Roman"/>
                            <w:sz w:val="18"/>
                            <w:szCs w:val="20"/>
                            <w:lang w:val="fr-FR"/>
                          </w:rPr>
                          <w:t>C</w:t>
                        </w:r>
                        <w:r>
                          <w:rPr>
                            <w:rFonts w:hint="default" w:ascii="Times New Roman" w:hAnsi="Times New Roman"/>
                            <w:sz w:val="18"/>
                            <w:szCs w:val="20"/>
                          </w:rPr>
                          <w:t>linique</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P</w:t>
                        </w:r>
                        <w:r>
                          <w:rPr>
                            <w:rFonts w:hint="default" w:ascii="Times New Roman" w:hAnsi="Times New Roman"/>
                            <w:sz w:val="18"/>
                            <w:szCs w:val="20"/>
                          </w:rPr>
                          <w:t>araclinique</w:t>
                        </w:r>
                        <w:r>
                          <w:rPr>
                            <w:rFonts w:hint="default" w:ascii="Times New Roman" w:hAnsi="Times New Roman"/>
                            <w:sz w:val="18"/>
                            <w:szCs w:val="20"/>
                            <w:lang w:val="fr-FR"/>
                          </w:rPr>
                          <w:t xml:space="preserve"> -</w:t>
                        </w:r>
                        <w:r>
                          <w:rPr>
                            <w:rFonts w:hint="default" w:ascii="Times New Roman" w:hAnsi="Times New Roman"/>
                            <w:sz w:val="18"/>
                            <w:szCs w:val="20"/>
                          </w:rPr>
                          <w:t xml:space="preserve"> Hôpital du Mali</w:t>
                        </w:r>
                      </w:p>
                      <w:p>
                        <w:pPr>
                          <w:spacing w:after="0" w:line="240" w:lineRule="auto"/>
                          <w:rPr>
                            <w:rFonts w:ascii="Times New Roman" w:hAnsi="Times New Roman"/>
                            <w:sz w:val="20"/>
                            <w:szCs w:val="20"/>
                            <w:lang w:val="en-US"/>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eastAsia="fr-FR"/>
                          </w:rPr>
                          <w:t>Cardiovascular diseases - Diagnosis, Mali Hospital</w:t>
                        </w:r>
                      </w:p>
                    </w:txbxContent>
                  </v:textbox>
                </v:shape>
              </w:pict>
            </w: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2930" w:hRule="atLeast"/>
        </w:trPr>
        <w:tc>
          <w:tcPr>
            <w:tcW w:w="3085" w:type="dxa"/>
            <w:vMerge w:val="continue"/>
          </w:tcPr>
          <w:p>
            <w:pPr>
              <w:rPr>
                <w:b/>
                <w:bCs/>
                <w:color w:val="365F91"/>
                <w:sz w:val="20"/>
                <w:szCs w:val="18"/>
                <w:vertAlign w:val="superscript"/>
              </w:rPr>
            </w:pPr>
          </w:p>
        </w:tc>
        <w:tc>
          <w:tcPr>
            <w:tcW w:w="7088" w:type="dxa"/>
          </w:tcPr>
          <w:p>
            <w:pPr>
              <w:spacing w:after="0" w:line="240" w:lineRule="auto"/>
              <w:jc w:val="both"/>
              <w:rPr>
                <w:rFonts w:ascii="Times New Roman" w:hAnsi="Times New Roman"/>
                <w:sz w:val="20"/>
                <w:szCs w:val="18"/>
                <w:lang w:val="en-US" w:bidi="fr-FR"/>
              </w:rPr>
            </w:pPr>
            <w:r>
              <w:rPr>
                <w:rFonts w:hint="default" w:ascii="Times New Roman" w:hAnsi="Times New Roman" w:cs="Times New Roman"/>
                <w:b/>
                <w:bCs/>
                <w:color w:val="auto"/>
                <w:sz w:val="18"/>
                <w:szCs w:val="18"/>
                <w:u w:val="none"/>
                <w:lang w:val="en-US"/>
              </w:rPr>
              <w:t>Introduction</w:t>
            </w:r>
            <w:r>
              <w:rPr>
                <w:rFonts w:hint="default" w:ascii="Times New Roman" w:hAnsi="Times New Roman" w:cs="Times New Roman"/>
                <w:b/>
                <w:bCs/>
                <w:color w:val="auto"/>
                <w:sz w:val="18"/>
                <w:szCs w:val="18"/>
                <w:u w:val="none"/>
                <w:lang w:val="fr-FR"/>
              </w:rPr>
              <w:t>.</w:t>
            </w:r>
            <w:r>
              <w:rPr>
                <w:rFonts w:hint="default" w:ascii="Times New Roman" w:hAnsi="Times New Roman" w:cs="Times New Roman"/>
                <w:b w:val="0"/>
                <w:bCs w:val="0"/>
                <w:color w:val="auto"/>
                <w:sz w:val="18"/>
                <w:szCs w:val="18"/>
                <w:u w:val="none"/>
                <w:lang w:val="fr-FR"/>
              </w:rPr>
              <w:t xml:space="preserve"> </w:t>
            </w:r>
            <w:r>
              <w:rPr>
                <w:rFonts w:hint="default" w:ascii="Times New Roman" w:hAnsi="Times New Roman" w:cs="Times New Roman"/>
                <w:color w:val="auto"/>
                <w:sz w:val="18"/>
                <w:szCs w:val="18"/>
                <w:shd w:val="clear" w:color="auto" w:fill="FFFFFF"/>
                <w:lang w:val="en-US"/>
              </w:rPr>
              <w:t>Cardiovascular diseases are a public health problem in the world. According to the WHO, in 2015, they were responsible for 31% of the global mortality of the world population. Their frequency is increasing in Africa with a marked diversity of its forms.</w:t>
            </w:r>
            <w:r>
              <w:rPr>
                <w:rFonts w:hint="default" w:ascii="Times New Roman" w:hAnsi="Times New Roman" w:cs="Times New Roman"/>
                <w:color w:val="auto"/>
                <w:sz w:val="18"/>
                <w:szCs w:val="18"/>
              </w:rPr>
              <w:t xml:space="preserve"> </w:t>
            </w:r>
            <w:r>
              <w:rPr>
                <w:rFonts w:hint="default" w:ascii="Times New Roman" w:hAnsi="Times New Roman" w:eastAsia="Times New Roman" w:cs="Times New Roman"/>
                <w:color w:val="auto"/>
                <w:sz w:val="18"/>
                <w:szCs w:val="18"/>
                <w:lang w:eastAsia="fr-FR"/>
              </w:rPr>
              <w:t>There are no publications on the reasons of hospitalization for cardiovascular diseases in our structure motivating the present study. Objectives of this study were to identify these reasons and describing epidemiological, clinical and paraclinical aspects.</w:t>
            </w:r>
            <w:r>
              <w:rPr>
                <w:rFonts w:hint="default" w:ascii="Times New Roman" w:hAnsi="Times New Roman" w:eastAsia="Times New Roman" w:cs="Times New Roman"/>
                <w:color w:val="auto"/>
                <w:sz w:val="18"/>
                <w:szCs w:val="18"/>
                <w:lang w:val="en-US" w:eastAsia="fr-FR"/>
              </w:rPr>
              <w:t xml:space="preserve"> </w:t>
            </w:r>
            <w:r>
              <w:rPr>
                <w:rFonts w:hint="default" w:ascii="Times New Roman" w:hAnsi="Times New Roman" w:cs="Times New Roman"/>
                <w:b/>
                <w:bCs/>
                <w:color w:val="auto"/>
                <w:sz w:val="18"/>
                <w:szCs w:val="18"/>
                <w:u w:val="none"/>
                <w:lang w:val="en-US"/>
              </w:rPr>
              <w:t>Patients and methods</w:t>
            </w:r>
            <w:r>
              <w:rPr>
                <w:rFonts w:hint="default" w:ascii="Times New Roman" w:hAnsi="Times New Roman" w:cs="Times New Roman"/>
                <w:b/>
                <w:bCs/>
                <w:color w:val="auto"/>
                <w:sz w:val="18"/>
                <w:szCs w:val="18"/>
                <w:u w:val="none"/>
                <w:lang w:val="fr-FR"/>
              </w:rPr>
              <w:t>.</w:t>
            </w:r>
            <w:r>
              <w:rPr>
                <w:rFonts w:hint="default" w:ascii="Times New Roman" w:hAnsi="Times New Roman" w:cs="Times New Roman"/>
                <w:color w:val="auto"/>
                <w:sz w:val="18"/>
                <w:szCs w:val="18"/>
                <w:u w:val="none"/>
                <w:lang w:val="fr-FR"/>
              </w:rPr>
              <w:t xml:space="preserve"> </w:t>
            </w:r>
            <w:r>
              <w:rPr>
                <w:rFonts w:hint="default" w:ascii="Times New Roman" w:hAnsi="Times New Roman" w:eastAsia="Times New Roman" w:cs="Times New Roman"/>
                <w:color w:val="auto"/>
                <w:sz w:val="18"/>
                <w:szCs w:val="18"/>
                <w:lang w:eastAsia="fr-FR"/>
              </w:rPr>
              <w:t>It was a descriptive cross-sectional study from January 2016 to December 2017 on hospitalized patients for cardiovascular diseases in the medical department of the Mali hospital.</w:t>
            </w:r>
            <w:r>
              <w:rPr>
                <w:rFonts w:hint="default" w:ascii="Times New Roman" w:hAnsi="Times New Roman" w:eastAsia="Times New Roman" w:cs="Times New Roman"/>
                <w:color w:val="auto"/>
                <w:sz w:val="18"/>
                <w:szCs w:val="18"/>
                <w:lang w:val="en-US" w:eastAsia="fr-FR"/>
              </w:rPr>
              <w:t xml:space="preserve"> </w:t>
            </w:r>
            <w:r>
              <w:rPr>
                <w:rFonts w:hint="default" w:ascii="Times New Roman" w:hAnsi="Times New Roman" w:cs="Times New Roman"/>
                <w:b/>
                <w:bCs/>
                <w:color w:val="auto"/>
                <w:sz w:val="18"/>
                <w:szCs w:val="18"/>
                <w:u w:val="none"/>
                <w:lang w:val="de-DE"/>
              </w:rPr>
              <w:t>Results</w:t>
            </w:r>
            <w:r>
              <w:rPr>
                <w:rFonts w:hint="default" w:ascii="Times New Roman" w:hAnsi="Times New Roman" w:cs="Times New Roman"/>
                <w:b/>
                <w:bCs/>
                <w:color w:val="auto"/>
                <w:sz w:val="18"/>
                <w:szCs w:val="18"/>
                <w:u w:val="none"/>
                <w:lang w:val="fr-FR"/>
              </w:rPr>
              <w:t>.</w:t>
            </w:r>
            <w:r>
              <w:rPr>
                <w:rFonts w:hint="default" w:ascii="Times New Roman" w:hAnsi="Times New Roman" w:cs="Times New Roman"/>
                <w:color w:val="auto"/>
                <w:sz w:val="18"/>
                <w:szCs w:val="18"/>
                <w:u w:val="none"/>
                <w:lang w:val="fr-FR"/>
              </w:rPr>
              <w:t xml:space="preserve"> </w:t>
            </w:r>
            <w:r>
              <w:rPr>
                <w:rFonts w:hint="default" w:ascii="Times New Roman" w:hAnsi="Times New Roman" w:eastAsia="Times New Roman" w:cs="Times New Roman"/>
                <w:color w:val="auto"/>
                <w:sz w:val="18"/>
                <w:szCs w:val="18"/>
                <w:lang w:eastAsia="fr-FR"/>
              </w:rPr>
              <w:t>We collected 188 of 813 hospitalized patients, hospital frequency was 23.12%. The average age of our patients was 58.87 ± 17.63 years. Predominance was female with a sex ratio of 0.86. Reasons of admission for cardiovascular diseases were stroke 34.04%; primitive dilated cardiomyopathy complicated by congestive heart failure 21.8%; venous thromboembolism 18% and peripartum cardiomyopathy complicated by congestive heart failure 13,3%.</w:t>
            </w:r>
            <w:r>
              <w:rPr>
                <w:rFonts w:hint="default" w:ascii="Times New Roman" w:hAnsi="Times New Roman" w:eastAsia="Times New Roman" w:cs="Times New Roman"/>
                <w:color w:val="auto"/>
                <w:sz w:val="18"/>
                <w:szCs w:val="18"/>
                <w:lang w:val="en-US" w:eastAsia="fr-FR"/>
              </w:rPr>
              <w:t xml:space="preserve"> </w:t>
            </w:r>
            <w:r>
              <w:rPr>
                <w:rFonts w:hint="default" w:ascii="Times New Roman" w:hAnsi="Times New Roman" w:eastAsia="Times New Roman" w:cs="Times New Roman"/>
                <w:color w:val="auto"/>
                <w:sz w:val="18"/>
                <w:szCs w:val="18"/>
                <w:lang w:eastAsia="fr-FR"/>
              </w:rPr>
              <w:t>The predominant cardiovascular risk factors were high blood pressure 45.21%; dyslipidemia 20.74% and diabetes 15.42%.</w:t>
            </w:r>
            <w:r>
              <w:rPr>
                <w:rFonts w:hint="default" w:ascii="Times New Roman" w:hAnsi="Times New Roman" w:eastAsia="Times New Roman" w:cs="Times New Roman"/>
                <w:color w:val="auto"/>
                <w:sz w:val="18"/>
                <w:szCs w:val="18"/>
                <w:lang w:val="en-US" w:eastAsia="fr-FR"/>
              </w:rPr>
              <w:t xml:space="preserve"> </w:t>
            </w:r>
            <w:r>
              <w:rPr>
                <w:rFonts w:hint="default" w:ascii="Times New Roman" w:hAnsi="Times New Roman" w:eastAsia="Times New Roman" w:cs="Times New Roman"/>
                <w:color w:val="auto"/>
                <w:sz w:val="18"/>
                <w:szCs w:val="18"/>
                <w:lang w:eastAsia="fr-FR"/>
              </w:rPr>
              <w:t>The hospital stay was 1 to 10 days in 63.3% of cases. Hospital mortality was 15.43%.</w:t>
            </w:r>
            <w:r>
              <w:rPr>
                <w:rFonts w:hint="default" w:ascii="Times New Roman" w:hAnsi="Times New Roman" w:eastAsia="Times New Roman" w:cs="Times New Roman"/>
                <w:color w:val="auto"/>
                <w:sz w:val="18"/>
                <w:szCs w:val="18"/>
                <w:lang w:val="en-US" w:eastAsia="fr-FR"/>
              </w:rPr>
              <w:t xml:space="preserve"> </w:t>
            </w:r>
            <w:r>
              <w:rPr>
                <w:rFonts w:hint="default" w:ascii="Times New Roman" w:hAnsi="Times New Roman" w:eastAsia="Times New Roman" w:cs="Times New Roman"/>
                <w:b/>
                <w:bCs/>
                <w:color w:val="auto"/>
                <w:sz w:val="18"/>
                <w:szCs w:val="18"/>
                <w:u w:val="none"/>
                <w:lang w:eastAsia="fr-FR"/>
              </w:rPr>
              <w:t>Conclusion</w:t>
            </w:r>
            <w:r>
              <w:rPr>
                <w:rFonts w:hint="default" w:ascii="Times New Roman" w:hAnsi="Times New Roman" w:eastAsia="Times New Roman" w:cs="Times New Roman"/>
                <w:b/>
                <w:bCs/>
                <w:color w:val="auto"/>
                <w:sz w:val="18"/>
                <w:szCs w:val="18"/>
                <w:u w:val="none"/>
                <w:lang w:val="en-US" w:eastAsia="fr-FR"/>
              </w:rPr>
              <w:t>.</w:t>
            </w:r>
            <w:r>
              <w:rPr>
                <w:rFonts w:hint="default" w:ascii="Times New Roman" w:hAnsi="Times New Roman" w:eastAsia="Times New Roman" w:cs="Times New Roman"/>
                <w:color w:val="auto"/>
                <w:sz w:val="18"/>
                <w:szCs w:val="18"/>
                <w:u w:val="none"/>
                <w:lang w:val="en-US" w:eastAsia="fr-FR"/>
              </w:rPr>
              <w:t xml:space="preserve"> </w:t>
            </w:r>
            <w:r>
              <w:rPr>
                <w:rFonts w:hint="default" w:ascii="Times New Roman" w:hAnsi="Times New Roman" w:eastAsia="Times New Roman" w:cs="Times New Roman"/>
                <w:color w:val="auto"/>
                <w:sz w:val="18"/>
                <w:szCs w:val="18"/>
                <w:lang w:eastAsia="fr-FR"/>
              </w:rPr>
              <w:t xml:space="preserve">Cardiovascular diseases take an important place among medical pathologies. Their mortality is significant. </w:t>
            </w:r>
            <w:r>
              <w:rPr>
                <w:rFonts w:hint="default" w:ascii="Times New Roman" w:hAnsi="Times New Roman" w:cs="Times New Roman"/>
                <w:color w:val="auto"/>
                <w:sz w:val="18"/>
                <w:szCs w:val="18"/>
                <w:shd w:val="clear" w:color="auto" w:fill="FFFFFF"/>
                <w:lang w:val="en-US"/>
              </w:rPr>
              <w:t>It is important to identify them in order to better define the primary and secondary prevention measures adapted to the African context.</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2649"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bidi w:val="0"/>
              <w:snapToGrid/>
              <w:spacing w:after="0" w:line="240" w:lineRule="auto"/>
              <w:jc w:val="both"/>
              <w:textAlignment w:val="auto"/>
              <w:rPr>
                <w:rFonts w:ascii="Times New Roman" w:hAnsi="Times New Roman"/>
                <w:strike/>
                <w:sz w:val="20"/>
                <w:szCs w:val="18"/>
              </w:rPr>
            </w:pPr>
            <w:r>
              <w:rPr>
                <w:rFonts w:hint="default" w:ascii="Times New Roman" w:hAnsi="Times New Roman" w:cs="Times New Roman"/>
                <w:b/>
                <w:bCs/>
                <w:sz w:val="18"/>
                <w:szCs w:val="18"/>
                <w:u w:val="none"/>
              </w:rPr>
              <w:t>Introduction</w:t>
            </w:r>
            <w:r>
              <w:rPr>
                <w:rFonts w:hint="default" w:ascii="Times New Roman" w:hAnsi="Times New Roman" w:cs="Times New Roman"/>
                <w:b/>
                <w:bCs/>
                <w:sz w:val="18"/>
                <w:szCs w:val="18"/>
                <w:u w:val="none"/>
                <w:lang w:val="fr-FR"/>
              </w:rPr>
              <w:t>.</w:t>
            </w:r>
            <w:r>
              <w:rPr>
                <w:rFonts w:hint="default" w:ascii="Times New Roman" w:hAnsi="Times New Roman" w:cs="Times New Roman"/>
                <w:sz w:val="18"/>
                <w:szCs w:val="18"/>
                <w:u w:val="none"/>
                <w:lang w:val="fr-FR"/>
              </w:rPr>
              <w:t xml:space="preserve"> </w:t>
            </w:r>
            <w:r>
              <w:rPr>
                <w:rFonts w:hint="default" w:ascii="Times New Roman" w:hAnsi="Times New Roman" w:cs="Times New Roman"/>
                <w:sz w:val="18"/>
                <w:szCs w:val="18"/>
              </w:rPr>
              <w:t xml:space="preserve">Les pathologies cardiovasculaires constituent un problème de santé </w:t>
            </w:r>
            <w:r>
              <w:rPr>
                <w:rFonts w:hint="default" w:ascii="Times New Roman" w:hAnsi="Times New Roman" w:cs="Times New Roman"/>
                <w:color w:val="000000" w:themeColor="text1"/>
                <w:sz w:val="18"/>
                <w:szCs w:val="18"/>
              </w:rPr>
              <w:t xml:space="preserve">publique dans le monde. Selon l’OMS, en 2015, elles ont été responsables de 31 % de la mortalité globale de la </w:t>
            </w:r>
            <w:r>
              <w:rPr>
                <w:rFonts w:hint="default" w:ascii="Times New Roman" w:hAnsi="Times New Roman" w:cs="Times New Roman"/>
                <w:sz w:val="18"/>
                <w:szCs w:val="18"/>
              </w:rPr>
              <w:t>population mondiale. Leur fréquence est croissante en Afrique avec une diversité marquée de ses formes. Il n’existe pas de publications sur les motifs d’hospitalisation pour pathologies cardiovasculaires dans notre structure motivant la présente étude avec comme objectif d’identifier ces motifs et de décrire les aspects épidémiologiques</w:t>
            </w:r>
            <w:r>
              <w:rPr>
                <w:rFonts w:hint="default" w:ascii="Times New Roman" w:hAnsi="Times New Roman" w:cs="Times New Roman"/>
                <w:sz w:val="18"/>
                <w:szCs w:val="18"/>
                <w:lang w:val="fr-FR"/>
              </w:rPr>
              <w:t xml:space="preserve"> et</w:t>
            </w:r>
            <w:r>
              <w:rPr>
                <w:rFonts w:hint="default" w:ascii="Times New Roman" w:hAnsi="Times New Roman" w:cs="Times New Roman"/>
                <w:sz w:val="18"/>
                <w:szCs w:val="18"/>
              </w:rPr>
              <w:t xml:space="preserve"> cliniques.</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u w:val="none"/>
              </w:rPr>
              <w:t>Patients et méthodes</w:t>
            </w:r>
            <w:r>
              <w:rPr>
                <w:rFonts w:hint="default" w:ascii="Times New Roman" w:hAnsi="Times New Roman" w:cs="Times New Roman"/>
                <w:b/>
                <w:bCs/>
                <w:sz w:val="18"/>
                <w:szCs w:val="18"/>
                <w:u w:val="none"/>
                <w:lang w:val="fr-FR"/>
              </w:rPr>
              <w:t>.</w:t>
            </w:r>
            <w:r>
              <w:rPr>
                <w:rFonts w:hint="default" w:ascii="Times New Roman" w:hAnsi="Times New Roman" w:cs="Times New Roman"/>
                <w:sz w:val="18"/>
                <w:szCs w:val="18"/>
                <w:u w:val="none"/>
                <w:lang w:val="fr-FR"/>
              </w:rPr>
              <w:t xml:space="preserve"> </w:t>
            </w:r>
            <w:r>
              <w:rPr>
                <w:rFonts w:hint="default" w:ascii="Times New Roman" w:hAnsi="Times New Roman" w:eastAsia="Times New Roman" w:cs="Times New Roman"/>
                <w:color w:val="000000" w:themeColor="text1"/>
                <w:sz w:val="18"/>
                <w:szCs w:val="18"/>
                <w:lang w:eastAsia="fr-FR"/>
              </w:rPr>
              <w:t>Il s’agissait d’une étude rétrospective</w:t>
            </w:r>
            <w:r>
              <w:rPr>
                <w:rFonts w:hint="default" w:ascii="Times New Roman" w:hAnsi="Times New Roman" w:cs="Times New Roman"/>
                <w:color w:val="000000" w:themeColor="text1"/>
                <w:sz w:val="18"/>
                <w:szCs w:val="18"/>
              </w:rPr>
              <w:t xml:space="preserve"> descriptive portant sur les motifs d’hospitalisation pour pathologies cardiovasculaires dans le service de médecine de l’hôpital du Mali à Bamako de janvi</w:t>
            </w:r>
            <w:r>
              <w:rPr>
                <w:rFonts w:hint="default" w:ascii="Times New Roman" w:hAnsi="Times New Roman" w:cs="Times New Roman"/>
                <w:sz w:val="18"/>
                <w:szCs w:val="18"/>
              </w:rPr>
              <w:t>er 2016 à décembre 2017. Les registres d’admission et les d</w:t>
            </w:r>
            <w:r>
              <w:rPr>
                <w:rFonts w:hint="default" w:ascii="Times New Roman" w:hAnsi="Times New Roman" w:cs="Times New Roman"/>
                <w:sz w:val="18"/>
                <w:szCs w:val="18"/>
                <w:lang w:val="fr-FR"/>
              </w:rPr>
              <w:t>ossiers</w:t>
            </w:r>
            <w:r>
              <w:rPr>
                <w:rFonts w:hint="default" w:ascii="Times New Roman" w:hAnsi="Times New Roman" w:cs="Times New Roman"/>
                <w:sz w:val="18"/>
                <w:szCs w:val="18"/>
              </w:rPr>
              <w:t xml:space="preserve"> des patients ont servi à collecter les données. </w:t>
            </w:r>
            <w:r>
              <w:rPr>
                <w:rFonts w:hint="default" w:ascii="Times New Roman" w:hAnsi="Times New Roman" w:cs="Times New Roman"/>
                <w:b/>
                <w:bCs/>
                <w:sz w:val="18"/>
                <w:szCs w:val="18"/>
                <w:u w:val="none"/>
              </w:rPr>
              <w:t>Résultats</w:t>
            </w:r>
            <w:r>
              <w:rPr>
                <w:rFonts w:hint="default" w:ascii="Times New Roman" w:hAnsi="Times New Roman" w:cs="Times New Roman"/>
                <w:b/>
                <w:bCs/>
                <w:sz w:val="18"/>
                <w:szCs w:val="18"/>
                <w:u w:val="none"/>
                <w:lang w:val="fr-FR"/>
              </w:rPr>
              <w:t>.</w:t>
            </w:r>
            <w:r>
              <w:rPr>
                <w:rFonts w:hint="default" w:ascii="Times New Roman" w:hAnsi="Times New Roman" w:cs="Times New Roman"/>
                <w:sz w:val="18"/>
                <w:szCs w:val="18"/>
                <w:u w:val="none"/>
                <w:lang w:val="fr-FR"/>
              </w:rPr>
              <w:t xml:space="preserve"> </w:t>
            </w:r>
            <w:r>
              <w:rPr>
                <w:rFonts w:hint="default" w:ascii="Times New Roman" w:hAnsi="Times New Roman" w:cs="Times New Roman"/>
                <w:sz w:val="18"/>
                <w:szCs w:val="18"/>
              </w:rPr>
              <w:t>Nous avons colligé 188 sur 813 patients hospitalisés soit une fréquence hospitalière de 23,12%. L’âge moyen était de 58,87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17,63 ans. La prédominance était féminine avec un sex-ratio de 0,86. Les motifs d’hospitalisation pour pathologies cardiovasculaires étaient respectivement les accidents vasculaires cérébraux (34,04%), la cardiomyopathie dilatée primitive décompensée (21,8%), la maladie thromboembolique veineuse (18%) et la cardiomyopathie du p</w:t>
            </w:r>
            <w:r>
              <w:rPr>
                <w:rFonts w:hint="default" w:ascii="Times New Roman" w:hAnsi="Times New Roman" w:cs="Times New Roman"/>
                <w:sz w:val="18"/>
                <w:szCs w:val="18"/>
                <w:lang w:val="fr-FR"/>
              </w:rPr>
              <w:t>é</w:t>
            </w:r>
            <w:r>
              <w:rPr>
                <w:rFonts w:hint="default" w:ascii="Times New Roman" w:hAnsi="Times New Roman" w:cs="Times New Roman"/>
                <w:sz w:val="18"/>
                <w:szCs w:val="18"/>
              </w:rPr>
              <w:t>ripartum décompensée (13,3%).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Les facteurs de risque cardiovasculaire prédominants étaient l’hypertension artérielle </w:t>
            </w:r>
            <w:r>
              <w:rPr>
                <w:rFonts w:hint="default" w:ascii="Times New Roman" w:hAnsi="Times New Roman" w:cs="Times New Roman"/>
                <w:sz w:val="18"/>
                <w:szCs w:val="18"/>
                <w:lang w:val="fr-FR"/>
              </w:rPr>
              <w:t>(</w:t>
            </w:r>
            <w:r>
              <w:rPr>
                <w:rFonts w:hint="default" w:ascii="Times New Roman" w:hAnsi="Times New Roman" w:cs="Times New Roman"/>
                <w:sz w:val="18"/>
                <w:szCs w:val="18"/>
              </w:rPr>
              <w:t>45,21%</w:t>
            </w:r>
            <w:r>
              <w:rPr>
                <w:rFonts w:hint="default" w:ascii="Times New Roman" w:hAnsi="Times New Roman" w:cs="Times New Roman"/>
                <w:sz w:val="18"/>
                <w:szCs w:val="18"/>
                <w:lang w:val="fr-FR"/>
              </w:rPr>
              <w:t>)</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la dyslipidémie </w:t>
            </w:r>
            <w:r>
              <w:rPr>
                <w:rFonts w:hint="default" w:ascii="Times New Roman" w:hAnsi="Times New Roman" w:cs="Times New Roman"/>
                <w:sz w:val="18"/>
                <w:szCs w:val="18"/>
                <w:lang w:val="fr-FR"/>
              </w:rPr>
              <w:t>(</w:t>
            </w:r>
            <w:r>
              <w:rPr>
                <w:rFonts w:hint="default" w:ascii="Times New Roman" w:hAnsi="Times New Roman" w:cs="Times New Roman"/>
                <w:sz w:val="18"/>
                <w:szCs w:val="18"/>
              </w:rPr>
              <w:t>20,74%</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 et le diabète </w:t>
            </w:r>
            <w:r>
              <w:rPr>
                <w:rFonts w:hint="default" w:ascii="Times New Roman" w:hAnsi="Times New Roman" w:cs="Times New Roman"/>
                <w:sz w:val="18"/>
                <w:szCs w:val="18"/>
                <w:lang w:val="fr-FR"/>
              </w:rPr>
              <w:t>(</w:t>
            </w:r>
            <w:r>
              <w:rPr>
                <w:rFonts w:hint="default" w:ascii="Times New Roman" w:hAnsi="Times New Roman" w:cs="Times New Roman"/>
                <w:sz w:val="18"/>
                <w:szCs w:val="18"/>
              </w:rPr>
              <w:t>15,42%</w:t>
            </w:r>
            <w:r>
              <w:rPr>
                <w:rFonts w:hint="default" w:ascii="Times New Roman" w:hAnsi="Times New Roman" w:cs="Times New Roman"/>
                <w:sz w:val="18"/>
                <w:szCs w:val="18"/>
                <w:lang w:val="fr-FR"/>
              </w:rPr>
              <w:t>)</w:t>
            </w:r>
            <w:r>
              <w:rPr>
                <w:rFonts w:hint="default" w:ascii="Times New Roman" w:hAnsi="Times New Roman" w:cs="Times New Roman"/>
                <w:sz w:val="18"/>
                <w:szCs w:val="18"/>
              </w:rPr>
              <w:t>. Le séjour hospitalier a duré à 10 jours dans 63,3% des cas. La mortalité hospitalière était de 15,43%.</w:t>
            </w:r>
            <w:r>
              <w:rPr>
                <w:rFonts w:hint="default" w:ascii="Times New Roman" w:hAnsi="Times New Roman" w:cs="Times New Roman"/>
                <w:sz w:val="18"/>
                <w:szCs w:val="18"/>
                <w:lang w:val="fr-FR"/>
              </w:rPr>
              <w:t xml:space="preserve"> </w:t>
            </w:r>
            <w:r>
              <w:rPr>
                <w:rFonts w:hint="default" w:ascii="Times New Roman" w:hAnsi="Times New Roman" w:cs="Times New Roman"/>
                <w:b/>
                <w:bCs/>
                <w:sz w:val="18"/>
                <w:szCs w:val="18"/>
                <w:u w:val="none"/>
              </w:rPr>
              <w:t>Conclusion</w:t>
            </w:r>
            <w:r>
              <w:rPr>
                <w:rFonts w:hint="default" w:ascii="Times New Roman" w:hAnsi="Times New Roman" w:cs="Times New Roman"/>
                <w:b/>
                <w:bCs/>
                <w:sz w:val="18"/>
                <w:szCs w:val="18"/>
                <w:u w:val="none"/>
                <w:lang w:val="fr-FR"/>
              </w:rPr>
              <w:t>.</w:t>
            </w:r>
            <w:r>
              <w:rPr>
                <w:rFonts w:hint="default" w:ascii="Times New Roman" w:hAnsi="Times New Roman" w:cs="Times New Roman"/>
                <w:sz w:val="18"/>
                <w:szCs w:val="18"/>
                <w:u w:val="none"/>
                <w:lang w:val="fr-FR"/>
              </w:rPr>
              <w:t xml:space="preserve"> </w:t>
            </w:r>
            <w:r>
              <w:rPr>
                <w:rFonts w:hint="default" w:ascii="Times New Roman" w:hAnsi="Times New Roman" w:cs="Times New Roman"/>
                <w:sz w:val="18"/>
                <w:szCs w:val="18"/>
              </w:rPr>
              <w:t>Les pathologies cardiovasculaires occupent une place importante parmi les pathologies médicales. Sa mortalité est importante. Il est important de les identifier afin de mieux définir les mesures de prévention primaire et secondaire adaptés au contexte africain.</w:t>
            </w:r>
          </w:p>
        </w:tc>
      </w:tr>
    </w:tbl>
    <w:p>
      <w:pPr>
        <w:spacing w:after="0" w:line="240" w:lineRule="auto"/>
        <w:jc w:val="both"/>
        <w:rPr>
          <w:rFonts w:ascii="Times New Roman" w:hAnsi="Times New Roman"/>
          <w:b/>
          <w:sz w:val="20"/>
          <w:szCs w:val="20"/>
          <w:u w:val="single"/>
        </w:rPr>
        <w:sectPr>
          <w:headerReference r:id="rId3" w:type="default"/>
          <w:footerReference r:id="rId4" w:type="default"/>
          <w:pgSz w:w="11850" w:h="16783"/>
          <w:pgMar w:top="1134" w:right="850" w:bottom="1417" w:left="1134" w:header="708" w:footer="708" w:gutter="0"/>
          <w:cols w:space="708" w:num="1"/>
          <w:docGrid w:linePitch="360" w:charSpace="0"/>
        </w:sectPr>
      </w:pPr>
    </w:p>
    <w:p>
      <w:pPr>
        <w:spacing w:after="0" w:line="240" w:lineRule="auto"/>
        <w:jc w:val="both"/>
        <w:rPr>
          <w:rFonts w:ascii="Times New Roman" w:hAnsi="Times New Roman"/>
          <w:b/>
          <w:sz w:val="20"/>
          <w:szCs w:val="20"/>
          <w:u w:val="single"/>
        </w:rPr>
      </w:pPr>
    </w:p>
    <w:p>
      <w:pPr>
        <w:spacing w:after="0" w:line="240" w:lineRule="auto"/>
        <w:jc w:val="both"/>
        <w:rPr>
          <w:rFonts w:ascii="Times New Roman" w:hAnsi="Times New Roman"/>
          <w:b/>
          <w:sz w:val="20"/>
          <w:szCs w:val="20"/>
          <w:u w:val="single"/>
        </w:rPr>
        <w:sectPr>
          <w:type w:val="continuous"/>
          <w:pgSz w:w="11850" w:h="16783"/>
          <w:pgMar w:top="1134" w:right="850" w:bottom="1417" w:left="1134" w:header="708" w:footer="708" w:gutter="0"/>
          <w:cols w:space="708" w:num="1"/>
          <w:docGrid w:linePitch="360" w:charSpace="0"/>
        </w:sectPr>
      </w:pPr>
    </w:p>
    <w:p>
      <w:pPr>
        <w:spacing w:before="120" w:after="40" w:line="240" w:lineRule="auto"/>
        <w:jc w:val="both"/>
        <w:rPr>
          <w:rFonts w:hint="default" w:ascii="Times New Roman" w:hAnsi="Times New Roman"/>
          <w:b/>
          <w:sz w:val="20"/>
          <w:szCs w:val="20"/>
          <w:lang w:val="fr-FR"/>
        </w:rPr>
        <w:sectPr>
          <w:type w:val="continuous"/>
          <w:pgSz w:w="11850" w:h="16783"/>
          <w:pgMar w:top="1134" w:right="850" w:bottom="1417" w:left="1134" w:header="708" w:footer="708" w:gutter="0"/>
          <w:cols w:space="708" w:num="1"/>
          <w:docGrid w:linePitch="360" w:charSpace="0"/>
        </w:sectPr>
      </w:pPr>
      <w:r>
        <w:rPr>
          <w:rFonts w:ascii="Times New Roman" w:hAnsi="Times New Roman"/>
          <w:b/>
          <w:sz w:val="20"/>
          <w:szCs w:val="20"/>
        </w:rPr>
        <w:t>INTRODUCTIO</w:t>
      </w:r>
      <w:r>
        <w:rPr>
          <w:rFonts w:hint="default" w:ascii="Times New Roman" w:hAnsi="Times New Roman"/>
          <w:b/>
          <w:sz w:val="20"/>
          <w:szCs w:val="20"/>
          <w:lang w:val="fr-FR"/>
        </w:rPr>
        <w:t>N</w:t>
      </w:r>
    </w:p>
    <w:p>
      <w:pPr>
        <w:keepNext w:val="0"/>
        <w:keepLines w:val="0"/>
        <w:pageBreakBefore w:val="0"/>
        <w:widowControl/>
        <w:kinsoku/>
        <w:wordWrap/>
        <w:overflowPunct/>
        <w:topLinePunct w:val="0"/>
        <w:autoSpaceDE/>
        <w:autoSpaceDN/>
        <w:bidi w:val="0"/>
        <w:adjustRightInd/>
        <w:snapToGrid/>
        <w:spacing w:before="120" w:after="0" w:line="240" w:lineRule="auto"/>
        <w:jc w:val="both"/>
        <w:textAlignment w:val="auto"/>
        <w:rPr>
          <w:rFonts w:hint="default" w:ascii="Times New Roman" w:hAnsi="Times New Roman"/>
          <w:sz w:val="20"/>
          <w:szCs w:val="20"/>
          <w:lang w:eastAsia="fr-FR"/>
        </w:rPr>
      </w:pPr>
      <w:r>
        <w:rPr>
          <w:rFonts w:hint="default" w:ascii="Times New Roman" w:hAnsi="Times New Roman"/>
          <w:sz w:val="20"/>
          <w:szCs w:val="20"/>
          <w:lang w:eastAsia="fr-FR"/>
        </w:rPr>
        <w:t>Les maladies cardio-vasculaires sont la première cause de mortalité dans le monde.</w:t>
      </w:r>
      <w:r>
        <w:rPr>
          <w:rFonts w:hint="default" w:ascii="Times New Roman" w:hAnsi="Times New Roman"/>
          <w:sz w:val="20"/>
          <w:szCs w:val="20"/>
          <w:lang w:val="en-US" w:eastAsia="fr-FR"/>
        </w:rPr>
        <w:t xml:space="preserve"> </w:t>
      </w:r>
      <w:r>
        <w:rPr>
          <w:rFonts w:hint="default" w:ascii="Times New Roman" w:hAnsi="Times New Roman"/>
          <w:sz w:val="20"/>
          <w:szCs w:val="20"/>
          <w:lang w:eastAsia="fr-FR"/>
        </w:rPr>
        <w:t>En 2015, l’OMS avait estimé à 17,7 millions le nombre de décès imputables aux maladies cardio-vasculaires, soit 31% de la mortalité mondiale totale. Parmi ces décès, on estimait que 7,4 millions étaient d</w:t>
      </w:r>
      <w:r>
        <w:rPr>
          <w:rFonts w:hint="default" w:ascii="Times New Roman" w:hAnsi="Times New Roman"/>
          <w:sz w:val="20"/>
          <w:szCs w:val="20"/>
          <w:lang w:val="en-US" w:eastAsia="fr-FR"/>
        </w:rPr>
        <w:t>û</w:t>
      </w:r>
      <w:r>
        <w:rPr>
          <w:rFonts w:hint="default" w:ascii="Times New Roman" w:hAnsi="Times New Roman"/>
          <w:sz w:val="20"/>
          <w:szCs w:val="20"/>
          <w:lang w:eastAsia="fr-FR"/>
        </w:rPr>
        <w:t xml:space="preserve">s à une cardiopathie ischémique et 6,7 millions à un accident vasculaire cérébral. Sur les 17 millions de décès survenant avant l’âge de 70 ans et liés à des maladies non transmissibles, 82% se sont produits dans des pays à revenu faible ou intermédiaire et 37% étaient imputables aux maladies cardiovasculaires </w:t>
      </w:r>
      <w:r>
        <w:rPr>
          <w:rFonts w:hint="default" w:ascii="Times New Roman" w:hAnsi="Times New Roman"/>
          <w:sz w:val="20"/>
          <w:szCs w:val="20"/>
          <w:lang w:eastAsia="fr-FR"/>
        </w:rPr>
        <w:fldChar w:fldCharType="begin"/>
      </w:r>
      <w:r>
        <w:rPr>
          <w:rFonts w:hint="default" w:ascii="Times New Roman" w:hAnsi="Times New Roman"/>
          <w:sz w:val="20"/>
          <w:szCs w:val="20"/>
          <w:lang w:eastAsia="fr-FR"/>
        </w:rPr>
        <w:instrText xml:space="preserve"> ADDIN ZOTERO_ITEM CSL_CITATION {"citationID":"2lv85pkqrr","properties":{"formattedCitation":"(1)","plainCitation":"(1)"},"citationItems":[{"id":51,"uris":["http://zotero.org/users/local/BEg94D5c/items/BRA5GXRQ"],"uri":["http://zotero.org/users/local/BEg94D5c/items/BRA5GXRQ"],"itemData":{"id":51,"type":"webpage","title":"Cardiovascular diseases (CVDs)","abstract":"WHO cardiovascular diseases fact sheet providing key facts and information on risk factors, symptoms, rheumatic heart disease, treatment and prevention, WHO response.","URL":"https://www.who.int/fr/news-room/fact-sheets/detail/cardiovascular-diseases-(cvds)","author":[{"literal":"WHO"}],"issued":{"date-parts":[["2015"]]},"accessed":{"date-parts":[["2019",7,20]]}}}],"schema":"https://github.com/citation-style-language/schema/raw/master/csl-citation.json"} </w:instrText>
      </w:r>
      <w:r>
        <w:rPr>
          <w:rFonts w:hint="default" w:ascii="Times New Roman" w:hAnsi="Times New Roman"/>
          <w:sz w:val="20"/>
          <w:szCs w:val="20"/>
          <w:lang w:eastAsia="fr-FR"/>
        </w:rPr>
        <w:fldChar w:fldCharType="separate"/>
      </w:r>
      <w:r>
        <w:rPr>
          <w:rFonts w:hint="default" w:ascii="Times New Roman" w:hAnsi="Times New Roman"/>
          <w:sz w:val="20"/>
          <w:szCs w:val="20"/>
        </w:rPr>
        <w:t>(1)</w:t>
      </w:r>
      <w:r>
        <w:rPr>
          <w:rFonts w:hint="default" w:ascii="Times New Roman" w:hAnsi="Times New Roman"/>
          <w:sz w:val="20"/>
          <w:szCs w:val="20"/>
          <w:lang w:eastAsia="fr-FR"/>
        </w:rPr>
        <w:fldChar w:fldCharType="end"/>
      </w:r>
      <w:r>
        <w:rPr>
          <w:rFonts w:hint="default" w:ascii="Times New Roman" w:hAnsi="Times New Roman"/>
          <w:sz w:val="20"/>
          <w:szCs w:val="20"/>
          <w:lang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20"/>
          <w:szCs w:val="20"/>
          <w:lang w:eastAsia="fr-FR"/>
        </w:rPr>
      </w:pPr>
      <w:r>
        <w:rPr>
          <w:rFonts w:hint="default" w:ascii="Times New Roman" w:hAnsi="Times New Roman"/>
          <w:sz w:val="20"/>
          <w:szCs w:val="20"/>
          <w:lang w:eastAsia="fr-FR"/>
        </w:rPr>
        <w:t>Les personnes à haut risque cardiovasculaire ayant un ou plusieurs facteurs de risque comme l’hypertension artérielle, le diabète, l’hyperlipidémie ou une maladie cardiovasculaire préexistante; nécessitent une détection et une prise en charge</w:t>
      </w:r>
      <w:r>
        <w:rPr>
          <w:rFonts w:hint="default" w:ascii="Times New Roman" w:hAnsi="Times New Roman"/>
          <w:sz w:val="20"/>
          <w:szCs w:val="20"/>
          <w:lang w:val="en-US" w:eastAsia="fr-FR"/>
        </w:rPr>
        <w:t xml:space="preserve"> </w:t>
      </w:r>
      <w:r>
        <w:rPr>
          <w:rFonts w:hint="default" w:ascii="Times New Roman" w:hAnsi="Times New Roman"/>
          <w:sz w:val="20"/>
          <w:szCs w:val="20"/>
          <w:lang w:eastAsia="fr-FR"/>
        </w:rPr>
        <w:t>précoce</w:t>
      </w:r>
      <w:r>
        <w:rPr>
          <w:rFonts w:hint="default" w:ascii="Times New Roman" w:hAnsi="Times New Roman"/>
          <w:sz w:val="20"/>
          <w:szCs w:val="20"/>
          <w:lang w:val="en-US" w:eastAsia="fr-FR"/>
        </w:rPr>
        <w:t xml:space="preserve"> </w:t>
      </w:r>
      <w:r>
        <w:rPr>
          <w:rFonts w:hint="default" w:ascii="Times New Roman" w:hAnsi="Times New Roman"/>
          <w:sz w:val="20"/>
          <w:szCs w:val="20"/>
          <w:lang w:eastAsia="fr-FR"/>
        </w:rPr>
        <w:fldChar w:fldCharType="begin"/>
      </w:r>
      <w:r>
        <w:rPr>
          <w:rFonts w:hint="default" w:ascii="Times New Roman" w:hAnsi="Times New Roman"/>
          <w:sz w:val="20"/>
          <w:szCs w:val="20"/>
          <w:lang w:eastAsia="fr-FR"/>
        </w:rPr>
        <w:instrText xml:space="preserve"> ADDIN ZOTERO_ITEM CSL_CITATION {"citationID":"lmde25l3f","properties":{"formattedCitation":"(1)","plainCitation":"(1)"},"citationItems":[{"id":51,"uris":["http://zotero.org/users/local/BEg94D5c/items/BRA5GXRQ"],"uri":["http://zotero.org/users/local/BEg94D5c/items/BRA5GXRQ"],"itemData":{"id":51,"type":"webpage","title":"Cardiovascular diseases (CVDs)","abstract":"WHO cardiovascular diseases fact sheet providing key facts and information on risk factors, symptoms, rheumatic heart disease, treatment and prevention, WHO response.","URL":"https://www.who.int/fr/news-room/fact-sheets/detail/cardiovascular-diseases-(cvds)","author":[{"literal":"WHO"}],"issued":{"date-parts":[["2015"]]},"accessed":{"date-parts":[["2019",7,20]]}}}],"schema":"https://github.com/citation-style-language/schema/raw/master/csl-citation.json"} </w:instrText>
      </w:r>
      <w:r>
        <w:rPr>
          <w:rFonts w:hint="default" w:ascii="Times New Roman" w:hAnsi="Times New Roman"/>
          <w:sz w:val="20"/>
          <w:szCs w:val="20"/>
          <w:lang w:eastAsia="fr-FR"/>
        </w:rPr>
        <w:fldChar w:fldCharType="separate"/>
      </w:r>
      <w:r>
        <w:rPr>
          <w:rFonts w:hint="default" w:ascii="Times New Roman" w:hAnsi="Times New Roman"/>
          <w:sz w:val="20"/>
          <w:szCs w:val="20"/>
        </w:rPr>
        <w:t>(1)</w:t>
      </w:r>
      <w:r>
        <w:rPr>
          <w:rFonts w:hint="default" w:ascii="Times New Roman" w:hAnsi="Times New Roman"/>
          <w:sz w:val="20"/>
          <w:szCs w:val="20"/>
          <w:lang w:eastAsia="fr-FR"/>
        </w:rPr>
        <w:fldChar w:fldCharType="end"/>
      </w:r>
      <w:r>
        <w:rPr>
          <w:rFonts w:hint="default" w:ascii="Times New Roman" w:hAnsi="Times New Roman"/>
          <w:sz w:val="20"/>
          <w:szCs w:val="20"/>
          <w:lang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20"/>
          <w:szCs w:val="20"/>
        </w:rPr>
      </w:pPr>
      <w:r>
        <w:rPr>
          <w:rFonts w:hint="default" w:ascii="Times New Roman" w:hAnsi="Times New Roman"/>
          <w:sz w:val="20"/>
          <w:szCs w:val="20"/>
        </w:rPr>
        <w:t xml:space="preserve">La fréquence des maladies cardiovasculaires est croissante en Afrique avec une diversité marquée de ses formes </w:t>
      </w:r>
      <w:r>
        <w:rPr>
          <w:rFonts w:hint="default" w:ascii="Times New Roman" w:hAnsi="Times New Roman"/>
          <w:sz w:val="20"/>
          <w:szCs w:val="20"/>
        </w:rPr>
        <w:fldChar w:fldCharType="begin"/>
      </w:r>
      <w:r>
        <w:rPr>
          <w:rFonts w:hint="default" w:ascii="Times New Roman" w:hAnsi="Times New Roman"/>
          <w:sz w:val="20"/>
          <w:szCs w:val="20"/>
        </w:rPr>
        <w:instrText xml:space="preserve"> ADDIN ZOTERO_ITEM CSL_CITATION {"citationID":"591jlgeuq","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sz w:val="20"/>
          <w:szCs w:val="20"/>
        </w:rPr>
        <w:fldChar w:fldCharType="separate"/>
      </w:r>
      <w:r>
        <w:rPr>
          <w:rFonts w:hint="default" w:ascii="Times New Roman" w:hAnsi="Times New Roman"/>
          <w:sz w:val="20"/>
          <w:szCs w:val="20"/>
        </w:rPr>
        <w:t>(2)</w:t>
      </w:r>
      <w:r>
        <w:rPr>
          <w:rFonts w:hint="default" w:ascii="Times New Roman" w:hAnsi="Times New Roman"/>
          <w:sz w:val="20"/>
          <w:szCs w:val="20"/>
        </w:rPr>
        <w:fldChar w:fldCharType="end"/>
      </w:r>
      <w:r>
        <w:rPr>
          <w:rFonts w:hint="default" w:ascii="Times New Roman" w:hAnsi="Times New Roman"/>
          <w:sz w:val="20"/>
          <w:szCs w:val="20"/>
        </w:rPr>
        <w:t xml:space="preserve">. En 2016, selon l’OMS au Mali la mortalité liée aux maladies non transmissibles était de 30% dont 12% en rapport avec les maladies cardiovasculaires </w:t>
      </w:r>
      <w:r>
        <w:rPr>
          <w:rFonts w:hint="default" w:ascii="Times New Roman" w:hAnsi="Times New Roman"/>
          <w:sz w:val="20"/>
          <w:szCs w:val="20"/>
        </w:rPr>
        <w:fldChar w:fldCharType="begin"/>
      </w:r>
      <w:r>
        <w:rPr>
          <w:rFonts w:hint="default" w:ascii="Times New Roman" w:hAnsi="Times New Roman"/>
          <w:sz w:val="20"/>
          <w:szCs w:val="20"/>
        </w:rPr>
        <w:instrText xml:space="preserve"> ADDIN ZOTERO_ITEM CSL_CITATION {"citationID":"2af8snp4l6","properties":{"formattedCitation":"(3)","plainCitation":"(3)"},"citationItems":[{"id":54,"uris":["http://zotero.org/users/local/BEg94D5c/items/ZCETDC2Q"],"uri":["http://zotero.org/users/local/BEg94D5c/items/ZCETDC2Q"],"itemData":{"id":54,"type":"webpage","title":"Organisation mondiale de la Santé- Profils des pays pour les maladies non transmissibles (MNT), 2018.","URL":"https://www.who.int/nmh/countries/mli_fr.pdf?ua=1","author":[{"literal":"OMS"}],"issued":{"date-parts":[["2018"]]},"accessed":{"date-parts":[["2019",7,20]]}}}],"schema":"https://github.com/citation-style-language/schema/raw/master/csl-citation.json"} </w:instrText>
      </w:r>
      <w:r>
        <w:rPr>
          <w:rFonts w:hint="default" w:ascii="Times New Roman" w:hAnsi="Times New Roman"/>
          <w:sz w:val="20"/>
          <w:szCs w:val="20"/>
        </w:rPr>
        <w:fldChar w:fldCharType="separate"/>
      </w:r>
      <w:r>
        <w:rPr>
          <w:rFonts w:hint="default" w:ascii="Times New Roman" w:hAnsi="Times New Roman"/>
          <w:sz w:val="20"/>
          <w:szCs w:val="20"/>
        </w:rPr>
        <w:t>(3)</w:t>
      </w:r>
      <w:r>
        <w:rPr>
          <w:rFonts w:hint="default" w:ascii="Times New Roman" w:hAnsi="Times New Roman"/>
          <w:sz w:val="20"/>
          <w:szCs w:val="20"/>
        </w:rPr>
        <w:fldChar w:fldCharType="end"/>
      </w:r>
      <w:r>
        <w:rPr>
          <w:rFonts w:hint="default" w:ascii="Times New Roman" w:hAnsi="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sz w:val="20"/>
          <w:szCs w:val="20"/>
        </w:rPr>
      </w:pPr>
      <w:r>
        <w:rPr>
          <w:rFonts w:hint="default" w:ascii="Times New Roman" w:hAnsi="Times New Roman"/>
          <w:sz w:val="20"/>
          <w:szCs w:val="20"/>
        </w:rPr>
        <w:t>L’objectif de cette étude était d’identifier les motifs d’admission pour pathologies cardiovasculaires à travers leurs caractéristiques épidémiologiques, cliniques, paracliniques au sein d’une structure de santé à Bamako.</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eastAsia="Times New Roman" w:cs="Times New Roman"/>
          <w:color w:val="000000" w:themeColor="text1"/>
          <w:sz w:val="20"/>
          <w:szCs w:val="20"/>
          <w:lang w:eastAsia="fr-FR"/>
        </w:rPr>
      </w:pPr>
      <w:r>
        <w:rPr>
          <w:rFonts w:ascii="Times New Roman" w:hAnsi="Times New Roman"/>
          <w:b/>
          <w:sz w:val="20"/>
          <w:szCs w:val="20"/>
        </w:rPr>
        <w:t>P</w:t>
      </w:r>
      <w:r>
        <w:rPr>
          <w:rFonts w:hint="default" w:ascii="Times New Roman" w:hAnsi="Times New Roman"/>
          <w:b/>
          <w:sz w:val="20"/>
          <w:szCs w:val="20"/>
          <w:lang w:val="fr-FR"/>
        </w:rPr>
        <w:t>ATIENTS</w:t>
      </w:r>
      <w:r>
        <w:rPr>
          <w:rFonts w:ascii="Times New Roman" w:hAnsi="Times New Roman"/>
          <w:b/>
          <w:sz w:val="20"/>
          <w:szCs w:val="20"/>
        </w:rPr>
        <w:t xml:space="preserve"> ET MÉTHODES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color w:val="000000" w:themeColor="text1"/>
          <w:sz w:val="20"/>
          <w:szCs w:val="20"/>
          <w:lang w:eastAsia="fr-FR"/>
        </w:rPr>
      </w:pPr>
      <w:r>
        <w:rPr>
          <w:rFonts w:hint="default" w:ascii="Times New Roman" w:hAnsi="Times New Roman" w:eastAsia="Times New Roman" w:cs="Times New Roman"/>
          <w:color w:val="000000" w:themeColor="text1"/>
          <w:sz w:val="20"/>
          <w:szCs w:val="20"/>
          <w:lang w:eastAsia="fr-FR"/>
        </w:rPr>
        <w:t>Cette étude a été réalisée dans le service de médecine de l’hôpital du Mali de Bamako au Mali.</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b/>
          <w:bCs/>
          <w:color w:val="000000"/>
          <w:sz w:val="20"/>
          <w:szCs w:val="20"/>
          <w:shd w:val="clear" w:color="auto" w:fill="FFFFFF"/>
          <w:lang w:eastAsia="fr-FR"/>
        </w:rPr>
        <w:t>Population de l'étude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Times New Roman" w:cs="Times New Roman"/>
          <w:color w:val="000000" w:themeColor="text1"/>
          <w:sz w:val="20"/>
          <w:szCs w:val="20"/>
          <w:lang w:eastAsia="fr-FR"/>
        </w:rPr>
        <w:t xml:space="preserve">Il s’agissait d’une étude rétrospective </w:t>
      </w:r>
      <w:r>
        <w:rPr>
          <w:rFonts w:hint="default" w:ascii="Times New Roman" w:hAnsi="Times New Roman" w:cs="Times New Roman"/>
          <w:color w:val="000000" w:themeColor="text1"/>
          <w:sz w:val="20"/>
          <w:szCs w:val="20"/>
        </w:rPr>
        <w:t>descriptive, couvrant la période</w:t>
      </w:r>
      <w:r>
        <w:rPr>
          <w:rFonts w:hint="default" w:ascii="Times New Roman" w:hAnsi="Times New Roman" w:cs="Times New Roman"/>
          <w:color w:val="FF0000"/>
          <w:sz w:val="20"/>
          <w:szCs w:val="20"/>
        </w:rPr>
        <w:t xml:space="preserve"> </w:t>
      </w:r>
      <w:r>
        <w:rPr>
          <w:rFonts w:hint="default" w:ascii="Times New Roman" w:hAnsi="Times New Roman" w:cs="Times New Roman"/>
          <w:color w:val="000000" w:themeColor="text1"/>
          <w:sz w:val="20"/>
          <w:szCs w:val="20"/>
        </w:rPr>
        <w:t>de janvi</w:t>
      </w:r>
      <w:r>
        <w:rPr>
          <w:rFonts w:hint="default" w:ascii="Times New Roman" w:hAnsi="Times New Roman" w:cs="Times New Roman"/>
          <w:sz w:val="20"/>
          <w:szCs w:val="20"/>
        </w:rPr>
        <w:t>er 2016 à décembre 2017 et ayant inclus les patients hospitalisés chez qui le diagnostic d’une pathologie cardiovasculaire a été posé.</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b/>
          <w:bCs/>
          <w:color w:val="000000"/>
          <w:sz w:val="20"/>
          <w:szCs w:val="20"/>
          <w:shd w:val="clear" w:color="auto" w:fill="FFFFFF"/>
          <w:lang w:eastAsia="fr-FR"/>
        </w:rPr>
      </w:pPr>
      <w:r>
        <w:rPr>
          <w:rFonts w:hint="default" w:ascii="Times New Roman" w:hAnsi="Times New Roman" w:eastAsia="Times New Roman" w:cs="Times New Roman"/>
          <w:color w:val="000000"/>
          <w:sz w:val="20"/>
          <w:szCs w:val="20"/>
          <w:shd w:val="clear" w:color="auto" w:fill="FFFFFF"/>
          <w:lang w:eastAsia="fr-FR"/>
        </w:rPr>
        <w:t>Les dossiers incomplets ne comportant pas les éléments nécessaires permettant de retenir un diagnostic précis ont été exclus. Ainsi, sur les 963 dossiers de patients admis pour toutes pathologies confondues pendant la période d'étude, 150 ont été exclus pour données insuffisantes permettant de retenir un diagnostic, 813 dossiers de patients présentant un diagnostic précis ont alors été retenus.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b/>
          <w:bCs/>
          <w:color w:val="000000"/>
          <w:sz w:val="20"/>
          <w:szCs w:val="20"/>
          <w:shd w:val="clear" w:color="auto" w:fill="FFFFFF"/>
          <w:lang w:eastAsia="fr-FR"/>
        </w:rPr>
        <w:t>Définition des pathologies cardiovasculaires</w:t>
      </w:r>
    </w:p>
    <w:p>
      <w:pPr>
        <w:pStyle w:val="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color w:val="000000" w:themeColor="text1"/>
          <w:sz w:val="20"/>
          <w:szCs w:val="20"/>
          <w:lang w:eastAsia="fr-FR"/>
        </w:rPr>
      </w:pPr>
      <w:r>
        <w:rPr>
          <w:rFonts w:hint="default" w:ascii="Times New Roman" w:hAnsi="Times New Roman" w:cs="Times New Roman"/>
          <w:sz w:val="20"/>
          <w:szCs w:val="20"/>
        </w:rPr>
        <w:t xml:space="preserve">La définition des maladies cardiovasculaires a été faite selon la classification internationale des maladies (CIM-10), chapitre 09: maladies de l'appareil circulatoire [4]. La CIM-10 considère l’HTA comme une maladie mais aussi comme facteur de risque </w:t>
      </w:r>
      <w:r>
        <w:rPr>
          <w:rFonts w:hint="default" w:ascii="Times New Roman" w:hAnsi="Times New Roman" w:cs="Times New Roman"/>
          <w:color w:val="000000" w:themeColor="text1"/>
          <w:sz w:val="20"/>
          <w:szCs w:val="20"/>
        </w:rPr>
        <w:t>lorsqu’elle est associée à une cardiopathie bien individualisée.</w:t>
      </w:r>
    </w:p>
    <w:p>
      <w:pPr>
        <w:pStyle w:val="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color w:val="000000" w:themeColor="text1"/>
          <w:sz w:val="20"/>
          <w:szCs w:val="20"/>
          <w:lang w:eastAsia="fr-FR"/>
        </w:rPr>
      </w:pPr>
      <w:r>
        <w:rPr>
          <w:rFonts w:hint="default" w:ascii="Times New Roman" w:hAnsi="Times New Roman" w:eastAsia="Times New Roman" w:cs="Times New Roman"/>
          <w:color w:val="000000" w:themeColor="text1"/>
          <w:sz w:val="20"/>
          <w:szCs w:val="20"/>
          <w:lang w:eastAsia="fr-FR"/>
        </w:rPr>
        <w:t>Les maladies cardiovasculaires constituent un ensemble de troubles affectant le cœur et les vaisseaux sanguins, qui comprennent: les cardiopathies ischémiques, les cardiomyopathies, les maladies cérébro-vasculaires, les cardiopathies valvulaires, les cardiopathies congénitales, les maladies thrombo-emboliques veineuses, les artériopathies périphériques.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Times New Roman" w:cs="Times New Roman"/>
          <w:color w:val="000000"/>
          <w:sz w:val="20"/>
          <w:szCs w:val="20"/>
          <w:shd w:val="clear" w:color="auto" w:fill="FFFFFF"/>
          <w:lang w:eastAsia="fr-FR"/>
        </w:rPr>
        <w:t>Les paramètres d'étude étaient les suivants: les données sociodémographiques (âge et sexe), les facteurs de risque cardiovasculaire (</w:t>
      </w:r>
      <w:r>
        <w:rPr>
          <w:rFonts w:hint="default" w:ascii="Times New Roman" w:hAnsi="Times New Roman" w:eastAsia="Times New Roman" w:cs="Times New Roman"/>
          <w:color w:val="000000" w:themeColor="text1"/>
          <w:sz w:val="20"/>
          <w:szCs w:val="20"/>
          <w:shd w:val="clear" w:color="auto" w:fill="FFFFFF"/>
          <w:lang w:eastAsia="fr-FR"/>
        </w:rPr>
        <w:t xml:space="preserve">Hypertension artérielle (HTA), </w:t>
      </w:r>
      <w:r>
        <w:rPr>
          <w:rFonts w:hint="default" w:ascii="Times New Roman" w:hAnsi="Times New Roman" w:eastAsia="Times New Roman" w:cs="Times New Roman"/>
          <w:color w:val="000000"/>
          <w:sz w:val="20"/>
          <w:szCs w:val="20"/>
          <w:shd w:val="clear" w:color="auto" w:fill="FFFFFF"/>
          <w:lang w:eastAsia="fr-FR"/>
        </w:rPr>
        <w:t xml:space="preserve">diabète, </w:t>
      </w:r>
      <w:r>
        <w:rPr>
          <w:rFonts w:hint="default" w:ascii="Times New Roman" w:hAnsi="Times New Roman" w:eastAsia="Times New Roman" w:cs="Times New Roman"/>
          <w:color w:val="000000"/>
          <w:sz w:val="20"/>
          <w:szCs w:val="20"/>
          <w:shd w:val="clear" w:color="auto" w:fill="FFFFFF"/>
          <w:lang w:val="en-US" w:eastAsia="fr-FR"/>
        </w:rPr>
        <w:t xml:space="preserve">consommation de </w:t>
      </w:r>
      <w:r>
        <w:rPr>
          <w:rFonts w:hint="default" w:ascii="Times New Roman" w:hAnsi="Times New Roman" w:eastAsia="Times New Roman" w:cs="Times New Roman"/>
          <w:color w:val="000000"/>
          <w:sz w:val="20"/>
          <w:szCs w:val="20"/>
          <w:shd w:val="clear" w:color="auto" w:fill="FFFFFF"/>
          <w:lang w:eastAsia="fr-FR"/>
        </w:rPr>
        <w:t>tabac, obésité, dyslipidémie), le diagnostic retenu (fréquence, la clinique et les examens complémentaires), l'évolution de la maladie durant l’hospitalisation (mortalité hospitalière).</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b/>
          <w:bCs/>
          <w:color w:val="000000"/>
          <w:sz w:val="20"/>
          <w:szCs w:val="20"/>
          <w:shd w:val="clear" w:color="auto" w:fill="FFFFFF"/>
          <w:lang w:eastAsia="fr-FR"/>
        </w:rPr>
        <w:t>Définitions de variables et mesures utilisées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color w:val="000000"/>
          <w:sz w:val="20"/>
          <w:szCs w:val="20"/>
          <w:shd w:val="clear" w:color="auto" w:fill="FFFFFF"/>
          <w:lang w:eastAsia="fr-FR"/>
        </w:rPr>
      </w:pPr>
      <w:r>
        <w:rPr>
          <w:rFonts w:hint="default" w:ascii="Times New Roman" w:hAnsi="Times New Roman" w:eastAsia="Times New Roman" w:cs="Times New Roman"/>
          <w:color w:val="000000"/>
          <w:sz w:val="20"/>
          <w:szCs w:val="20"/>
          <w:shd w:val="clear" w:color="auto" w:fill="FFFFFF"/>
          <w:lang w:eastAsia="fr-FR"/>
        </w:rPr>
        <w:t>L’évaluation de l’état pondéral a été faite à partir du calcul de l'indice de masse corporelle (IMC) ou indice de Quetelet: IMC = poids/Taille</w:t>
      </w:r>
      <w:r>
        <w:rPr>
          <w:rFonts w:hint="default" w:ascii="Times New Roman" w:hAnsi="Times New Roman" w:eastAsia="Times New Roman" w:cs="Times New Roman"/>
          <w:color w:val="000000"/>
          <w:sz w:val="20"/>
          <w:szCs w:val="20"/>
          <w:shd w:val="clear" w:color="auto" w:fill="FFFFFF"/>
          <w:vertAlign w:val="superscript"/>
          <w:lang w:eastAsia="fr-FR"/>
        </w:rPr>
        <w:t>2</w:t>
      </w:r>
      <w:r>
        <w:rPr>
          <w:rFonts w:hint="default" w:ascii="Times New Roman" w:hAnsi="Times New Roman" w:eastAsia="Times New Roman" w:cs="Times New Roman"/>
          <w:color w:val="000000"/>
          <w:sz w:val="20"/>
          <w:szCs w:val="20"/>
          <w:shd w:val="clear" w:color="auto" w:fill="FFFFFF"/>
          <w:vertAlign w:val="baseline"/>
          <w:lang w:val="en-US" w:eastAsia="fr-FR"/>
        </w:rPr>
        <w:t xml:space="preserve"> </w:t>
      </w:r>
      <w:r>
        <w:rPr>
          <w:rFonts w:hint="default" w:ascii="Times New Roman" w:hAnsi="Times New Roman" w:eastAsia="Times New Roman" w:cs="Times New Roman"/>
          <w:color w:val="000000"/>
          <w:sz w:val="20"/>
          <w:szCs w:val="20"/>
          <w:shd w:val="clear" w:color="auto" w:fill="FFFFFF"/>
          <w:lang w:eastAsia="fr-FR"/>
        </w:rPr>
        <w:t>(poids en kg; taille en mètre). Le surpoids a été considéré pour un IMC compris entre 25 et 29.9 kg/m</w:t>
      </w:r>
      <w:r>
        <w:rPr>
          <w:rFonts w:hint="default" w:ascii="Times New Roman" w:hAnsi="Times New Roman" w:eastAsia="Times New Roman" w:cs="Times New Roman"/>
          <w:color w:val="000000"/>
          <w:sz w:val="20"/>
          <w:szCs w:val="20"/>
          <w:shd w:val="clear" w:color="auto" w:fill="FFFFFF"/>
          <w:vertAlign w:val="superscript"/>
          <w:lang w:eastAsia="fr-FR"/>
        </w:rPr>
        <w:t>2</w:t>
      </w:r>
      <w:r>
        <w:rPr>
          <w:rFonts w:hint="default" w:ascii="Times New Roman" w:hAnsi="Times New Roman" w:eastAsia="Times New Roman" w:cs="Times New Roman"/>
          <w:color w:val="000000"/>
          <w:sz w:val="20"/>
          <w:szCs w:val="20"/>
          <w:shd w:val="clear" w:color="auto" w:fill="FFFFFF"/>
          <w:lang w:eastAsia="fr-FR"/>
        </w:rPr>
        <w:t>, et l'obésité pour un IMC 30 kg/m</w:t>
      </w:r>
      <w:r>
        <w:rPr>
          <w:rFonts w:hint="default" w:ascii="Times New Roman" w:hAnsi="Times New Roman" w:eastAsia="Times New Roman" w:cs="Times New Roman"/>
          <w:color w:val="000000"/>
          <w:sz w:val="20"/>
          <w:szCs w:val="20"/>
          <w:shd w:val="clear" w:color="auto" w:fill="FFFFFF"/>
          <w:vertAlign w:val="superscript"/>
          <w:lang w:eastAsia="fr-FR"/>
        </w:rPr>
        <w:t>2</w:t>
      </w:r>
      <w:r>
        <w:rPr>
          <w:rFonts w:hint="default" w:ascii="Times New Roman" w:hAnsi="Times New Roman" w:eastAsia="Times New Roman" w:cs="Times New Roman"/>
          <w:color w:val="000000"/>
          <w:sz w:val="20"/>
          <w:szCs w:val="20"/>
          <w:shd w:val="clear" w:color="auto" w:fill="FFFFFF"/>
          <w:lang w:eastAsia="fr-FR"/>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color w:val="000000"/>
          <w:sz w:val="20"/>
          <w:szCs w:val="20"/>
          <w:shd w:val="clear" w:color="auto" w:fill="FFFFFF"/>
          <w:lang w:eastAsia="fr-FR"/>
        </w:rPr>
      </w:pPr>
      <w:r>
        <w:rPr>
          <w:rFonts w:hint="default" w:ascii="Times New Roman" w:hAnsi="Times New Roman" w:eastAsia="Times New Roman" w:cs="Times New Roman"/>
          <w:color w:val="000000"/>
          <w:sz w:val="20"/>
          <w:szCs w:val="20"/>
          <w:shd w:val="clear" w:color="auto" w:fill="FFFFFF"/>
          <w:lang w:eastAsia="fr-FR"/>
        </w:rPr>
        <w:t>L'HTA a été définie par une pression artérielle supérieure ou égale 140/90 mm Hg et/ou un antécédent connu d'hypertension artérielle chez un patient sous traitement antihypertenseur.</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color w:val="000000"/>
          <w:sz w:val="20"/>
          <w:szCs w:val="20"/>
          <w:shd w:val="clear" w:color="auto" w:fill="FFFFFF"/>
          <w:lang w:eastAsia="fr-FR"/>
        </w:rPr>
        <w:t>Le tabagisme a été défini comme le fait de fumer au moins une cigarette par jour.</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b/>
          <w:bCs/>
          <w:color w:val="000000"/>
          <w:sz w:val="20"/>
          <w:szCs w:val="20"/>
          <w:shd w:val="clear" w:color="auto" w:fill="FFFFFF"/>
          <w:lang w:eastAsia="fr-FR"/>
        </w:rPr>
        <w:t>Paramètres biochimiques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color w:val="000000"/>
          <w:sz w:val="20"/>
          <w:szCs w:val="20"/>
          <w:shd w:val="clear" w:color="auto" w:fill="FFFFFF"/>
          <w:lang w:eastAsia="fr-FR"/>
        </w:rPr>
      </w:pPr>
      <w:r>
        <w:rPr>
          <w:rFonts w:hint="default" w:ascii="Times New Roman" w:hAnsi="Times New Roman" w:eastAsia="Times New Roman" w:cs="Times New Roman"/>
          <w:color w:val="000000"/>
          <w:sz w:val="20"/>
          <w:szCs w:val="20"/>
          <w:shd w:val="clear" w:color="auto" w:fill="FFFFFF"/>
          <w:lang w:eastAsia="fr-FR"/>
        </w:rPr>
        <w:t>La cholestérolémie totale, la triglycéridémie, le taux de LDL-cholestérol, le taux de HDL-cholestérol, l'uricémie et la glycémie ont été déterminées à jeun au laboratoire durant l'hospitalisation. La dyslipidémie a été définie pour une cholestérolémie totale &gt; 200 mg/dl, et/ou un taux de LDL-cholestérol &gt; 130 mg/dl, et/ou une triglycéridémie &gt; 150 mg/dl, et/ou un taux de HDL-cholestérol &lt; 40 mg/dl. Le Diabète a été défini pour une glycémie à jeun &gt; 126 mg/dl à deux reprises.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Times New Roman" w:cs="Times New Roman"/>
          <w:sz w:val="20"/>
          <w:szCs w:val="20"/>
          <w:lang w:eastAsia="fr-FR"/>
        </w:rPr>
      </w:pPr>
      <w:r>
        <w:rPr>
          <w:rFonts w:hint="default" w:ascii="Times New Roman" w:hAnsi="Times New Roman" w:eastAsia="Times New Roman" w:cs="Times New Roman"/>
          <w:b/>
          <w:bCs/>
          <w:color w:val="000000"/>
          <w:sz w:val="20"/>
          <w:szCs w:val="20"/>
          <w:shd w:val="clear" w:color="auto" w:fill="FFFFFF"/>
          <w:lang w:eastAsia="fr-FR"/>
        </w:rPr>
        <w:t>Analyse des données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 New Roman" w:cs="Times New Roman"/>
          <w:color w:val="000000" w:themeColor="text1"/>
          <w:sz w:val="20"/>
          <w:szCs w:val="20"/>
          <w:shd w:val="clear" w:color="auto" w:fill="FFFFFF"/>
          <w:lang w:val="en-US" w:eastAsia="fr-FR"/>
        </w:rPr>
      </w:pPr>
      <w:r>
        <w:rPr>
          <w:rFonts w:hint="default" w:ascii="Times New Roman" w:hAnsi="Times New Roman" w:eastAsia="Times New Roman" w:cs="Times New Roman"/>
          <w:color w:val="000000"/>
          <w:sz w:val="20"/>
          <w:szCs w:val="20"/>
          <w:shd w:val="clear" w:color="auto" w:fill="FFFFFF"/>
          <w:lang w:eastAsia="fr-FR"/>
        </w:rPr>
        <w:t>Les paramètres quantitatifs étaient présentés sous forme de moyenne ± écart-type et les paramètres qualitatifs sous la forme d’effectif suivi du pourcentage.</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sz w:val="20"/>
          <w:szCs w:val="20"/>
          <w:u w:val="single"/>
        </w:rPr>
      </w:pPr>
      <w:r>
        <w:rPr>
          <w:rFonts w:hint="default" w:ascii="Times New Roman" w:hAnsi="Times New Roman" w:eastAsia="Times New Roman" w:cs="Times New Roman"/>
          <w:color w:val="000000" w:themeColor="text1"/>
          <w:sz w:val="20"/>
          <w:szCs w:val="20"/>
          <w:shd w:val="clear" w:color="auto" w:fill="FFFFFF"/>
          <w:lang w:eastAsia="fr-FR"/>
        </w:rPr>
        <w:t>L'analyse des données a été effectuée à l´</w:t>
      </w:r>
      <w:r>
        <w:rPr>
          <w:rFonts w:hint="default" w:ascii="Times New Roman" w:hAnsi="Times New Roman" w:eastAsia="Times New Roman" w:cs="Times New Roman"/>
          <w:color w:val="000000"/>
          <w:sz w:val="20"/>
          <w:szCs w:val="20"/>
          <w:shd w:val="clear" w:color="auto" w:fill="FFFFFF"/>
          <w:lang w:eastAsia="fr-FR"/>
        </w:rPr>
        <w:t>aide du logiciel SPSS version 21.</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u w:val="none"/>
        </w:rPr>
      </w:pPr>
      <w:r>
        <w:rPr>
          <w:rFonts w:hint="default" w:ascii="Times New Roman" w:hAnsi="Times New Roman" w:cs="Times New Roman"/>
          <w:b/>
          <w:sz w:val="20"/>
          <w:szCs w:val="20"/>
          <w:u w:val="none"/>
        </w:rPr>
        <w:t>RÉSULTATS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diagnostic de pathologies cardiovasculaires a été retenu chez 188 sur 813 patients hospitalisés soit une fréquence hospitalière de 23,12%.</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sz w:val="20"/>
          <w:szCs w:val="20"/>
        </w:rPr>
        <w:t>L’âge moyen de nos patients était de 58,87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17,63 ans. La tranche d’âge 51-70 ans représentait 47% de </w:t>
      </w:r>
      <w:r>
        <w:rPr>
          <w:rFonts w:hint="default" w:ascii="Times New Roman" w:hAnsi="Times New Roman" w:cs="Times New Roman"/>
          <w:color w:val="000000" w:themeColor="text1"/>
          <w:sz w:val="20"/>
          <w:szCs w:val="20"/>
        </w:rPr>
        <w:t>nos patients. La prédominance était féminine avec un sex-ratio H/F de 0,86.</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r>
        <w:rPr>
          <w:rFonts w:hint="default" w:ascii="Times New Roman" w:hAnsi="Times New Roman" w:cs="Times New Roman"/>
          <w:sz w:val="20"/>
          <w:szCs w:val="20"/>
        </w:rPr>
        <w:t>Nos patients étaient essentiellement des ménagères 39,9%; des commerçants 14,9% et des fonctionnaires 11,7</w:t>
      </w:r>
      <w:r>
        <w:rPr>
          <w:rFonts w:hint="default" w:ascii="Times New Roman" w:hAnsi="Times New Roman" w:cs="Times New Roman"/>
          <w:color w:val="000000" w:themeColor="text1"/>
          <w:sz w:val="20"/>
          <w:szCs w:val="20"/>
        </w:rPr>
        <w:t xml:space="preserve">% </w:t>
      </w:r>
      <w:r>
        <w:rPr>
          <w:rFonts w:hint="default" w:ascii="Times New Roman" w:hAnsi="Times New Roman" w:cs="Times New Roman"/>
          <w:color w:val="000000" w:themeColor="text1"/>
          <w:sz w:val="20"/>
          <w:szCs w:val="20"/>
          <w:lang w:val="fr-FR"/>
        </w:rPr>
        <w:t>comme l’indique le T</w:t>
      </w:r>
      <w:bookmarkStart w:id="0" w:name="_GoBack"/>
      <w:bookmarkEnd w:id="0"/>
      <w:r>
        <w:rPr>
          <w:rFonts w:hint="default" w:ascii="Times New Roman" w:hAnsi="Times New Roman" w:cs="Times New Roman"/>
          <w:color w:val="000000" w:themeColor="text1"/>
          <w:sz w:val="20"/>
          <w:szCs w:val="20"/>
          <w:lang w:val="fr-FR"/>
        </w:rPr>
        <w:t>ableau I</w:t>
      </w:r>
      <w:r>
        <w:rPr>
          <w:rFonts w:hint="default" w:ascii="Times New Roman" w:hAnsi="Times New Roman" w:cs="Times New Roman"/>
          <w:i/>
          <w:color w:val="000000" w:themeColor="text1"/>
          <w:sz w:val="20"/>
          <w:szCs w:val="20"/>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r>
        <w:rPr>
          <w:sz w:val="20"/>
        </w:rPr>
        <w:pict>
          <v:shape id="_x0000_s1027" o:spid="_x0000_s1027" o:spt="202" type="#_x0000_t202" style="position:absolute;left:0pt;margin-left:0.75pt;margin-top:5.2pt;height:260.15pt;width:246.7pt;mso-wrap-distance-bottom:0pt;mso-wrap-distance-left:9pt;mso-wrap-distance-right:9pt;mso-wrap-distance-top:0pt;z-index:251658240;mso-width-relative:page;mso-height-relative:page;" fillcolor="#FFFFFF" filled="t" stroked="f" coordsize="21600,21600">
            <v:path/>
            <v:fill on="t" color2="#FFFFFF" focussize="0,0"/>
            <v:stroke on="f"/>
            <v:imagedata o:title=""/>
            <o:lock v:ext="edit" aspectratio="f"/>
            <v:textbox>
              <w:txbxContent>
                <w:tbl>
                  <w:tblPr>
                    <w:tblStyle w:val="14"/>
                    <w:tblW w:w="4780" w:type="dxa"/>
                    <w:tblInd w:w="0" w:type="dxa"/>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5"/>
                    <w:gridCol w:w="1933"/>
                    <w:gridCol w:w="967"/>
                    <w:gridCol w:w="805"/>
                  </w:tblGrid>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4780" w:type="dxa"/>
                        <w:gridSpan w:val="4"/>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u w:val="none"/>
                          </w:rPr>
                          <w:t>Tableau I:</w:t>
                        </w:r>
                        <w:r>
                          <w:rPr>
                            <w:rFonts w:hint="default" w:ascii="Times New Roman" w:hAnsi="Times New Roman" w:cs="Times New Roman"/>
                            <w:b/>
                            <w:bCs/>
                            <w:color w:val="000000"/>
                            <w:sz w:val="18"/>
                            <w:szCs w:val="18"/>
                          </w:rPr>
                          <w:t xml:space="preserve"> </w:t>
                        </w:r>
                        <w:r>
                          <w:rPr>
                            <w:rFonts w:hint="default" w:ascii="Times New Roman" w:hAnsi="Times New Roman" w:cs="Times New Roman"/>
                            <w:b/>
                            <w:bCs/>
                            <w:color w:val="000000"/>
                            <w:sz w:val="18"/>
                            <w:szCs w:val="18"/>
                            <w:lang w:val="fr-FR"/>
                          </w:rPr>
                          <w:t>V</w:t>
                        </w:r>
                        <w:r>
                          <w:rPr>
                            <w:rFonts w:hint="default" w:ascii="Times New Roman" w:hAnsi="Times New Roman" w:cs="Times New Roman"/>
                            <w:b/>
                            <w:bCs/>
                            <w:color w:val="000000"/>
                            <w:sz w:val="18"/>
                            <w:szCs w:val="18"/>
                          </w:rPr>
                          <w:t>ariables socio-démographiques</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Variables</w:t>
                        </w: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4780" w:type="dxa"/>
                        <w:gridSpan w:val="4"/>
                        <w:shd w:val="clear" w:color="auto" w:fill="DBE5F1"/>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Sexe</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w:t>
                        </w:r>
                        <w:r>
                          <w:rPr>
                            <w:rFonts w:hint="default" w:ascii="Times New Roman" w:hAnsi="Times New Roman" w:cs="Times New Roman"/>
                            <w:b/>
                            <w:bCs/>
                            <w:color w:val="000000"/>
                            <w:sz w:val="18"/>
                            <w:szCs w:val="18"/>
                            <w:lang w:val="fr-FR"/>
                          </w:rPr>
                          <w:t>asculin</w:t>
                        </w:r>
                      </w:p>
                    </w:tc>
                    <w:tc>
                      <w:tcPr>
                        <w:tcW w:w="967"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w:t>
                        </w:r>
                      </w:p>
                    </w:tc>
                    <w:tc>
                      <w:tcPr>
                        <w:tcW w:w="805"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45,4</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rPr>
                          <w:t>F</w:t>
                        </w:r>
                        <w:r>
                          <w:rPr>
                            <w:rFonts w:hint="default" w:ascii="Times New Roman" w:hAnsi="Times New Roman" w:cs="Times New Roman"/>
                            <w:b/>
                            <w:bCs/>
                            <w:color w:val="000000"/>
                            <w:sz w:val="18"/>
                            <w:szCs w:val="18"/>
                            <w:lang w:val="fr-FR"/>
                          </w:rPr>
                          <w:t>éminin</w:t>
                        </w:r>
                      </w:p>
                    </w:tc>
                    <w:tc>
                      <w:tcPr>
                        <w:tcW w:w="967"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p>
                    </w:tc>
                    <w:tc>
                      <w:tcPr>
                        <w:tcW w:w="805"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54,6</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4780" w:type="dxa"/>
                        <w:gridSpan w:val="4"/>
                        <w:shd w:val="clear" w:color="auto" w:fill="FFFFFF"/>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Tranche d’âge (ans)</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14-32</w:t>
                        </w:r>
                        <w:r>
                          <w:rPr>
                            <w:rFonts w:hint="default" w:ascii="Times New Roman" w:hAnsi="Times New Roman" w:cs="Times New Roman"/>
                            <w:b/>
                            <w:bCs/>
                            <w:color w:val="000000"/>
                            <w:sz w:val="18"/>
                            <w:szCs w:val="18"/>
                            <w:lang w:val="fr-FR"/>
                          </w:rPr>
                          <w:t>[</w:t>
                        </w:r>
                      </w:p>
                    </w:tc>
                    <w:tc>
                      <w:tcPr>
                        <w:tcW w:w="967"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20</w:t>
                        </w:r>
                      </w:p>
                    </w:tc>
                    <w:tc>
                      <w:tcPr>
                        <w:tcW w:w="805"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lang w:val="fr-FR"/>
                          </w:rPr>
                          <w:t>10.64</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32-51</w:t>
                        </w:r>
                        <w:r>
                          <w:rPr>
                            <w:rFonts w:hint="default" w:ascii="Times New Roman" w:hAnsi="Times New Roman" w:cs="Times New Roman"/>
                            <w:b/>
                            <w:bCs/>
                            <w:color w:val="000000"/>
                            <w:sz w:val="18"/>
                            <w:szCs w:val="18"/>
                            <w:lang w:val="fr-FR"/>
                          </w:rPr>
                          <w:t>[</w:t>
                        </w: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19,68</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51-70</w:t>
                        </w:r>
                        <w:r>
                          <w:rPr>
                            <w:rFonts w:hint="default" w:ascii="Times New Roman" w:hAnsi="Times New Roman" w:cs="Times New Roman"/>
                            <w:b/>
                            <w:bCs/>
                            <w:color w:val="000000"/>
                            <w:sz w:val="18"/>
                            <w:szCs w:val="18"/>
                            <w:lang w:val="fr-FR"/>
                          </w:rPr>
                          <w:t>[</w:t>
                        </w:r>
                      </w:p>
                    </w:tc>
                    <w:tc>
                      <w:tcPr>
                        <w:tcW w:w="967"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w:t>
                        </w:r>
                      </w:p>
                    </w:tc>
                    <w:tc>
                      <w:tcPr>
                        <w:tcW w:w="805"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47,34</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r>
                          <w:rPr>
                            <w:rFonts w:hint="default" w:ascii="Times New Roman" w:hAnsi="Times New Roman" w:cs="Times New Roman"/>
                            <w:b/>
                            <w:bCs/>
                            <w:color w:val="000000"/>
                            <w:sz w:val="18"/>
                            <w:szCs w:val="18"/>
                          </w:rPr>
                          <w:t>70-89</w:t>
                        </w:r>
                        <w:r>
                          <w:rPr>
                            <w:rFonts w:hint="default" w:ascii="Times New Roman" w:hAnsi="Times New Roman" w:cs="Times New Roman"/>
                            <w:b/>
                            <w:bCs/>
                            <w:color w:val="000000"/>
                            <w:sz w:val="18"/>
                            <w:szCs w:val="18"/>
                            <w:lang w:val="fr-FR"/>
                          </w:rPr>
                          <w:t>]</w:t>
                        </w: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22,34</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4780" w:type="dxa"/>
                        <w:gridSpan w:val="4"/>
                        <w:shd w:val="clear" w:color="auto" w:fill="DBE5F1"/>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Profession</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Ménagères</w:t>
                        </w: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Commerçants</w:t>
                        </w:r>
                      </w:p>
                    </w:tc>
                    <w:tc>
                      <w:tcPr>
                        <w:tcW w:w="967"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w:t>
                        </w:r>
                      </w:p>
                    </w:tc>
                    <w:tc>
                      <w:tcPr>
                        <w:tcW w:w="805"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Profession libérale</w:t>
                        </w: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13,83</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Fonctionnaires</w:t>
                        </w:r>
                      </w:p>
                    </w:tc>
                    <w:tc>
                      <w:tcPr>
                        <w:tcW w:w="967"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w:t>
                        </w:r>
                      </w:p>
                    </w:tc>
                    <w:tc>
                      <w:tcPr>
                        <w:tcW w:w="805"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Retraité</w:t>
                        </w: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Cultivateur/Eleveur</w:t>
                        </w:r>
                      </w:p>
                    </w:tc>
                    <w:tc>
                      <w:tcPr>
                        <w:tcW w:w="967"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w:t>
                        </w:r>
                      </w:p>
                    </w:tc>
                    <w:tc>
                      <w:tcPr>
                        <w:tcW w:w="805"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Etudiant</w:t>
                        </w: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4780" w:type="dxa"/>
                        <w:gridSpan w:val="4"/>
                        <w:shd w:val="clear" w:color="auto" w:fill="DBE5F1"/>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Résidence</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75"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Urbaine</w:t>
                        </w:r>
                      </w:p>
                    </w:tc>
                    <w:tc>
                      <w:tcPr>
                        <w:tcW w:w="967"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w:t>
                        </w:r>
                      </w:p>
                    </w:tc>
                    <w:tc>
                      <w:tcPr>
                        <w:tcW w:w="805"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77,1</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1075"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p>
                    </w:tc>
                    <w:tc>
                      <w:tcPr>
                        <w:tcW w:w="1933"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Rurale</w:t>
                        </w:r>
                      </w:p>
                    </w:tc>
                    <w:tc>
                      <w:tcPr>
                        <w:tcW w:w="967"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w:t>
                        </w:r>
                      </w:p>
                    </w:tc>
                    <w:tc>
                      <w:tcPr>
                        <w:tcW w:w="805"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w:t>
                        </w:r>
                      </w:p>
                    </w:tc>
                  </w:tr>
                </w:tbl>
                <w:p/>
              </w:txbxContent>
            </v:textbox>
            <w10:wrap type="square"/>
          </v:shape>
        </w:pic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r>
        <w:rPr>
          <w:rFonts w:hint="default" w:ascii="Times New Roman" w:hAnsi="Times New Roman" w:cs="Times New Roman"/>
          <w:color w:val="000000" w:themeColor="text1"/>
          <w:sz w:val="20"/>
          <w:szCs w:val="20"/>
        </w:rPr>
        <w:t>Sur le plan signes fonctionnels, les patients avaient consulté pour dyspnée, déficit moteur et lourdeur de la jambe dans respectivement 49,46, 34,04% et 9,04% des cas.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r>
        <w:rPr>
          <w:sz w:val="20"/>
        </w:rPr>
        <w:pict>
          <v:shape id="_x0000_s1028" o:spid="_x0000_s1028" o:spt="202" type="#_x0000_t202" style="position:absolute;left:0pt;margin-left:-0.15pt;margin-top:7.2pt;height:207.45pt;width:241.25pt;z-index:251659264;mso-width-relative:page;mso-height-relative:page;" fillcolor="#FFFFFF" filled="t" stroked="f" coordsize="21600,21600">
            <v:path/>
            <v:fill on="t" color2="#FFFFFF" focussize="0,0"/>
            <v:stroke on="f"/>
            <v:imagedata o:title=""/>
            <o:lock v:ext="edit" aspectratio="f"/>
            <v:textbox>
              <w:txbxContent>
                <w:tbl>
                  <w:tblPr>
                    <w:tblStyle w:val="14"/>
                    <w:tblW w:w="4720" w:type="dxa"/>
                    <w:tblInd w:w="0" w:type="dxa"/>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2"/>
                    <w:gridCol w:w="1908"/>
                    <w:gridCol w:w="954"/>
                    <w:gridCol w:w="796"/>
                  </w:tblGrid>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720" w:type="dxa"/>
                        <w:gridSpan w:val="4"/>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u w:val="none"/>
                          </w:rPr>
                          <w:t xml:space="preserve">Tableau II: </w:t>
                        </w:r>
                        <w:r>
                          <w:rPr>
                            <w:rFonts w:hint="default" w:ascii="Times New Roman" w:hAnsi="Times New Roman" w:cs="Times New Roman"/>
                            <w:b/>
                            <w:bCs/>
                            <w:color w:val="000000"/>
                            <w:sz w:val="18"/>
                            <w:szCs w:val="18"/>
                            <w:u w:val="none"/>
                            <w:lang w:val="fr-FR"/>
                          </w:rPr>
                          <w:t>S</w:t>
                        </w:r>
                        <w:r>
                          <w:rPr>
                            <w:rFonts w:hint="default" w:ascii="Times New Roman" w:hAnsi="Times New Roman" w:cs="Times New Roman"/>
                            <w:b/>
                            <w:bCs/>
                            <w:color w:val="000000"/>
                            <w:sz w:val="18"/>
                            <w:szCs w:val="18"/>
                            <w:u w:val="none"/>
                          </w:rPr>
                          <w:t>ignes fonctionnels et facteurs de risque cardiovasculaire</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062"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954"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796"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4720" w:type="dxa"/>
                        <w:gridSpan w:val="4"/>
                        <w:shd w:val="clear" w:color="auto" w:fill="DBE5F1"/>
                      </w:tcPr>
                      <w:p>
                        <w:pPr>
                          <w:keepNext w:val="0"/>
                          <w:keepLines w:val="0"/>
                          <w:pageBreakBefore w:val="0"/>
                          <w:widowControl/>
                          <w:kinsoku/>
                          <w:wordWrap/>
                          <w:overflowPunct/>
                          <w:topLinePunct w:val="0"/>
                          <w:bidi w:val="0"/>
                          <w:snapToGrid/>
                          <w:spacing w:after="0" w:line="240" w:lineRule="auto"/>
                          <w:jc w:val="left"/>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Signes fonctionnels</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1062"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FFFFFF"/>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Dyspnée</w:t>
                        </w:r>
                      </w:p>
                    </w:tc>
                    <w:tc>
                      <w:tcPr>
                        <w:tcW w:w="954"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w:t>
                        </w:r>
                      </w:p>
                    </w:tc>
                    <w:tc>
                      <w:tcPr>
                        <w:tcW w:w="796"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49,46</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62"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DBE5F1"/>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rPr>
                          <w:t>Déficit moteur</w:t>
                        </w:r>
                      </w:p>
                    </w:tc>
                    <w:tc>
                      <w:tcPr>
                        <w:tcW w:w="954"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w:t>
                        </w:r>
                      </w:p>
                    </w:tc>
                    <w:tc>
                      <w:tcPr>
                        <w:tcW w:w="796"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34,04</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062"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FFFFFF"/>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rPr>
                          <w:t>Lourdeur de jambe</w:t>
                        </w:r>
                      </w:p>
                    </w:tc>
                    <w:tc>
                      <w:tcPr>
                        <w:tcW w:w="954"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rPr>
                          <w:t>17</w:t>
                        </w:r>
                      </w:p>
                    </w:tc>
                    <w:tc>
                      <w:tcPr>
                        <w:tcW w:w="796"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lang w:val="fr-FR"/>
                          </w:rPr>
                        </w:pPr>
                        <w:r>
                          <w:rPr>
                            <w:rFonts w:hint="default" w:ascii="Times New Roman" w:hAnsi="Times New Roman" w:cs="Times New Roman"/>
                            <w:color w:val="000000"/>
                            <w:sz w:val="18"/>
                            <w:szCs w:val="18"/>
                          </w:rPr>
                          <w:t>9,04</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62"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DBE5F1"/>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rPr>
                          <w:t>Palpitations</w:t>
                        </w:r>
                      </w:p>
                    </w:tc>
                    <w:tc>
                      <w:tcPr>
                        <w:tcW w:w="954"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c>
                      <w:tcPr>
                        <w:tcW w:w="796"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1062"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FFFFFF"/>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rPr>
                          <w:t>Douleur thoracique</w:t>
                        </w:r>
                      </w:p>
                    </w:tc>
                    <w:tc>
                      <w:tcPr>
                        <w:tcW w:w="954"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w:t>
                        </w:r>
                      </w:p>
                    </w:tc>
                    <w:tc>
                      <w:tcPr>
                        <w:tcW w:w="796"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7,97</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1062"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DBE5F1"/>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rPr>
                          <w:t xml:space="preserve">Syncope </w:t>
                        </w:r>
                      </w:p>
                    </w:tc>
                    <w:tc>
                      <w:tcPr>
                        <w:tcW w:w="954"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c>
                      <w:tcPr>
                        <w:tcW w:w="796"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4720" w:type="dxa"/>
                        <w:gridSpan w:val="4"/>
                        <w:shd w:val="clear" w:color="auto" w:fill="FFFFFF"/>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Facteurs de risque cardiovasculaire</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62"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DBE5F1"/>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HTA</w:t>
                        </w:r>
                      </w:p>
                    </w:tc>
                    <w:tc>
                      <w:tcPr>
                        <w:tcW w:w="954"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w:t>
                        </w:r>
                      </w:p>
                    </w:tc>
                    <w:tc>
                      <w:tcPr>
                        <w:tcW w:w="796"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45,21</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62"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FFFFFF"/>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Dyslipidémie</w:t>
                        </w:r>
                      </w:p>
                    </w:tc>
                    <w:tc>
                      <w:tcPr>
                        <w:tcW w:w="954"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w:t>
                        </w:r>
                      </w:p>
                    </w:tc>
                    <w:tc>
                      <w:tcPr>
                        <w:tcW w:w="796"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20,74</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62"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DBE5F1"/>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Diabète</w:t>
                        </w:r>
                      </w:p>
                    </w:tc>
                    <w:tc>
                      <w:tcPr>
                        <w:tcW w:w="954"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w:t>
                        </w:r>
                      </w:p>
                    </w:tc>
                    <w:tc>
                      <w:tcPr>
                        <w:tcW w:w="796"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trPr>
                    <w:tc>
                      <w:tcPr>
                        <w:tcW w:w="1062"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FFFFFF"/>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Tabagisme</w:t>
                        </w:r>
                      </w:p>
                    </w:tc>
                    <w:tc>
                      <w:tcPr>
                        <w:tcW w:w="954"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w:t>
                        </w:r>
                      </w:p>
                    </w:tc>
                    <w:tc>
                      <w:tcPr>
                        <w:tcW w:w="796" w:type="dxa"/>
                        <w:shd w:val="clear" w:color="auto" w:fill="FFFFFF"/>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12,23</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 w:hRule="atLeast"/>
                    </w:trPr>
                    <w:tc>
                      <w:tcPr>
                        <w:tcW w:w="1062"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p>
                    </w:tc>
                    <w:tc>
                      <w:tcPr>
                        <w:tcW w:w="1908" w:type="dxa"/>
                        <w:shd w:val="clear" w:color="auto" w:fill="DBE5F1"/>
                        <w:vAlign w:val="top"/>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Obésité</w:t>
                        </w:r>
                      </w:p>
                    </w:tc>
                    <w:tc>
                      <w:tcPr>
                        <w:tcW w:w="954"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w:t>
                        </w:r>
                      </w:p>
                    </w:tc>
                    <w:tc>
                      <w:tcPr>
                        <w:tcW w:w="796" w:type="dxa"/>
                        <w:shd w:val="clear" w:color="auto" w:fill="DBE5F1"/>
                        <w:vAlign w:val="top"/>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6,91</w:t>
                        </w:r>
                      </w:p>
                    </w:tc>
                  </w:tr>
                </w:tbl>
                <w:p/>
              </w:txbxContent>
            </v:textbox>
          </v:shape>
        </w:pic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i/>
          <w:color w:val="000000" w:themeColor="text1"/>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facteurs de risque cardiovasculaire prédominants étaient l’hypertension artérielle (HTA) 45,21%; la dyslipidémie 20,74% et le diabète 15,42%.</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motifs d’hospitalisation pour pathologies cardiovasculaires étaient les accidents vasculaires cérébraux (AVC) 34,04%; la cardiomyopathie dilatée primitive décompensée en insuffisance cardiaque globale 21,8%; la cardiomyopathie du peripartum décompensée en insuffisance cardiaque globale 13,3% et la maladie thromboembolique veineuse (MTEV) 18.</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sz w:val="20"/>
        </w:rPr>
        <w:pict>
          <v:shape id="_x0000_s1029" o:spid="_x0000_s1029" o:spt="202" type="#_x0000_t202" style="position:absolute;left:0pt;margin-left:-4.8pt;margin-top:8.6pt;height:195.75pt;width:248.95pt;z-index:251660288;mso-width-relative:page;mso-height-relative:page;" fillcolor="#FFFFFF" filled="t" stroked="f" coordsize="21600,21600">
            <v:path/>
            <v:fill on="t" color2="#FFFFFF" focussize="0,0"/>
            <v:stroke on="f"/>
            <v:imagedata o:title=""/>
            <o:lock v:ext="edit" aspectratio="f"/>
            <v:textbox>
              <w:txbxContent>
                <w:tbl>
                  <w:tblPr>
                    <w:tblStyle w:val="14"/>
                    <w:tblW w:w="4820" w:type="dxa"/>
                    <w:jc w:val="center"/>
                    <w:tblInd w:w="2428" w:type="dxa"/>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4"/>
                    <w:gridCol w:w="752"/>
                    <w:gridCol w:w="814"/>
                  </w:tblGrid>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jc w:val="center"/>
                    </w:trPr>
                    <w:tc>
                      <w:tcPr>
                        <w:tcW w:w="4820" w:type="dxa"/>
                        <w:gridSpan w:val="3"/>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lang w:val="fr-FR"/>
                          </w:rPr>
                        </w:pPr>
                        <w:r>
                          <w:rPr>
                            <w:rFonts w:hint="default" w:ascii="Times New Roman" w:hAnsi="Times New Roman" w:cs="Times New Roman"/>
                            <w:b/>
                            <w:bCs/>
                            <w:color w:val="000000"/>
                            <w:sz w:val="18"/>
                            <w:szCs w:val="18"/>
                            <w:u w:val="none"/>
                          </w:rPr>
                          <w:t xml:space="preserve">Tableau </w:t>
                        </w:r>
                        <w:r>
                          <w:rPr>
                            <w:rFonts w:hint="default" w:ascii="Times New Roman" w:hAnsi="Times New Roman" w:cs="Times New Roman"/>
                            <w:b/>
                            <w:bCs/>
                            <w:color w:val="000000"/>
                            <w:sz w:val="18"/>
                            <w:szCs w:val="18"/>
                            <w:u w:val="none"/>
                            <w:lang w:val="fr-FR"/>
                          </w:rPr>
                          <w:t>I</w:t>
                        </w:r>
                        <w:r>
                          <w:rPr>
                            <w:rFonts w:hint="default" w:ascii="Times New Roman" w:hAnsi="Times New Roman" w:cs="Times New Roman"/>
                            <w:b/>
                            <w:bCs/>
                            <w:color w:val="000000"/>
                            <w:sz w:val="18"/>
                            <w:szCs w:val="18"/>
                            <w:u w:val="none"/>
                          </w:rPr>
                          <w:t>II :</w:t>
                        </w:r>
                        <w:r>
                          <w:rPr>
                            <w:rFonts w:hint="default" w:ascii="Times New Roman" w:hAnsi="Times New Roman" w:cs="Times New Roman"/>
                            <w:b/>
                            <w:bCs/>
                            <w:color w:val="000000"/>
                            <w:sz w:val="18"/>
                            <w:szCs w:val="18"/>
                          </w:rPr>
                          <w:t xml:space="preserve"> Répartition selon les pathologies cardiovasculaire</w:t>
                        </w:r>
                        <w:r>
                          <w:rPr>
                            <w:rFonts w:hint="default" w:ascii="Times New Roman" w:hAnsi="Times New Roman" w:cs="Times New Roman"/>
                            <w:b/>
                            <w:bCs/>
                            <w:color w:val="000000"/>
                            <w:sz w:val="18"/>
                            <w:szCs w:val="18"/>
                            <w:lang w:val="fr-FR"/>
                          </w:rPr>
                          <w:t>.</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jc w:val="center"/>
                    </w:trPr>
                    <w:tc>
                      <w:tcPr>
                        <w:tcW w:w="3254"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Pathologies cardiovasculaires</w:t>
                        </w:r>
                      </w:p>
                    </w:tc>
                    <w:tc>
                      <w:tcPr>
                        <w:tcW w:w="752"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n</w:t>
                        </w:r>
                      </w:p>
                    </w:tc>
                    <w:tc>
                      <w:tcPr>
                        <w:tcW w:w="814"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b/>
                            <w:bCs/>
                            <w:color w:val="000000"/>
                            <w:sz w:val="18"/>
                            <w:szCs w:val="18"/>
                            <w:lang w:val="fr-FR"/>
                          </w:rPr>
                        </w:pPr>
                        <w:r>
                          <w:rPr>
                            <w:rFonts w:hint="default" w:ascii="Times New Roman" w:hAnsi="Times New Roman" w:cs="Times New Roman"/>
                            <w:b/>
                            <w:bCs/>
                            <w:color w:val="000000"/>
                            <w:sz w:val="18"/>
                            <w:szCs w:val="18"/>
                            <w:lang w:val="fr-FR"/>
                          </w:rPr>
                          <w:t>%</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AVC Ischémique</w:t>
                        </w:r>
                      </w:p>
                    </w:tc>
                    <w:tc>
                      <w:tcPr>
                        <w:tcW w:w="752"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w:t>
                        </w:r>
                      </w:p>
                    </w:tc>
                    <w:tc>
                      <w:tcPr>
                        <w:tcW w:w="814"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AVC Hémorragique</w:t>
                        </w:r>
                      </w:p>
                    </w:tc>
                    <w:tc>
                      <w:tcPr>
                        <w:tcW w:w="752"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w:t>
                        </w:r>
                      </w:p>
                    </w:tc>
                    <w:tc>
                      <w:tcPr>
                        <w:tcW w:w="814"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Cardiomyopathie dilatée primitive</w:t>
                        </w:r>
                      </w:p>
                    </w:tc>
                    <w:tc>
                      <w:tcPr>
                        <w:tcW w:w="752"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w:t>
                        </w:r>
                      </w:p>
                    </w:tc>
                    <w:tc>
                      <w:tcPr>
                        <w:tcW w:w="814"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21,8</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Meadows</w:t>
                        </w:r>
                      </w:p>
                    </w:tc>
                    <w:tc>
                      <w:tcPr>
                        <w:tcW w:w="752"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c>
                      <w:tcPr>
                        <w:tcW w:w="814"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Valvulopathie</w:t>
                        </w:r>
                      </w:p>
                    </w:tc>
                    <w:tc>
                      <w:tcPr>
                        <w:tcW w:w="752"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814"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Cardiopathie Hypertensive</w:t>
                        </w:r>
                      </w:p>
                    </w:tc>
                    <w:tc>
                      <w:tcPr>
                        <w:tcW w:w="752"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814"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Cardiopathie Ischémique </w:t>
                        </w:r>
                      </w:p>
                    </w:tc>
                    <w:tc>
                      <w:tcPr>
                        <w:tcW w:w="752"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814"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5,31</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Thrombose-veineuse-profonde</w:t>
                        </w:r>
                      </w:p>
                    </w:tc>
                    <w:tc>
                      <w:tcPr>
                        <w:tcW w:w="752"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w:t>
                        </w:r>
                      </w:p>
                    </w:tc>
                    <w:tc>
                      <w:tcPr>
                        <w:tcW w:w="814"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7,97</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254" w:type="dxa"/>
                        <w:shd w:val="clear" w:color="auto" w:fill="DBE5F1"/>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Embolie pulmonaire</w:t>
                        </w:r>
                      </w:p>
                    </w:tc>
                    <w:tc>
                      <w:tcPr>
                        <w:tcW w:w="752"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w:t>
                        </w:r>
                      </w:p>
                    </w:tc>
                    <w:tc>
                      <w:tcPr>
                        <w:tcW w:w="814" w:type="dxa"/>
                        <w:shd w:val="clear" w:color="auto" w:fill="DBE5F1"/>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10,10</w:t>
                        </w:r>
                      </w:p>
                    </w:tc>
                  </w:tr>
                  <w:tr>
                    <w:tblPrEx>
                      <w:tblBorders>
                        <w:top w:val="single" w:color="92CDDC" w:sz="8" w:space="0"/>
                        <w:left w:val="none" w:color="auto" w:sz="0" w:space="0"/>
                        <w:bottom w:val="single" w:color="92CDDC"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3254" w:type="dxa"/>
                        <w:shd w:val="clear" w:color="auto" w:fill="FFFFFF"/>
                      </w:tcPr>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Péricardite</w:t>
                        </w:r>
                      </w:p>
                    </w:tc>
                    <w:tc>
                      <w:tcPr>
                        <w:tcW w:w="752"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814" w:type="dxa"/>
                        <w:shd w:val="clear" w:color="auto" w:fill="FFFFFF"/>
                      </w:tcPr>
                      <w:p>
                        <w:pPr>
                          <w:keepNext w:val="0"/>
                          <w:keepLines w:val="0"/>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w:t>
                        </w:r>
                      </w:p>
                    </w:tc>
                  </w:tr>
                </w:tbl>
                <w:p/>
              </w:txbxContent>
            </v:textbox>
          </v:shape>
        </w:pic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 séjour hospitalier était de 1 à 10 jours dans 63,3% des cas. La mortalité hospitalière était de 15,43%.</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u w:val="none"/>
        </w:rPr>
      </w:pPr>
      <w:r>
        <w:rPr>
          <w:rFonts w:hint="default" w:ascii="Times New Roman" w:hAnsi="Times New Roman" w:cs="Times New Roman"/>
          <w:b/>
          <w:sz w:val="20"/>
          <w:szCs w:val="20"/>
          <w:u w:val="none"/>
        </w:rPr>
        <w:t>DISCUSSION</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Caractéristiques socio-démographiques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pathologies cardiovasculaires sont la première cause de mortalité dans le monde. Elles sont responsables d’une morbidité importante avec un retentissement socio-économique important. Leur fréquence est croissante en Afrique.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1p9blkovkt","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NewRomanPSMT" w:cs="Times New Roman"/>
          <w:sz w:val="20"/>
          <w:szCs w:val="20"/>
        </w:rPr>
      </w:pPr>
      <w:r>
        <w:rPr>
          <w:rFonts w:hint="default" w:ascii="Times New Roman" w:hAnsi="Times New Roman" w:cs="Times New Roman"/>
          <w:sz w:val="20"/>
          <w:szCs w:val="20"/>
        </w:rPr>
        <w:t xml:space="preserve">La fréquence hospitalière des pathologies cardiovasculaires était de 19,52% dans notre étude. Cette fréquence est inférieure à celle trouvée par Sylla qui avait trouvé une fréquence des urgences cardiovasculaires de 27,9% à Conakry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1faevlh3i0","properties":{"formattedCitation":"(4)","plainCitation":"(4)"},"citationItems":[{"id":56,"uris":["http://zotero.org/users/local/BEg94D5c/items/8KAHA5G4"],"uri":["http://zotero.org/users/local/BEg94D5c/items/8KAHA5G4"],"itemData":{"id":56,"type":"webpage","title":"Profil épidémiologique et clinique des urgences cardiovasculaires à Conakry","abstract":"Résumé\nObjectif : décrire les aspects épidémiologiques et\ncliniques des urgences cardiovasculaires au service\nde Cardiologie de l’Hôpital National Ignace Deen\nde Conakry.\nPatients et méthode : Il s’agissait d’une étude\nprospective descriptive d’une durée de six (06)\nmois, du 28 janvier au 28 juillet 2017. Elle a porté\nsur l’ensemble des patients admis et hospitalisés au\nservice pour une urgence cardiovasculaire avec des\ncritères de définition correspondant aux normes\ninternationales pour chaque urgence.\nRésultats : L’étude a porté sur 119 patients reçus\nen urgence dans le service pendant la période\nd’étude. Il y avait 69 hommes (57,9 %) et 50\nfemmes (42,1). Le sex-ratio H/F était de 1,38. La\nfréquence des UCV était de 27,9 %. Les\nprincipales urgences cardiovasculaires étaient\nreprésentées par l’insuffisance cardiaque\ndécompensée (28,6 %) suivie des urgences\nhypertensives (21,8 %) et de l’infarctus du\nmyocarde (18,5 %). Le délai entre le début des\nsymptômes et l’hospitalisation était en moyenne de\n5,7 jours. Les pathologies sous-jacentes les plus\nfréquentes étaient représentées par l’HTA (48,7\n%), les valvulopathies (28,6 %) et les\nmyocardiopathies (10,1 %). Le facteur de risque\ncardiovasculaire essentiel que nous avons observé\nétait l’hypertension artérielle dans (27,7 %).\nL’évolution a été favorable dans 85,7% des cas,\nmalheureusement 14, 3 % cas de décès ont été\nenregistrés.\nConclusion : Ces urgences constituent un problème\nmajeur de santé dans notre pays compte tenu de\nl’insuffisance du plateau technique. L’accent doit\nêtre mis sur la prévention des affections\ncardiovasculaires.\nMots clés : Urgences cardiovasculaires, Conakry","URL":"https://www.jaccrafrica.com/gallery/sylla%20is%20et%20al%20jaccr%20africa220419.pdf","author":[{"literal":"I Sory  Sylla"},{"literal":", S Samoura"},{"literal":", A Samba Guindo"},{"literal":", A Barry"},{"literal":", E Yaya Baldé"},{"literal":", D Sylla"},{"literal":", M Bachir Bah"},{"literal":", M Aliou Baldé"},{"literal":", M"},{"literal":"Béavogui"},{"literal":", M Dadhi Baldé"},{"literal":", M Condé"}],"accessed":{"date-parts":[["2019",7,20]]}}}],"schema":"https://github.com/citation-style-language/schema/raw/master/csl-citation.json"}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Cependant l’étude de Sylla concernait les patients vus pour urgences cardiovasculaires. Cela pourrait expliquer la différence entre les deux proportions. L’âge moyen de nos patients était de 58,87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 17,63 ans. </w:t>
      </w:r>
      <w:r>
        <w:rPr>
          <w:rFonts w:hint="default" w:ascii="Times New Roman" w:hAnsi="Times New Roman" w:eastAsia="TimesNewRomanPSMT" w:cs="Times New Roman"/>
          <w:sz w:val="20"/>
          <w:szCs w:val="20"/>
        </w:rPr>
        <w:t xml:space="preserve">A Meknes au Maroc, ElGhazi avait </w:t>
      </w:r>
      <w:r>
        <w:rPr>
          <w:rFonts w:hint="default" w:ascii="Times New Roman" w:hAnsi="Times New Roman" w:eastAsia="TimesNewRomanPSMT" w:cs="Times New Roman"/>
          <w:color w:val="000000" w:themeColor="text1"/>
          <w:sz w:val="20"/>
          <w:szCs w:val="20"/>
        </w:rPr>
        <w:t xml:space="preserve">trouvé les </w:t>
      </w:r>
      <w:r>
        <w:rPr>
          <w:rFonts w:hint="default" w:ascii="Times New Roman" w:hAnsi="Times New Roman" w:eastAsia="TimesNewRomanPSMT" w:cs="Times New Roman"/>
          <w:sz w:val="20"/>
          <w:szCs w:val="20"/>
        </w:rPr>
        <w:t xml:space="preserve">pathologies cardiovasculaires chez des patients hospitalisés ayant un âge moyen de 60,59 ± 15,31 ans </w:t>
      </w:r>
      <w:r>
        <w:rPr>
          <w:rFonts w:hint="default" w:ascii="Times New Roman" w:hAnsi="Times New Roman" w:eastAsia="TimesNewRomanPSMT" w:cs="Times New Roman"/>
          <w:sz w:val="20"/>
          <w:szCs w:val="20"/>
        </w:rPr>
        <w:fldChar w:fldCharType="begin"/>
      </w:r>
      <w:r>
        <w:rPr>
          <w:rFonts w:hint="default" w:ascii="Times New Roman" w:hAnsi="Times New Roman" w:eastAsia="TimesNewRomanPSMT" w:cs="Times New Roman"/>
          <w:sz w:val="20"/>
          <w:szCs w:val="20"/>
        </w:rPr>
        <w:instrText xml:space="preserve"> ADDIN ZOTERO_ITEM CSL_CITATION {"citationID":"nbvl3baqj","properties":{"formattedCitation":"(5)","plainCitation":"(5)"},"citationItems":[{"id":58,"uris":["http://zotero.org/users/local/BEg94D5c/items/WJ3G8RMP"],"uri":["http://zotero.org/users/local/BEg94D5c/items/WJ3G8RMP"],"itemData":{"id":58,"type":"article-newspaper","title":"Profil épidémiologique des maladies cardiovasculaires dans la Ville de Meknès (Maroc) | Ibrahim El Ghazi | Request PDF","abstract":"Introduction : Au Maroc très peu de travaux publiés se sont intéressés\nde façon rigoureuse aux maladies cardiovasculaires. De ce fait, l’objectif\nmajeur de cette recherche est d’évaluer le profil épidémiologique des\nmaladies cardiovasculaires des sujets hospitalisés et traités au service de\ncardiologie de l’Hôpital Mohammed V de Meknès (Maroc). Méthodes: Il\ns’agit d’une étude rétrospective descriptive et analytique portant sur 1112\npatients admis au service de cardiologie de l’Hôpital Mohammed V, sur une\npériode de quatre ans (du 1er janvier 2011 au 31 décembre 2014). Résultats :\ncinquante-quatre pour cent des patients étaient des femmes et la tranche d’âge\nla plus touchée était celle de 45-64 ans (42,08 %) (p &lt; 0,001). Les pathologies\nles plus répandues parmi les sujets hospitalisés : la cardiopathie ischémique\nqui a représenté la première cause d’hospitalisation avec 341 cas\ncorrespondant à 30,66 %, suivie de l’insuffisance cardiaque (20,59 %). La\ncardiopathie ischémique était plus fréquente chez les hommes (p = 0,05) alors\nque les femmes étaient plus touchées par l’hypertension artérielle (p =\n0,0096), l’insuffisance cardiaque (p = 0,06) et la thrombose veineuse (p &lt;\n0,05). Conclusion : Les pathologies cardiovasculaires représentent un\nvéritable problème à la fois sanitaire et socio-économique pour les familles et\nles structures sanitaires. La fréquence et la gravité de ces maladies doivent\nnous inciter à faire des recherches plus poussées à propos de ce sujet afin de\ntrouver les solutions les plus plausibles pour réduire les répercussions\nnégatives.","URL":"https://www.researchgate.net/publication/329438636_Profil_epidemiologique_des_maladies_cardiovasculaires_dans_la_Ville_de_Meknes_Maroc","ISSN":"1857 – 7881","shortTitle":"European Scientific Journal November 2018 edition Vol.14, No.33","author":[{"literal":"Ibrahim El Ghazi,"},{"literal":"Imane Berni"},{"literal":"Aziza Menouni"}],"accessed":{"date-parts":[["2019",7,20]]}}}],"schema":"https://github.com/citation-style-language/schema/raw/master/csl-citation.json"} </w:instrText>
      </w:r>
      <w:r>
        <w:rPr>
          <w:rFonts w:hint="default" w:ascii="Times New Roman" w:hAnsi="Times New Roman" w:eastAsia="TimesNewRomanPSMT" w:cs="Times New Roman"/>
          <w:sz w:val="20"/>
          <w:szCs w:val="20"/>
        </w:rPr>
        <w:fldChar w:fldCharType="separate"/>
      </w:r>
      <w:r>
        <w:rPr>
          <w:rFonts w:hint="default" w:ascii="Times New Roman" w:hAnsi="Times New Roman" w:cs="Times New Roman"/>
          <w:sz w:val="20"/>
          <w:szCs w:val="20"/>
        </w:rPr>
        <w:t>(5)</w:t>
      </w:r>
      <w:r>
        <w:rPr>
          <w:rFonts w:hint="default" w:ascii="Times New Roman" w:hAnsi="Times New Roman" w:eastAsia="TimesNewRomanPSMT" w:cs="Times New Roman"/>
          <w:sz w:val="20"/>
          <w:szCs w:val="20"/>
        </w:rPr>
        <w:fldChar w:fldCharType="end"/>
      </w:r>
      <w:r>
        <w:rPr>
          <w:rFonts w:hint="default" w:ascii="Times New Roman" w:hAnsi="Times New Roman" w:eastAsia="TimesNewRomanPSMT" w:cs="Times New Roman"/>
          <w:sz w:val="20"/>
          <w:szCs w:val="20"/>
        </w:rPr>
        <w:t>.</w:t>
      </w:r>
      <w:r>
        <w:rPr>
          <w:rFonts w:hint="default" w:ascii="Times New Roman" w:hAnsi="Times New Roman" w:cs="Times New Roman"/>
          <w:sz w:val="20"/>
          <w:szCs w:val="20"/>
        </w:rPr>
        <w:t xml:space="preserve"> L'âge moyen des patients trouvé par Damourou au Togo était de 55.1 ± 15.7 ans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si79piqi6","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Les pathologies cardiovasculaires touchaient les patients avec un âge moyen de 58 ans dans notre étude, donc des patients actifs sur le plan professionnel. Cela peut affecter la productivité de ces patients.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prédominance était féminine dans notre étude avec un sex-ratio H/F de 0,86. El Ghazi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bc2j539e8","properties":{"formattedCitation":"(5)","plainCitation":"(5)"},"citationItems":[{"id":58,"uris":["http://zotero.org/users/local/BEg94D5c/items/WJ3G8RMP"],"uri":["http://zotero.org/users/local/BEg94D5c/items/WJ3G8RMP"],"itemData":{"id":58,"type":"article-newspaper","title":"Profil épidémiologique des maladies cardiovasculaires dans la Ville de Meknès (Maroc) | Ibrahim El Ghazi | Request PDF","abstract":"Introduction : Au Maroc très peu de travaux publiés se sont intéressés\nde façon rigoureuse aux maladies cardiovasculaires. De ce fait, l’objectif\nmajeur de cette recherche est d’évaluer le profil épidémiologique des\nmaladies cardiovasculaires des sujets hospitalisés et traités au service de\ncardiologie de l’Hôpital Mohammed V de Meknès (Maroc). Méthodes: Il\ns’agit d’une étude rétrospective descriptive et analytique portant sur 1112\npatients admis au service de cardiologie de l’Hôpital Mohammed V, sur une\npériode de quatre ans (du 1er janvier 2011 au 31 décembre 2014). Résultats :\ncinquante-quatre pour cent des patients étaient des femmes et la tranche d’âge\nla plus touchée était celle de 45-64 ans (42,08 %) (p &lt; 0,001). Les pathologies\nles plus répandues parmi les sujets hospitalisés : la cardiopathie ischémique\nqui a représenté la première cause d’hospitalisation avec 341 cas\ncorrespondant à 30,66 %, suivie de l’insuffisance cardiaque (20,59 %). La\ncardiopathie ischémique était plus fréquente chez les hommes (p = 0,05) alors\nque les femmes étaient plus touchées par l’hypertension artérielle (p =\n0,0096), l’insuffisance cardiaque (p = 0,06) et la thrombose veineuse (p &lt;\n0,05). Conclusion : Les pathologies cardiovasculaires représentent un\nvéritable problème à la fois sanitaire et socio-économique pour les familles et\nles structures sanitaires. La fréquence et la gravité de ces maladies doivent\nnous inciter à faire des recherches plus poussées à propos de ce sujet afin de\ntrouver les solutions les plus plausibles pour réduire les répercussions\nnégatives.","URL":"https://www.researchgate.net/publication/329438636_Profil_epidemiologique_des_maladies_cardiovasculaires_dans_la_Ville_de_Meknes_Maroc","ISSN":"1857 – 7881","shortTitle":"European Scientific Journal November 2018 edition Vol.14, No.33","author":[{"literal":"Ibrahim El Ghazi,"},{"literal":"Imane Berni"},{"literal":"Aziza Menouni"}],"accessed":{"date-parts":[["2019",7,20]]}}}],"schema":"https://github.com/citation-style-language/schema/raw/master/csl-citation.json"}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(5)</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au </w:t>
      </w:r>
      <w:r>
        <w:rPr>
          <w:rFonts w:hint="default" w:ascii="Times New Roman" w:hAnsi="Times New Roman" w:cs="Times New Roman"/>
          <w:color w:val="000000" w:themeColor="text1"/>
          <w:sz w:val="20"/>
          <w:szCs w:val="20"/>
        </w:rPr>
        <w:t xml:space="preserve">Maroc avait également trouvé </w:t>
      </w:r>
      <w:r>
        <w:rPr>
          <w:rFonts w:hint="default" w:ascii="Times New Roman" w:hAnsi="Times New Roman" w:cs="Times New Roman"/>
          <w:sz w:val="20"/>
          <w:szCs w:val="20"/>
        </w:rPr>
        <w:t>dans son</w:t>
      </w:r>
      <w:r>
        <w:rPr>
          <w:rFonts w:hint="default" w:ascii="Times New Roman" w:hAnsi="Times New Roman" w:cs="Times New Roman"/>
          <w:color w:val="FF0000"/>
          <w:sz w:val="20"/>
          <w:szCs w:val="20"/>
        </w:rPr>
        <w:t xml:space="preserve"> </w:t>
      </w:r>
      <w:r>
        <w:rPr>
          <w:rFonts w:hint="default" w:ascii="Times New Roman" w:hAnsi="Times New Roman" w:cs="Times New Roman"/>
          <w:sz w:val="20"/>
          <w:szCs w:val="20"/>
        </w:rPr>
        <w:t xml:space="preserve">étude une prédominance féminine avec un sex-ratio H/F de 0,83 de  même que Damourou à Lomé qui avait trouvé un sex-ratio de 0,76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2chjv5rou7","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Par contre Sylla avait rapporté dans son étude une prédominance masculine avec un sex-ratio de 1,38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2bk2dfqkga","properties":{"formattedCitation":"(4)","plainCitation":"(4)"},"citationItems":[{"id":56,"uris":["http://zotero.org/users/local/BEg94D5c/items/8KAHA5G4"],"uri":["http://zotero.org/users/local/BEg94D5c/items/8KAHA5G4"],"itemData":{"id":56,"type":"webpage","title":"Profil épidémiologique et clinique des urgences cardiovasculaires à Conakry","abstract":"Résumé\nObjectif : décrire les aspects épidémiologiques et\ncliniques des urgences cardiovasculaires au service\nde Cardiologie de l’Hôpital National Ignace Deen\nde Conakry.\nPatients et méthode : Il s’agissait d’une étude\nprospective descriptive d’une durée de six (06)\nmois, du 28 janvier au 28 juillet 2017. Elle a porté\nsur l’ensemble des patients admis et hospitalisés au\nservice pour une urgence cardiovasculaire avec des\ncritères de définition correspondant aux normes\ninternationales pour chaque urgence.\nRésultats : L’étude a porté sur 119 patients reçus\nen urgence dans le service pendant la période\nd’étude. Il y avait 69 hommes (57,9 %) et 50\nfemmes (42,1). Le sex-ratio H/F était de 1,38. La\nfréquence des UCV était de 27,9 %. Les\nprincipales urgences cardiovasculaires étaient\nreprésentées par l’insuffisance cardiaque\ndécompensée (28,6 %) suivie des urgences\nhypertensives (21,8 %) et de l’infarctus du\nmyocarde (18,5 %). Le délai entre le début des\nsymptômes et l’hospitalisation était en moyenne de\n5,7 jours. Les pathologies sous-jacentes les plus\nfréquentes étaient représentées par l’HTA (48,7\n%), les valvulopathies (28,6 %) et les\nmyocardiopathies (10,1 %). Le facteur de risque\ncardiovasculaire essentiel que nous avons observé\nétait l’hypertension artérielle dans (27,7 %).\nL’évolution a été favorable dans 85,7% des cas,\nmalheureusement 14, 3 % cas de décès ont été\nenregistrés.\nConclusion : Ces urgences constituent un problème\nmajeur de santé dans notre pays compte tenu de\nl’insuffisance du plateau technique. L’accent doit\nêtre mis sur la prévention des affections\ncardiovasculaires.\nMots clés : Urgences cardiovasculaires, Conakry","URL":"https://www.jaccrafrica.com/gallery/sylla%20is%20et%20al%20jaccr%20africa220419.pdf","author":[{"literal":"I Sory  Sylla"},{"literal":", S Samoura"},{"literal":", A Samba Guindo"},{"literal":", A Barry"},{"literal":", E Yaya Baldé"},{"literal":", D Sylla"},{"literal":", M Bachir Bah"},{"literal":", M Aliou Baldé"},{"literal":", M"},{"literal":"Béavogui"},{"literal":", M Dadhi Baldé"},{"literal":", M Condé"}],"accessed":{"date-parts":[["2019",7,20]]}}}],"schema":"https://github.com/citation-style-language/schema/raw/master/csl-citation.json"}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sz w:val="20"/>
          <w:szCs w:val="20"/>
        </w:rPr>
        <w:t>Nos patients étaient en majorité des ménagères 39,9%; des commerçants 14,9% et des fonctionnaires 11,7</w:t>
      </w:r>
      <w:r>
        <w:rPr>
          <w:rFonts w:hint="default" w:ascii="Times New Roman" w:hAnsi="Times New Roman" w:cs="Times New Roman"/>
          <w:color w:val="000000" w:themeColor="text1"/>
          <w:sz w:val="20"/>
          <w:szCs w:val="20"/>
        </w:rPr>
        <w:t xml:space="preserve">%. Dans l’étude de Sylla à Conakry, les ménagères représentaient 36,1% et les ouvriers 31,1% </w:t>
      </w:r>
      <w:r>
        <w:rPr>
          <w:rFonts w:hint="default" w:ascii="Times New Roman" w:hAnsi="Times New Roman" w:cs="Times New Roman"/>
          <w:color w:val="000000" w:themeColor="text1"/>
          <w:sz w:val="20"/>
          <w:szCs w:val="20"/>
        </w:rPr>
        <w:fldChar w:fldCharType="begin"/>
      </w:r>
      <w:r>
        <w:rPr>
          <w:rFonts w:hint="default" w:ascii="Times New Roman" w:hAnsi="Times New Roman" w:cs="Times New Roman"/>
          <w:color w:val="000000" w:themeColor="text1"/>
          <w:sz w:val="20"/>
          <w:szCs w:val="20"/>
        </w:rPr>
        <w:instrText xml:space="preserve"> ADDIN ZOTERO_ITEM CSL_CITATION {"citationID":"1bt5pphjeu","properties":{"formattedCitation":"(4)","plainCitation":"(4)"},"citationItems":[{"id":56,"uris":["http://zotero.org/users/local/BEg94D5c/items/8KAHA5G4"],"uri":["http://zotero.org/users/local/BEg94D5c/items/8KAHA5G4"],"itemData":{"id":56,"type":"webpage","title":"Profil épidémiologique et clinique des urgences cardiovasculaires à Conakry","abstract":"Résumé\nObjectif : décrire les aspects épidémiologiques et\ncliniques des urgences cardiovasculaires au service\nde Cardiologie de l’Hôpital National Ignace Deen\nde Conakry.\nPatients et méthode : Il s’agissait d’une étude\nprospective descriptive d’une durée de six (06)\nmois, du 28 janvier au 28 juillet 2017. Elle a porté\nsur l’ensemble des patients admis et hospitalisés au\nservice pour une urgence cardiovasculaire avec des\ncritères de définition correspondant aux normes\ninternationales pour chaque urgence.\nRésultats : L’étude a porté sur 119 patients reçus\nen urgence dans le service pendant la période\nd’étude. Il y avait 69 hommes (57,9 %) et 50\nfemmes (42,1). Le sex-ratio H/F était de 1,38. La\nfréquence des UCV était de 27,9 %. Les\nprincipales urgences cardiovasculaires étaient\nreprésentées par l’insuffisance cardiaque\ndécompensée (28,6 %) suivie des urgences\nhypertensives (21,8 %) et de l’infarctus du\nmyocarde (18,5 %). Le délai entre le début des\nsymptômes et l’hospitalisation était en moyenne de\n5,7 jours. Les pathologies sous-jacentes les plus\nfréquentes étaient représentées par l’HTA (48,7\n%), les valvulopathies (28,6 %) et les\nmyocardiopathies (10,1 %). Le facteur de risque\ncardiovasculaire essentiel que nous avons observé\nétait l’hypertension artérielle dans (27,7 %).\nL’évolution a été favorable dans 85,7% des cas,\nmalheureusement 14, 3 % cas de décès ont été\nenregistrés.\nConclusion : Ces urgences constituent un problème\nmajeur de santé dans notre pays compte tenu de\nl’insuffisance du plateau technique. L’accent doit\nêtre mis sur la prévention des affections\ncardiovasculaires.\nMots clés : Urgences cardiovasculaires, Conakry","URL":"https://www.jaccrafrica.com/gallery/sylla%20is%20et%20al%20jaccr%20africa220419.pdf","author":[{"literal":"I Sory  Sylla"},{"literal":", S Samoura"},{"literal":", A Samba Guindo"},{"literal":", A Barry"},{"literal":", E Yaya Baldé"},{"literal":", D Sylla"},{"literal":", M Bachir Bah"},{"literal":", M Aliou Baldé"},{"literal":", M"},{"literal":"Béavogui"},{"literal":", M Dadhi Baldé"},{"literal":", M Condé"}],"accessed":{"date-parts":[["2019",7,20]]}}}],"schema":"https://github.com/citation-style-language/schema/raw/master/csl-citation.json"} </w:instrText>
      </w:r>
      <w:r>
        <w:rPr>
          <w:rFonts w:hint="default" w:ascii="Times New Roman" w:hAnsi="Times New Roman" w:cs="Times New Roman"/>
          <w:color w:val="000000" w:themeColor="text1"/>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color w:val="000000" w:themeColor="text1"/>
          <w:sz w:val="20"/>
          <w:szCs w:val="20"/>
        </w:rPr>
        <w:fldChar w:fldCharType="end"/>
      </w:r>
      <w:r>
        <w:rPr>
          <w:rFonts w:hint="default" w:ascii="Times New Roman" w:hAnsi="Times New Roman" w:cs="Times New Roman"/>
          <w:color w:val="000000" w:themeColor="text1"/>
          <w:sz w:val="20"/>
          <w:szCs w:val="20"/>
        </w:rPr>
        <w:t>.</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Motifs de consultation et FRCV</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Les motifs de consultation chez nos patients étaient dominés par</w:t>
      </w:r>
      <w:r>
        <w:rPr>
          <w:rFonts w:hint="default" w:ascii="Times New Roman" w:hAnsi="Times New Roman" w:cs="Times New Roman"/>
          <w:sz w:val="20"/>
          <w:szCs w:val="20"/>
        </w:rPr>
        <w:t xml:space="preserve"> la dyspnée 49,46%, le déficit moteur 34,04% et la lourdeur de la jambe 9,04%. Sylla et al.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Z0G2SPxf","properties":{"formattedCitation":"(4)","plainCitation":"(4)"},"citationItems":[{"id":56,"uris":["http://zotero.org/users/local/BEg94D5c/items/8KAHA5G4"],"uri":["http://zotero.org/users/local/BEg94D5c/items/8KAHA5G4"],"itemData":{"id":56,"type":"webpage","title":"Profil épidémiologique et clinique des urgences cardiovasculaires à Conakry","abstract":"Résumé\nObjectif : décrire les aspects épidémiologiques et\ncliniques des urgences cardiovasculaires au service\nde Cardiologie de l’Hôpital National Ignace Deen\nde Conakry.\nPatients et méthode : Il s’agissait d’une étude\nprospective descriptive d’une durée de six (06)\nmois, du 28 janvier au 28 juillet 2017. Elle a porté\nsur l’ensemble des patients admis et hospitalisés au\nservice pour une urgence cardiovasculaire avec des\ncritères de définition correspondant aux normes\ninternationales pour chaque urgence.\nRésultats : L’étude a porté sur 119 patients reçus\nen urgence dans le service pendant la période\nd’étude. Il y avait 69 hommes (57,9 %) et 50\nfemmes (42,1). Le sex-ratio H/F était de 1,38. La\nfréquence des UCV était de 27,9 %. Les\nprincipales urgences cardiovasculaires étaient\nreprésentées par l’insuffisance cardiaque\ndécompensée (28,6 %) suivie des urgences\nhypertensives (21,8 %) et de l’infarctus du\nmyocarde (18,5 %). Le délai entre le début des\nsymptômes et l’hospitalisation était en moyenne de\n5,7 jours. Les pathologies sous-jacentes les plus\nfréquentes étaient représentées par l’HTA (48,7\n%), les valvulopathies (28,6 %) et les\nmyocardiopathies (10,1 %). Le facteur de risque\ncardiovasculaire essentiel que nous avons observé\nétait l’hypertension artérielle dans (27,7 %).\nL’évolution a été favorable dans 85,7% des cas,\nmalheureusement 14, 3 % cas de décès ont été\nenregistrés.\nConclusion : Ces urgences constituent un problème\nmajeur de santé dans notre pays compte tenu de\nl’insuffisance du plateau technique. L’accent doit\nêtre mis sur la prévention des affections\ncardiovasculaires.\nMots clés : Urgences cardiovasculaires, Conakry","URL":"https://www.jaccrafrica.com/gallery/sylla%20is%20et%20al%20jaccr%20africa220419.pdf","author":[{"literal":"I Sory  Sylla"},{"literal":", S Samoura"},{"literal":", A Samba Guindo"},{"literal":", A Barry"},{"literal":", E Yaya Baldé"},{"literal":", D Sylla"},{"literal":", M Bachir Bah"},{"literal":", M Aliou Baldé"},{"literal":", M"},{"literal":"Béavogui"},{"literal":", M Dadhi Baldé"},{"literal":", M Condé"}],"accessed":{"date-parts":[["2019",7,20]]}}}],"schema":"https://github.com/citation-style-language/schema/raw/master/csl-citation.json"}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ont trouvé comme motif de consultation la dyspnée dans 41,7% des cas et la douleur thoracique dans 16,6% des cas.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pathologies cardiovasculaires sont la conséquence de l’impact des facteurs de risque cardiovasculaire. Les facteurs de risque prédominants chez nos </w:t>
      </w:r>
      <w:r>
        <w:rPr>
          <w:rFonts w:hint="default" w:ascii="Times New Roman" w:hAnsi="Times New Roman" w:cs="Times New Roman"/>
          <w:color w:val="000000" w:themeColor="text1"/>
          <w:sz w:val="20"/>
          <w:szCs w:val="20"/>
        </w:rPr>
        <w:t xml:space="preserve">patients étaient l’hypertension artérielle (HTA): 45,21%; la dyslipidémie : 20,74% et le diabète : 15,42%. Les facteurs </w:t>
      </w:r>
      <w:r>
        <w:rPr>
          <w:rFonts w:hint="default" w:ascii="Times New Roman" w:hAnsi="Times New Roman" w:cs="Times New Roman"/>
          <w:sz w:val="20"/>
          <w:szCs w:val="20"/>
        </w:rPr>
        <w:t xml:space="preserve">de risque cardiovasculaire trouvé par Sylla et al. dans son étude sont l’HTA 27,7%; le diabète 11,4% et le tabagisme 10,1%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223ntrb81j","properties":{"formattedCitation":"(4)","plainCitation":"(4)"},"citationItems":[{"id":56,"uris":["http://zotero.org/users/local/BEg94D5c/items/8KAHA5G4"],"uri":["http://zotero.org/users/local/BEg94D5c/items/8KAHA5G4"],"itemData":{"id":56,"type":"webpage","title":"Profil épidémiologique et clinique des urgences cardiovasculaires à Conakry","abstract":"Résumé\nObjectif : décrire les aspects épidémiologiques et\ncliniques des urgences cardiovasculaires au service\nde Cardiologie de l’Hôpital National Ignace Deen\nde Conakry.\nPatients et méthode : Il s’agissait d’une étude\nprospective descriptive d’une durée de six (06)\nmois, du 28 janvier au 28 juillet 2017. Elle a porté\nsur l’ensemble des patients admis et hospitalisés au\nservice pour une urgence cardiovasculaire avec des\ncritères de définition correspondant aux normes\ninternationales pour chaque urgence.\nRésultats : L’étude a porté sur 119 patients reçus\nen urgence dans le service pendant la période\nd’étude. Il y avait 69 hommes (57,9 %) et 50\nfemmes (42,1). Le sex-ratio H/F était de 1,38. La\nfréquence des UCV était de 27,9 %. Les\nprincipales urgences cardiovasculaires étaient\nreprésentées par l’insuffisance cardiaque\ndécompensée (28,6 %) suivie des urgences\nhypertensives (21,8 %) et de l’infarctus du\nmyocarde (18,5 %). Le délai entre le début des\nsymptômes et l’hospitalisation était en moyenne de\n5,7 jours. Les pathologies sous-jacentes les plus\nfréquentes étaient représentées par l’HTA (48,7\n%), les valvulopathies (28,6 %) et les\nmyocardiopathies (10,1 %). Le facteur de risque\ncardiovasculaire essentiel que nous avons observé\nétait l’hypertension artérielle dans (27,7 %).\nL’évolution a été favorable dans 85,7% des cas,\nmalheureusement 14, 3 % cas de décès ont été\nenregistrés.\nConclusion : Ces urgences constituent un problème\nmajeur de santé dans notre pays compte tenu de\nl’insuffisance du plateau technique. L’accent doit\nêtre mis sur la prévention des affections\ncardiovasculaires.\nMots clés : Urgences cardiovasculaires, Conakry","URL":"https://www.jaccrafrica.com/gallery/sylla%20is%20et%20al%20jaccr%20africa220419.pdf","author":[{"literal":"I Sory  Sylla"},{"literal":", S Samoura"},{"literal":", A Samba Guindo"},{"literal":", A Barry"},{"literal":", E Yaya Baldé"},{"literal":", D Sylla"},{"literal":", M Bachir Bah"},{"literal":", M Aliou Baldé"},{"literal":", M"},{"literal":"Béavogui"},{"literal":", M Dadhi Baldé"},{"literal":", M Condé"}],"accessed":{"date-parts":[["2019",7,20]]}}}],"schema":"https://github.com/citation-style-language/schema/raw/master/csl-citation.json"}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Damourou et al.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qwuD15sx","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dans leur étude ont trouvé l’HTA comme facteur de risque avec une fréquence de 72% chez les hommes et 79% chez les femmes; le diabète avait été trouvé chez 16% dans les deux sexes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et le tabagisme chez 4% des hommes.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Morbidité</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pathologies cardiovasculaires retrouvées dans notre étude étaient les cardiomyopathies décompensées en insuffisance </w:t>
      </w:r>
      <w:r>
        <w:rPr>
          <w:rFonts w:hint="default" w:ascii="Times New Roman" w:hAnsi="Times New Roman" w:cs="Times New Roman"/>
          <w:color w:val="000000" w:themeColor="text1"/>
          <w:sz w:val="20"/>
          <w:szCs w:val="20"/>
        </w:rPr>
        <w:t>cardiaque globale (35,1%);</w:t>
      </w:r>
      <w:r>
        <w:rPr>
          <w:rFonts w:hint="default" w:ascii="Times New Roman" w:hAnsi="Times New Roman" w:cs="Times New Roman"/>
          <w:b/>
          <w:color w:val="000000" w:themeColor="text1"/>
          <w:sz w:val="20"/>
          <w:szCs w:val="20"/>
        </w:rPr>
        <w:t xml:space="preserve"> </w:t>
      </w:r>
      <w:r>
        <w:rPr>
          <w:rFonts w:hint="default" w:ascii="Times New Roman" w:hAnsi="Times New Roman" w:cs="Times New Roman"/>
          <w:color w:val="000000" w:themeColor="text1"/>
          <w:sz w:val="20"/>
          <w:szCs w:val="20"/>
        </w:rPr>
        <w:t xml:space="preserve">les accidents </w:t>
      </w:r>
      <w:r>
        <w:rPr>
          <w:rFonts w:hint="default" w:ascii="Times New Roman" w:hAnsi="Times New Roman" w:cs="Times New Roman"/>
          <w:sz w:val="20"/>
          <w:szCs w:val="20"/>
        </w:rPr>
        <w:t xml:space="preserve">vasculaires cérébraux (AVC) </w:t>
      </w:r>
      <w:r>
        <w:rPr>
          <w:rFonts w:hint="default" w:ascii="Times New Roman" w:hAnsi="Times New Roman" w:cs="Times New Roman"/>
          <w:b w:val="0"/>
          <w:bCs/>
          <w:color w:val="auto"/>
          <w:sz w:val="20"/>
          <w:szCs w:val="20"/>
        </w:rPr>
        <w:t>(</w:t>
      </w:r>
      <w:r>
        <w:rPr>
          <w:rFonts w:hint="default" w:ascii="Times New Roman" w:hAnsi="Times New Roman" w:cs="Times New Roman"/>
          <w:color w:val="auto"/>
          <w:sz w:val="20"/>
          <w:szCs w:val="20"/>
        </w:rPr>
        <w:t>34,04%</w:t>
      </w:r>
      <w:r>
        <w:rPr>
          <w:rFonts w:hint="default" w:ascii="Times New Roman" w:hAnsi="Times New Roman" w:cs="Times New Roman"/>
          <w:b w:val="0"/>
          <w:bCs/>
          <w:color w:val="auto"/>
          <w:sz w:val="20"/>
          <w:szCs w:val="20"/>
        </w:rPr>
        <w:t>)</w:t>
      </w:r>
      <w:r>
        <w:rPr>
          <w:rFonts w:hint="default" w:ascii="Times New Roman" w:hAnsi="Times New Roman" w:cs="Times New Roman"/>
          <w:b/>
          <w:color w:val="auto"/>
          <w:sz w:val="20"/>
          <w:szCs w:val="20"/>
          <w:lang w:val="fr-FR"/>
        </w:rPr>
        <w:t xml:space="preserve"> </w:t>
      </w:r>
      <w:r>
        <w:rPr>
          <w:rFonts w:hint="default" w:ascii="Times New Roman" w:hAnsi="Times New Roman" w:cs="Times New Roman"/>
          <w:color w:val="auto"/>
          <w:sz w:val="20"/>
          <w:szCs w:val="20"/>
        </w:rPr>
        <w:t xml:space="preserve">et la maladie thromboembolique veineuse (MTEV) </w:t>
      </w:r>
      <w:r>
        <w:rPr>
          <w:rFonts w:hint="default" w:ascii="Times New Roman" w:hAnsi="Times New Roman" w:cs="Times New Roman"/>
          <w:b w:val="0"/>
          <w:bCs/>
          <w:color w:val="auto"/>
          <w:sz w:val="20"/>
          <w:szCs w:val="20"/>
        </w:rPr>
        <w:t>(</w:t>
      </w:r>
      <w:r>
        <w:rPr>
          <w:rFonts w:hint="default" w:ascii="Times New Roman" w:hAnsi="Times New Roman" w:cs="Times New Roman"/>
          <w:color w:val="auto"/>
          <w:sz w:val="20"/>
          <w:szCs w:val="20"/>
        </w:rPr>
        <w:t>18%</w:t>
      </w:r>
      <w:r>
        <w:rPr>
          <w:rFonts w:hint="default" w:ascii="Times New Roman" w:hAnsi="Times New Roman" w:cs="Times New Roman"/>
          <w:b w:val="0"/>
          <w:bCs/>
          <w:color w:val="auto"/>
          <w:sz w:val="20"/>
          <w:szCs w:val="20"/>
        </w:rPr>
        <w:t>)</w:t>
      </w:r>
      <w:r>
        <w:rPr>
          <w:rFonts w:hint="default" w:ascii="Times New Roman" w:hAnsi="Times New Roman" w:cs="Times New Roman"/>
          <w:color w:val="auto"/>
          <w:sz w:val="20"/>
          <w:szCs w:val="20"/>
        </w:rPr>
        <w:t>.</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 Meknes au Maroc, la cardiopathie ischémique (CI) a été le premier motif </w:t>
      </w:r>
      <w:r>
        <w:rPr>
          <w:rFonts w:hint="default" w:ascii="Times New Roman" w:hAnsi="Times New Roman" w:eastAsia="TimesNewRomanPSMT" w:cs="Times New Roman"/>
          <w:sz w:val="20"/>
          <w:szCs w:val="20"/>
        </w:rPr>
        <w:t>d’hospitalisat</w:t>
      </w:r>
      <w:r>
        <w:rPr>
          <w:rFonts w:hint="default" w:ascii="Times New Roman" w:hAnsi="Times New Roman" w:eastAsia="TimesNewRomanPSMT" w:cs="Times New Roman"/>
          <w:sz w:val="20"/>
          <w:szCs w:val="20"/>
          <w:lang w:val="fr-FR"/>
        </w:rPr>
        <w:t>i</w:t>
      </w:r>
      <w:r>
        <w:rPr>
          <w:rFonts w:hint="default" w:ascii="Times New Roman" w:hAnsi="Times New Roman" w:eastAsia="TimesNewRomanPSMT" w:cs="Times New Roman"/>
          <w:sz w:val="20"/>
          <w:szCs w:val="20"/>
        </w:rPr>
        <w:t xml:space="preserve">on avec 30,66 % </w:t>
      </w:r>
      <w:r>
        <w:rPr>
          <w:rFonts w:hint="default" w:ascii="Times New Roman" w:hAnsi="Times New Roman" w:eastAsia="TimesNewRomanPSMT" w:cs="Times New Roman"/>
          <w:sz w:val="20"/>
          <w:szCs w:val="20"/>
        </w:rPr>
        <w:fldChar w:fldCharType="begin"/>
      </w:r>
      <w:r>
        <w:rPr>
          <w:rFonts w:hint="default" w:ascii="Times New Roman" w:hAnsi="Times New Roman" w:eastAsia="TimesNewRomanPSMT" w:cs="Times New Roman"/>
          <w:sz w:val="20"/>
          <w:szCs w:val="20"/>
        </w:rPr>
        <w:instrText xml:space="preserve"> ADDIN ZOTERO_ITEM CSL_CITATION {"citationID":"19fs9bdrs3","properties":{"formattedCitation":"(5)","plainCitation":"(5)"},"citationItems":[{"id":58,"uris":["http://zotero.org/users/local/BEg94D5c/items/WJ3G8RMP"],"uri":["http://zotero.org/users/local/BEg94D5c/items/WJ3G8RMP"],"itemData":{"id":58,"type":"article-newspaper","title":"Profil épidémiologique des maladies cardiovasculaires dans la Ville de Meknès (Maroc) | Ibrahim El Ghazi | Request PDF","abstract":"Introduction : Au Maroc très peu de travaux publiés se sont intéressés\nde façon rigoureuse aux maladies cardiovasculaires. De ce fait, l’objectif\nmajeur de cette recherche est d’évaluer le profil épidémiologique des\nmaladies cardiovasculaires des sujets hospitalisés et traités au service de\ncardiologie de l’Hôpital Mohammed V de Meknès (Maroc). Méthodes: Il\ns’agit d’une étude rétrospective descriptive et analytique portant sur 1112\npatients admis au service de cardiologie de l’Hôpital Mohammed V, sur une\npériode de quatre ans (du 1er janvier 2011 au 31 décembre 2014). Résultats :\ncinquante-quatre pour cent des patients étaient des femmes et la tranche d’âge\nla plus touchée était celle de 45-64 ans (42,08 %) (p &lt; 0,001). Les pathologies\nles plus répandues parmi les sujets hospitalisés : la cardiopathie ischémique\nqui a représenté la première cause d’hospitalisation avec 341 cas\ncorrespondant à 30,66 %, suivie de l’insuffisance cardiaque (20,59 %). La\ncardiopathie ischémique était plus fréquente chez les hommes (p = 0,05) alors\nque les femmes étaient plus touchées par l’hypertension artérielle (p =\n0,0096), l’insuffisance cardiaque (p = 0,06) et la thrombose veineuse (p &lt;\n0,05). Conclusion : Les pathologies cardiovasculaires représentent un\nvéritable problème à la fois sanitaire et socio-économique pour les familles et\nles structures sanitaires. La fréquence et la gravité de ces maladies doivent\nnous inciter à faire des recherches plus poussées à propos de ce sujet afin de\ntrouver les solutions les plus plausibles pour réduire les répercussions\nnégatives.","URL":"https://www.researchgate.net/publication/329438636_Profil_epidemiologique_des_maladies_cardiovasculaires_dans_la_Ville_de_Meknes_Maroc","ISSN":"1857 – 7881","shortTitle":"European Scientific Journal November 2018 edition Vol.14, No.33","author":[{"literal":"Ibrahim El Ghazi,"},{"literal":"Imane Berni"},{"literal":"Aziza Menouni"}],"accessed":{"date-parts":[["2019",7,20]]}}}],"schema":"https://github.com/citation-style-language/schema/raw/master/csl-citation.json"} </w:instrText>
      </w:r>
      <w:r>
        <w:rPr>
          <w:rFonts w:hint="default" w:ascii="Times New Roman" w:hAnsi="Times New Roman" w:eastAsia="TimesNewRomanPSMT" w:cs="Times New Roman"/>
          <w:sz w:val="20"/>
          <w:szCs w:val="20"/>
        </w:rPr>
        <w:fldChar w:fldCharType="separate"/>
      </w:r>
      <w:r>
        <w:rPr>
          <w:rFonts w:hint="default" w:ascii="Times New Roman" w:hAnsi="Times New Roman" w:cs="Times New Roman"/>
          <w:sz w:val="20"/>
          <w:szCs w:val="20"/>
        </w:rPr>
        <w:t>(5)</w:t>
      </w:r>
      <w:r>
        <w:rPr>
          <w:rFonts w:hint="default" w:ascii="Times New Roman" w:hAnsi="Times New Roman" w:eastAsia="TimesNewRomanPSMT" w:cs="Times New Roman"/>
          <w:sz w:val="20"/>
          <w:szCs w:val="20"/>
        </w:rPr>
        <w:fldChar w:fldCharType="end"/>
      </w:r>
      <w:r>
        <w:rPr>
          <w:rFonts w:hint="default" w:ascii="Times New Roman" w:hAnsi="Times New Roman" w:eastAsia="TimesNewRomanPSMT" w:cs="Times New Roman"/>
          <w:sz w:val="20"/>
          <w:szCs w:val="20"/>
        </w:rPr>
        <w:t xml:space="preserve">. Pio et al. à Lomé avaient trouvé la </w:t>
      </w:r>
      <w:r>
        <w:rPr>
          <w:rFonts w:hint="default" w:ascii="Times New Roman" w:hAnsi="Times New Roman" w:cs="Times New Roman"/>
          <w:sz w:val="20"/>
          <w:szCs w:val="20"/>
        </w:rPr>
        <w:t xml:space="preserve">coronaropathie chez 19,2% des patients hospitalisés pour insuffisance cardiaque </w:t>
      </w:r>
      <w:r>
        <w:rPr>
          <w:rFonts w:hint="default" w:ascii="Times New Roman" w:hAnsi="Times New Roman" w:eastAsia="TimesNewRomanPSMT" w:cs="Times New Roman"/>
          <w:sz w:val="20"/>
          <w:szCs w:val="20"/>
        </w:rPr>
        <w:fldChar w:fldCharType="begin"/>
      </w:r>
      <w:r>
        <w:rPr>
          <w:rFonts w:hint="default" w:ascii="Times New Roman" w:hAnsi="Times New Roman" w:eastAsia="TimesNewRomanPSMT" w:cs="Times New Roman"/>
          <w:sz w:val="20"/>
          <w:szCs w:val="20"/>
        </w:rPr>
        <w:instrText xml:space="preserve"> ADDIN ZOTERO_ITEM CSL_CITATION {"citationID":"1hr0e2pk2d","properties":{"formattedCitation":"(6)","plainCitation":"(6)"},"citationItems":[{"id":72,"uris":["http://zotero.org/users/local/BEg94D5c/items/PRJW5I2Q"],"uri":["http://zotero.org/users/local/BEg94D5c/items/PRJW5I2Q"],"itemData":{"id":72,"type":"article-journal","title":"Epidémiologie et étiologies des insuffisances cardiaques à Lomé","container-title":"Pan African Medical Journal","volume":"18","issue":"183","source":"www.panafrican-med-journal.com","abstract":"INTRODUCTION: L'objectif est de déterminer la fréquence et les principales étiologies des insuffisances cardiaques (IC) en milieu cardiologique à Lomé. METHODES: Il s'agissait d'une étude transversale réalisée de janvier 2010 au Janvier 2012 dans le service de cardiologie du CHU Sylvanus Olympio de Lomé. Elle a porté sur 297 dossiers des patients hospitalisés pour IC. L'échodoppler cardiaque était indispensable pour l'inclusion du dossier dans l'étude. RESULTATS: L'IC représentait 25,6 % des hospitalisations. L'âge moyen des patients était de 52,2 ± 16,7 ans avec un sex ratio à 0,93. Le tableau clinique était celui d'une IC globale (67%), IC gauche (31,3%) et IC droite (1,7%). La fraction d'éjection du ventricule gauche (FEVG) moyenne était de 0,4 ± 0,17 (extrêmes 0,07 et 0,88). Les diagnostics lésionnels des IC étaient les cardiomyopathies dilatées (60%), l'IC à FEVG conservée (11,4%), les valvulopathies (11,8%). Les étiologies étaient l'hypertension artérielle (HTA) (43,1%), les coronaropathies (19,2%), la cardiomyopathie du péripartum (11,8%), les valvulopathies (11,8%), la cardiothyréose (3%), le c'ur pulmonaire chronique (2,7%), les cardiopathies congénitales (2,7%), l'alcoolisme chronique (2%), le VIH (3,4%) et idiopathique (5,9%). CONCLUSION: L'IC est fréquente à Lomé et touche les sujets jeunes. Les lésions sont sévères et avancées sous forme de cardiomyopathies dilatées.","URL":"http://www.panafrican-med-journal.com/content/article/18/183/full/","DOI":"10.11604/pamj.2014.18.183.3983","ISSN":"1937-8688","language":"fr","author":[{"family":"Pio","given":"Machihudé"},{"family":"Afassinou","given":"Yaovi"},{"family":"Pessinaba","given":"Soulemane"},{"family":"Baragou","given":"Soodougoua"},{"family":"N’djao","given":"Jacques"},{"family":"Atta","given":"Borgatia"},{"family":"Ehlan","given":"Efadzi"},{"family":"Damorou","given":"Findibé"},{"family":"Goeh-Akué","given":"Edem"}],"issued":{"date-parts":[["2014"]],"season":"25"},"accessed":{"date-parts":[["2019",7,20]]}}}],"schema":"https://github.com/citation-style-language/schema/raw/master/csl-citation.json"} </w:instrText>
      </w:r>
      <w:r>
        <w:rPr>
          <w:rFonts w:hint="default" w:ascii="Times New Roman" w:hAnsi="Times New Roman" w:eastAsia="TimesNewRomanPSMT" w:cs="Times New Roman"/>
          <w:sz w:val="20"/>
          <w:szCs w:val="20"/>
        </w:rPr>
        <w:fldChar w:fldCharType="separate"/>
      </w:r>
      <w:r>
        <w:rPr>
          <w:rFonts w:hint="default" w:ascii="Times New Roman" w:hAnsi="Times New Roman" w:cs="Times New Roman"/>
          <w:sz w:val="20"/>
          <w:szCs w:val="20"/>
        </w:rPr>
        <w:t>(6)</w:t>
      </w:r>
      <w:r>
        <w:rPr>
          <w:rFonts w:hint="default" w:ascii="Times New Roman" w:hAnsi="Times New Roman" w:eastAsia="TimesNewRomanPSMT" w:cs="Times New Roman"/>
          <w:sz w:val="20"/>
          <w:szCs w:val="20"/>
        </w:rPr>
        <w:fldChar w:fldCharType="end"/>
      </w:r>
      <w:r>
        <w:rPr>
          <w:rFonts w:hint="default" w:ascii="Times New Roman" w:hAnsi="Times New Roman" w:eastAsia="TimesNewRomanPSMT" w:cs="Times New Roman"/>
          <w:sz w:val="20"/>
          <w:szCs w:val="20"/>
        </w:rPr>
        <w:t>.</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Chez nos patients la cardiopathie ischémique était objectivée dans 5,31%. Cette fréquence de la </w:t>
      </w:r>
      <w:r>
        <w:rPr>
          <w:rFonts w:hint="default" w:ascii="Times New Roman" w:hAnsi="Times New Roman" w:cs="Times New Roman"/>
          <w:color w:val="000000" w:themeColor="text1"/>
          <w:sz w:val="20"/>
          <w:szCs w:val="20"/>
        </w:rPr>
        <w:t xml:space="preserve">CI est certainement sous-estimée devant les limites des moyens d’explorations de la cardiopathie ischémique; tous ces patients étaient </w:t>
      </w:r>
      <w:r>
        <w:rPr>
          <w:rFonts w:hint="default" w:ascii="Times New Roman" w:hAnsi="Times New Roman" w:cs="Times New Roman"/>
          <w:sz w:val="20"/>
          <w:szCs w:val="20"/>
        </w:rPr>
        <w:t>admis au stade d’insuffisance cardiaque et certains patients meurent avant d’arriver à l’hôpital.</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TimesNewRomanPSMT" w:cs="Times New Roman"/>
          <w:sz w:val="20"/>
          <w:szCs w:val="20"/>
        </w:rPr>
      </w:pPr>
      <w:r>
        <w:rPr>
          <w:rFonts w:hint="default" w:ascii="Times New Roman" w:hAnsi="Times New Roman" w:cs="Times New Roman"/>
          <w:sz w:val="20"/>
          <w:szCs w:val="20"/>
        </w:rPr>
        <w:t xml:space="preserve">La cardiomyopathie décompensée en insuffisance cardiaque a été trouvée chez 35% de nos patients. Elle était le premier motif d’hospitalisation dans notre étude. A Meknes au Maroc la cardiopathie décompensée en </w:t>
      </w:r>
      <w:r>
        <w:rPr>
          <w:rFonts w:hint="default" w:ascii="Times New Roman" w:hAnsi="Times New Roman" w:eastAsia="TimesNewRomanPSMT" w:cs="Times New Roman"/>
          <w:sz w:val="20"/>
          <w:szCs w:val="20"/>
        </w:rPr>
        <w:t xml:space="preserve">insuffisance cardiaque (IC) représentait le second motif d’hospitalisation avec 20,59 % </w:t>
      </w:r>
      <w:r>
        <w:rPr>
          <w:rFonts w:hint="default" w:ascii="Times New Roman" w:hAnsi="Times New Roman" w:eastAsia="TimesNewRomanPSMT" w:cs="Times New Roman"/>
          <w:sz w:val="20"/>
          <w:szCs w:val="20"/>
        </w:rPr>
        <w:fldChar w:fldCharType="begin"/>
      </w:r>
      <w:r>
        <w:rPr>
          <w:rFonts w:hint="default" w:ascii="Times New Roman" w:hAnsi="Times New Roman" w:eastAsia="TimesNewRomanPSMT" w:cs="Times New Roman"/>
          <w:sz w:val="20"/>
          <w:szCs w:val="20"/>
        </w:rPr>
        <w:instrText xml:space="preserve"> ADDIN ZOTERO_ITEM CSL_CITATION {"citationID":"biahq9vt4","properties":{"formattedCitation":"(5)","plainCitation":"(5)"},"citationItems":[{"id":58,"uris":["http://zotero.org/users/local/BEg94D5c/items/WJ3G8RMP"],"uri":["http://zotero.org/users/local/BEg94D5c/items/WJ3G8RMP"],"itemData":{"id":58,"type":"article-newspaper","title":"Profil épidémiologique des maladies cardiovasculaires dans la Ville de Meknès (Maroc) | Ibrahim El Ghazi | Request PDF","abstract":"Introduction : Au Maroc très peu de travaux publiés se sont intéressés\nde façon rigoureuse aux maladies cardiovasculaires. De ce fait, l’objectif\nmajeur de cette recherche est d’évaluer le profil épidémiologique des\nmaladies cardiovasculaires des sujets hospitalisés et traités au service de\ncardiologie de l’Hôpital Mohammed V de Meknès (Maroc). Méthodes: Il\ns’agit d’une étude rétrospective descriptive et analytique portant sur 1112\npatients admis au service de cardiologie de l’Hôpital Mohammed V, sur une\npériode de quatre ans (du 1er janvier 2011 au 31 décembre 2014). Résultats :\ncinquante-quatre pour cent des patients étaient des femmes et la tranche d’âge\nla plus touchée était celle de 45-64 ans (42,08 %) (p &lt; 0,001). Les pathologies\nles plus répandues parmi les sujets hospitalisés : la cardiopathie ischémique\nqui a représenté la première cause d’hospitalisation avec 341 cas\ncorrespondant à 30,66 %, suivie de l’insuffisance cardiaque (20,59 %). La\ncardiopathie ischémique était plus fréquente chez les hommes (p = 0,05) alors\nque les femmes étaient plus touchées par l’hypertension artérielle (p =\n0,0096), l’insuffisance cardiaque (p = 0,06) et la thrombose veineuse (p &lt;\n0,05). Conclusion : Les pathologies cardiovasculaires représentent un\nvéritable problème à la fois sanitaire et socio-économique pour les familles et\nles structures sanitaires. La fréquence et la gravité de ces maladies doivent\nnous inciter à faire des recherches plus poussées à propos de ce sujet afin de\ntrouver les solutions les plus plausibles pour réduire les répercussions\nnégatives.","URL":"https://www.researchgate.net/publication/329438636_Profil_epidemiologique_des_maladies_cardiovasculaires_dans_la_Ville_de_Meknes_Maroc","ISSN":"1857 – 7881","shortTitle":"European Scientific Journal November 2018 edition Vol.14, No.33","author":[{"literal":"Ibrahim El Ghazi,"},{"literal":"Imane Berni"},{"literal":"Aziza Menouni"}],"accessed":{"date-parts":[["2019",7,20]]}}}],"schema":"https://github.com/citation-style-language/schema/raw/master/csl-citation.json"} </w:instrText>
      </w:r>
      <w:r>
        <w:rPr>
          <w:rFonts w:hint="default" w:ascii="Times New Roman" w:hAnsi="Times New Roman" w:eastAsia="TimesNewRomanPSMT" w:cs="Times New Roman"/>
          <w:sz w:val="20"/>
          <w:szCs w:val="20"/>
        </w:rPr>
        <w:fldChar w:fldCharType="separate"/>
      </w:r>
      <w:r>
        <w:rPr>
          <w:rFonts w:hint="default" w:ascii="Times New Roman" w:hAnsi="Times New Roman" w:cs="Times New Roman"/>
          <w:sz w:val="20"/>
          <w:szCs w:val="20"/>
        </w:rPr>
        <w:t>(5)</w:t>
      </w:r>
      <w:r>
        <w:rPr>
          <w:rFonts w:hint="default" w:ascii="Times New Roman" w:hAnsi="Times New Roman" w:eastAsia="TimesNewRomanPSMT" w:cs="Times New Roman"/>
          <w:sz w:val="20"/>
          <w:szCs w:val="20"/>
        </w:rPr>
        <w:fldChar w:fldCharType="end"/>
      </w:r>
      <w:r>
        <w:rPr>
          <w:rFonts w:hint="default" w:ascii="Times New Roman" w:hAnsi="Times New Roman" w:eastAsia="TimesNewRomanPSMT" w:cs="Times New Roman"/>
          <w:sz w:val="20"/>
          <w:szCs w:val="20"/>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TimesNewRomanPSMT" w:cs="Times New Roman"/>
          <w:sz w:val="20"/>
          <w:szCs w:val="20"/>
        </w:rPr>
      </w:pPr>
      <w:r>
        <w:rPr>
          <w:rFonts w:hint="default" w:ascii="Times New Roman" w:hAnsi="Times New Roman" w:cs="Times New Roman"/>
          <w:sz w:val="20"/>
          <w:szCs w:val="20"/>
        </w:rPr>
        <w:t xml:space="preserve">L’insuffisance </w:t>
      </w:r>
      <w:r>
        <w:rPr>
          <w:rFonts w:hint="default" w:ascii="Times New Roman" w:hAnsi="Times New Roman" w:cs="Times New Roman"/>
          <w:color w:val="000000" w:themeColor="text1"/>
          <w:sz w:val="20"/>
          <w:szCs w:val="20"/>
        </w:rPr>
        <w:t>cardiaque est survenue sur une cardiomyopathie classée primitive dans 21,8</w:t>
      </w:r>
      <w:r>
        <w:rPr>
          <w:rFonts w:hint="default" w:ascii="Times New Roman" w:hAnsi="Times New Roman" w:cs="Times New Roman"/>
          <w:sz w:val="20"/>
          <w:szCs w:val="20"/>
        </w:rPr>
        <w:t xml:space="preserve">% des cas et </w:t>
      </w:r>
      <w:r>
        <w:rPr>
          <w:rFonts w:hint="default" w:ascii="Times New Roman" w:hAnsi="Times New Roman" w:cs="Times New Roman"/>
          <w:color w:val="000000" w:themeColor="text1"/>
          <w:sz w:val="20"/>
          <w:szCs w:val="20"/>
        </w:rPr>
        <w:t>du péripartum dans 13,3</w:t>
      </w:r>
      <w:r>
        <w:rPr>
          <w:rFonts w:hint="default" w:ascii="Times New Roman" w:hAnsi="Times New Roman" w:cs="Times New Roman"/>
          <w:sz w:val="20"/>
          <w:szCs w:val="20"/>
        </w:rPr>
        <w:t xml:space="preserve">% des cas. Cette fréquence de la cardiomyopathie du péripartum est supérieure à celle trouvée par Pio et al. (11,8%) dans leur travail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2hjnq4t5bv","properties":{"formattedCitation":"(6)","plainCitation":"(6)"},"citationItems":[{"id":72,"uris":["http://zotero.org/users/local/BEg94D5c/items/PRJW5I2Q"],"uri":["http://zotero.org/users/local/BEg94D5c/items/PRJW5I2Q"],"itemData":{"id":72,"type":"article-journal","title":"Epidémiologie et étiologies des insuffisances cardiaques à Lomé","container-title":"Pan African Medical Journal","volume":"18","issue":"183","source":"www.panafrican-med-journal.com","abstract":"INTRODUCTION: L'objectif est de déterminer la fréquence et les principales étiologies des insuffisances cardiaques (IC) en milieu cardiologique à Lomé. METHODES: Il s'agissait d'une étude transversale réalisée de janvier 2010 au Janvier 2012 dans le service de cardiologie du CHU Sylvanus Olympio de Lomé. Elle a porté sur 297 dossiers des patients hospitalisés pour IC. L'échodoppler cardiaque était indispensable pour l'inclusion du dossier dans l'étude. RESULTATS: L'IC représentait 25,6 % des hospitalisations. L'âge moyen des patients était de 52,2 ± 16,7 ans avec un sex ratio à 0,93. Le tableau clinique était celui d'une IC globale (67%), IC gauche (31,3%) et IC droite (1,7%). La fraction d'éjection du ventricule gauche (FEVG) moyenne était de 0,4 ± 0,17 (extrêmes 0,07 et 0,88). Les diagnostics lésionnels des IC étaient les cardiomyopathies dilatées (60%), l'IC à FEVG conservée (11,4%), les valvulopathies (11,8%). Les étiologies étaient l'hypertension artérielle (HTA) (43,1%), les coronaropathies (19,2%), la cardiomyopathie du péripartum (11,8%), les valvulopathies (11,8%), la cardiothyréose (3%), le c'ur pulmonaire chronique (2,7%), les cardiopathies congénitales (2,7%), l'alcoolisme chronique (2%), le VIH (3,4%) et idiopathique (5,9%). CONCLUSION: L'IC est fréquente à Lomé et touche les sujets jeunes. Les lésions sont sévères et avancées sous forme de cardiomyopathies dilatées.","URL":"http://www.panafrican-med-journal.com/content/article/18/183/full/","DOI":"10.11604/pamj.2014.18.183.3983","ISSN":"1937-8688","language":"fr","author":[{"family":"Pio","given":"Machihudé"},{"family":"Afassinou","given":"Yaovi"},{"family":"Pessinaba","given":"Soulemane"},{"family":"Baragou","given":"Soodougoua"},{"family":"N’djao","given":"Jacques"},{"family":"Atta","given":"Borgatia"},{"family":"Ehlan","given":"Efadzi"},{"family":"Damorou","given":"Findibé"},{"family":"Goeh-Akué","given":"Edem"}],"issued":{"date-parts":[["2014"]],"season":"25"},"accessed":{"date-parts":[["2019",7,20]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Au Togo, Damourou et al. ont trouvé l'insuffisance cardiaque toutes </w:t>
      </w:r>
      <w:r>
        <w:rPr>
          <w:rFonts w:hint="default" w:ascii="Times New Roman" w:hAnsi="Times New Roman" w:cs="Times New Roman"/>
          <w:color w:val="000000" w:themeColor="text1"/>
          <w:sz w:val="20"/>
          <w:szCs w:val="20"/>
        </w:rPr>
        <w:t xml:space="preserve">étiologies comprises chez 54.8% </w:t>
      </w:r>
      <w:r>
        <w:rPr>
          <w:rFonts w:hint="default" w:ascii="Times New Roman" w:hAnsi="Times New Roman" w:cs="Times New Roman"/>
          <w:color w:val="000000" w:themeColor="text1"/>
          <w:sz w:val="20"/>
          <w:szCs w:val="20"/>
        </w:rPr>
        <w:fldChar w:fldCharType="begin"/>
      </w:r>
      <w:r>
        <w:rPr>
          <w:rFonts w:hint="default" w:ascii="Times New Roman" w:hAnsi="Times New Roman" w:cs="Times New Roman"/>
          <w:color w:val="000000" w:themeColor="text1"/>
          <w:sz w:val="20"/>
          <w:szCs w:val="20"/>
        </w:rPr>
        <w:instrText xml:space="preserve"> ADDIN ZOTERO_ITEM CSL_CITATION {"citationID":"1v78qrpo6f","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color w:val="000000" w:themeColor="text1"/>
          <w:sz w:val="20"/>
          <w:szCs w:val="20"/>
        </w:rPr>
        <w:fldChar w:fldCharType="separate"/>
      </w:r>
      <w:r>
        <w:rPr>
          <w:rFonts w:hint="default" w:ascii="Times New Roman" w:hAnsi="Times New Roman" w:cs="Times New Roman"/>
          <w:color w:val="000000" w:themeColor="text1"/>
          <w:sz w:val="20"/>
          <w:szCs w:val="20"/>
        </w:rPr>
        <w:t>(2)</w:t>
      </w:r>
      <w:r>
        <w:rPr>
          <w:rFonts w:hint="default" w:ascii="Times New Roman" w:hAnsi="Times New Roman" w:cs="Times New Roman"/>
          <w:color w:val="000000" w:themeColor="text1"/>
          <w:sz w:val="20"/>
          <w:szCs w:val="20"/>
        </w:rPr>
        <w:fldChar w:fldCharType="end"/>
      </w:r>
      <w:r>
        <w:rPr>
          <w:rFonts w:hint="default" w:ascii="Times New Roman" w:hAnsi="Times New Roman" w:cs="Times New Roman"/>
          <w:color w:val="000000" w:themeColor="text1"/>
          <w:sz w:val="20"/>
          <w:szCs w:val="20"/>
        </w:rPr>
        <w:t xml:space="preserve">. Les étiologies étaient l'HTA dans 74.7%, les cardiomyopathies dans 9.7%, l'infarctus du myocarde (IDM) dans 3.0%, les valvulopathies dans 2.6% et le coeur pulmonaire chronique </w:t>
      </w:r>
      <w:r>
        <w:rPr>
          <w:rFonts w:hint="default" w:ascii="Times New Roman" w:hAnsi="Times New Roman" w:cs="Times New Roman"/>
          <w:sz w:val="20"/>
          <w:szCs w:val="20"/>
        </w:rPr>
        <w:t xml:space="preserve">dans 1.1%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a2ufflmfq","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L’étiologie des cardiomyopathies dilatées était difficile à déterminer chez certains de nos patients à cause des limites des explorations cardiovasculaires notamment la difficulté d’accéder à la coronarographie. L’étiologie hypertensive n’était pas sure devant des patients en insuffisance cardiaque globale à fraction d’éjection basse avec ventricule gauche dilaté en normotension artérielle et ayant dans les antécédents une notion d’hypertension artérielle mal étiquetée.</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sz w:val="20"/>
          <w:szCs w:val="20"/>
        </w:rPr>
        <w:t>La maladie thromboembolique veineuse (MTEV) avait été trouvée chez 18% de nos patients.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Six pour cent des </w:t>
      </w:r>
      <w:r>
        <w:rPr>
          <w:rFonts w:hint="default" w:ascii="Times New Roman" w:hAnsi="Times New Roman" w:cs="Times New Roman"/>
          <w:color w:val="000000" w:themeColor="text1"/>
          <w:sz w:val="20"/>
          <w:szCs w:val="20"/>
        </w:rPr>
        <w:t xml:space="preserve">patients ont été hospitalisés à Meknes au Maroc pour thrombose veineuse profonde (TVP) </w:t>
      </w:r>
      <w:r>
        <w:rPr>
          <w:rFonts w:hint="default" w:ascii="Times New Roman" w:hAnsi="Times New Roman" w:cs="Times New Roman"/>
          <w:color w:val="000000" w:themeColor="text1"/>
          <w:sz w:val="20"/>
          <w:szCs w:val="20"/>
        </w:rPr>
        <w:fldChar w:fldCharType="begin"/>
      </w:r>
      <w:r>
        <w:rPr>
          <w:rFonts w:hint="default" w:ascii="Times New Roman" w:hAnsi="Times New Roman" w:cs="Times New Roman"/>
          <w:color w:val="000000" w:themeColor="text1"/>
          <w:sz w:val="20"/>
          <w:szCs w:val="20"/>
        </w:rPr>
        <w:instrText xml:space="preserve"> ADDIN ZOTERO_ITEM CSL_CITATION {"citationID":"1r03vifqj9","properties":{"formattedCitation":"(5)","plainCitation":"(5)"},"citationItems":[{"id":58,"uris":["http://zotero.org/users/local/BEg94D5c/items/WJ3G8RMP"],"uri":["http://zotero.org/users/local/BEg94D5c/items/WJ3G8RMP"],"itemData":{"id":58,"type":"article-newspaper","title":"Profil épidémiologique des maladies cardiovasculaires dans la Ville de Meknès (Maroc) | Ibrahim El Ghazi | Request PDF","abstract":"Introduction : Au Maroc très peu de travaux publiés se sont intéressés\nde façon rigoureuse aux maladies cardiovasculaires. De ce fait, l’objectif\nmajeur de cette recherche est d’évaluer le profil épidémiologique des\nmaladies cardiovasculaires des sujets hospitalisés et traités au service de\ncardiologie de l’Hôpital Mohammed V de Meknès (Maroc). Méthodes: Il\ns’agit d’une étude rétrospective descriptive et analytique portant sur 1112\npatients admis au service de cardiologie de l’Hôpital Mohammed V, sur une\npériode de quatre ans (du 1er janvier 2011 au 31 décembre 2014). Résultats :\ncinquante-quatre pour cent des patients étaient des femmes et la tranche d’âge\nla plus touchée était celle de 45-64 ans (42,08 %) (p &lt; 0,001). Les pathologies\nles plus répandues parmi les sujets hospitalisés : la cardiopathie ischémique\nqui a représenté la première cause d’hospitalisation avec 341 cas\ncorrespondant à 30,66 %, suivie de l’insuffisance cardiaque (20,59 %). La\ncardiopathie ischémique était plus fréquente chez les hommes (p = 0,05) alors\nque les femmes étaient plus touchées par l’hypertension artérielle (p =\n0,0096), l’insuffisance cardiaque (p = 0,06) et la thrombose veineuse (p &lt;\n0,05). Conclusion : Les pathologies cardiovasculaires représentent un\nvéritable problème à la fois sanitaire et socio-économique pour les familles et\nles structures sanitaires. La fréquence et la gravité de ces maladies doivent\nnous inciter à faire des recherches plus poussées à propos de ce sujet afin de\ntrouver les solutions les plus plausibles pour réduire les répercussions\nnégatives.","URL":"https://www.researchgate.net/publication/329438636_Profil_epidemiologique_des_maladies_cardiovasculaires_dans_la_Ville_de_Meknes_Maroc","ISSN":"1857 – 7881","shortTitle":"European Scientific Journal November 2018 edition Vol.14, No.33","author":[{"literal":"Ibrahim El Ghazi,"},{"literal":"Imane Berni"},{"literal":"Aziza Menouni"}],"accessed":{"date-parts":[["2019",7,20]]}}}],"schema":"https://github.com/citation-style-language/schema/raw/master/csl-citation.json"} </w:instrText>
      </w:r>
      <w:r>
        <w:rPr>
          <w:rFonts w:hint="default" w:ascii="Times New Roman" w:hAnsi="Times New Roman" w:cs="Times New Roman"/>
          <w:color w:val="000000" w:themeColor="text1"/>
          <w:sz w:val="20"/>
          <w:szCs w:val="20"/>
        </w:rPr>
        <w:fldChar w:fldCharType="separate"/>
      </w:r>
      <w:r>
        <w:rPr>
          <w:rFonts w:hint="default" w:ascii="Times New Roman" w:hAnsi="Times New Roman" w:cs="Times New Roman"/>
          <w:color w:val="000000" w:themeColor="text1"/>
          <w:sz w:val="20"/>
          <w:szCs w:val="20"/>
        </w:rPr>
        <w:t>(5)</w:t>
      </w:r>
      <w:r>
        <w:rPr>
          <w:rFonts w:hint="default" w:ascii="Times New Roman" w:hAnsi="Times New Roman" w:cs="Times New Roman"/>
          <w:color w:val="000000" w:themeColor="text1"/>
          <w:sz w:val="20"/>
          <w:szCs w:val="20"/>
        </w:rPr>
        <w:fldChar w:fldCharType="end"/>
      </w:r>
      <w:r>
        <w:rPr>
          <w:rFonts w:hint="default" w:ascii="Times New Roman" w:hAnsi="Times New Roman" w:cs="Times New Roman"/>
          <w:color w:val="000000" w:themeColor="text1"/>
          <w:sz w:val="20"/>
          <w:szCs w:val="20"/>
        </w:rPr>
        <w:t xml:space="preserve"> proche des 4,95% trouvés par Coulibaly et al.</w:t>
      </w:r>
      <w:r>
        <w:rPr>
          <w:rFonts w:hint="default" w:ascii="Times New Roman" w:hAnsi="Times New Roman" w:cs="Times New Roman"/>
          <w:color w:val="000000" w:themeColor="text1"/>
          <w:sz w:val="20"/>
          <w:szCs w:val="20"/>
        </w:rPr>
        <w:fldChar w:fldCharType="begin"/>
      </w:r>
      <w:r>
        <w:rPr>
          <w:rFonts w:hint="default" w:ascii="Times New Roman" w:hAnsi="Times New Roman" w:cs="Times New Roman"/>
          <w:color w:val="000000" w:themeColor="text1"/>
          <w:sz w:val="20"/>
          <w:szCs w:val="20"/>
        </w:rPr>
        <w:instrText xml:space="preserve"> ADDIN ZOTERO_ITEM CSL_CITATION {"citationID":"lPTHqwvm","properties":{"formattedCitation":"(7)","plainCitation":"(7)"},"citationItems":[{"id":180,"uris":["http://zotero.org/users/local/BEg94D5c/items/NUN2F25J"],"uri":["http://zotero.org/users/local/BEg94D5c/items/NUN2F25J"],"itemData":{"id":180,"type":"article-journal","title":"Maladie Thromboembolique Veineuse dans le Service de Cardiologie du CHU du Point G à Bamako","container-title":"HEALTH SCIENCES AND DISEASES","volume":"19","issue":"2","URL":"https://www.hsd-fmsb.org/index.php/hsd/article/view/1026","ISSN":"1684-2782","journalAbbreviation":"Health Sci. Dis","author":[{"family":"Coulibaly","given":"Souleymane"},{"family":"Menta","given":"Ichatka"},{"family":"Diall","given":"Ilo Bella"},{"family":"Ba","given":"Hamidou Oumar"},{"family":"Diakité","given":"Mamadou"},{"family":"Sidibé","given":"Samba"},{"family":"Diallo","given":"Nouhoum"},{"family":"Kodio","given":"Aniessa"},{"family":"Traoré","given":"Sékou"},{"family":"Kané","given":"Karamoko"},{"family":"Sidibé","given":"Salimatou"},{"family":"Keita","given":"Asmaou"},{"family":"Thiam","given":"Coumba Adiaratou"},{"family":"Diallo","given":"Boubakar"}],"issued":{"date-parts":[["2018",3,28]]}}}],"schema":"https://github.com/citation-style-language/schema/raw/master/csl-citation.json"} </w:instrText>
      </w:r>
      <w:r>
        <w:rPr>
          <w:rFonts w:hint="default" w:ascii="Times New Roman" w:hAnsi="Times New Roman" w:cs="Times New Roman"/>
          <w:color w:val="000000" w:themeColor="text1"/>
          <w:sz w:val="20"/>
          <w:szCs w:val="20"/>
        </w:rPr>
        <w:fldChar w:fldCharType="separate"/>
      </w:r>
      <w:r>
        <w:rPr>
          <w:rFonts w:hint="default" w:ascii="Times New Roman" w:hAnsi="Times New Roman" w:cs="Times New Roman"/>
          <w:sz w:val="20"/>
          <w:szCs w:val="20"/>
        </w:rPr>
        <w:t>(7)</w:t>
      </w:r>
      <w:r>
        <w:rPr>
          <w:rFonts w:hint="default" w:ascii="Times New Roman" w:hAnsi="Times New Roman" w:cs="Times New Roman"/>
          <w:color w:val="000000" w:themeColor="text1"/>
          <w:sz w:val="20"/>
          <w:szCs w:val="20"/>
        </w:rPr>
        <w:fldChar w:fldCharType="end"/>
      </w:r>
      <w:r>
        <w:rPr>
          <w:rFonts w:hint="default" w:ascii="Times New Roman" w:hAnsi="Times New Roman" w:cs="Times New Roman"/>
          <w:color w:val="000000" w:themeColor="text1"/>
          <w:sz w:val="20"/>
          <w:szCs w:val="20"/>
        </w:rPr>
        <w:t xml:space="preserve">. L’embolie pulmonaire (EP) avait été retrouvée dans 55,88% des cas de MTEV chez nos patients proche des 60,92% de Coulibaly et al. </w:t>
      </w:r>
      <w:r>
        <w:rPr>
          <w:rFonts w:hint="default" w:ascii="Times New Roman" w:hAnsi="Times New Roman" w:cs="Times New Roman"/>
          <w:color w:val="000000" w:themeColor="text1"/>
          <w:sz w:val="20"/>
          <w:szCs w:val="20"/>
        </w:rPr>
        <w:fldChar w:fldCharType="begin"/>
      </w:r>
      <w:r>
        <w:rPr>
          <w:rFonts w:hint="default" w:ascii="Times New Roman" w:hAnsi="Times New Roman" w:cs="Times New Roman"/>
          <w:color w:val="000000" w:themeColor="text1"/>
          <w:sz w:val="20"/>
          <w:szCs w:val="20"/>
        </w:rPr>
        <w:instrText xml:space="preserve"> ADDIN ZOTERO_ITEM CSL_CITATION {"citationID":"oVTdiJH7","properties":{"formattedCitation":"(7)","plainCitation":"(7)"},"citationItems":[{"id":180,"uris":["http://zotero.org/users/local/BEg94D5c/items/NUN2F25J"],"uri":["http://zotero.org/users/local/BEg94D5c/items/NUN2F25J"],"itemData":{"id":180,"type":"article-journal","title":"Maladie Thromboembolique Veineuse dans le Service de Cardiologie du CHU du Point G à Bamako","container-title":"HEALTH SCIENCES AND DISEASES","volume":"19","issue":"2","URL":"https://www.hsd-fmsb.org/index.php/hsd/article/view/1026","ISSN":"1684-2782","journalAbbreviation":"Health Sci. Dis","author":[{"family":"Coulibaly","given":"Souleymane"},{"family":"Menta","given":"Ichatka"},{"family":"Diall","given":"Ilo Bella"},{"family":"Ba","given":"Hamidou Oumar"},{"family":"Diakité","given":"Mamadou"},{"family":"Sidibé","given":"Samba"},{"family":"Diallo","given":"Nouhoum"},{"family":"Kodio","given":"Aniessa"},{"family":"Traoré","given":"Sékou"},{"family":"Kané","given":"Karamoko"},{"family":"Sidibé","given":"Salimatou"},{"family":"Keita","given":"Asmaou"},{"family":"Thiam","given":"Coumba Adiaratou"},{"family":"Diallo","given":"Boubakar"}],"issued":{"date-parts":[["2018",3,28]]}}}],"schema":"https://github.com/citation-style-language/schema/raw/master/csl-citation.json"} </w:instrText>
      </w:r>
      <w:r>
        <w:rPr>
          <w:rFonts w:hint="default" w:ascii="Times New Roman" w:hAnsi="Times New Roman" w:cs="Times New Roman"/>
          <w:color w:val="000000" w:themeColor="text1"/>
          <w:sz w:val="20"/>
          <w:szCs w:val="20"/>
        </w:rPr>
        <w:fldChar w:fldCharType="separate"/>
      </w:r>
      <w:r>
        <w:rPr>
          <w:rFonts w:hint="default" w:ascii="Times New Roman" w:hAnsi="Times New Roman" w:cs="Times New Roman"/>
          <w:sz w:val="20"/>
          <w:szCs w:val="20"/>
        </w:rPr>
        <w:t>(7)</w:t>
      </w:r>
      <w:r>
        <w:rPr>
          <w:rFonts w:hint="default" w:ascii="Times New Roman" w:hAnsi="Times New Roman" w:cs="Times New Roman"/>
          <w:color w:val="000000" w:themeColor="text1"/>
          <w:sz w:val="20"/>
          <w:szCs w:val="20"/>
        </w:rPr>
        <w:fldChar w:fldCharType="end"/>
      </w:r>
      <w:r>
        <w:rPr>
          <w:rFonts w:hint="default" w:ascii="Times New Roman" w:hAnsi="Times New Roman" w:cs="Times New Roman"/>
          <w:color w:val="000000" w:themeColor="text1"/>
          <w:sz w:val="20"/>
          <w:szCs w:val="20"/>
        </w:rPr>
        <w:t xml:space="preserve"> par contre Nourelhouda et al. </w:t>
      </w:r>
      <w:r>
        <w:rPr>
          <w:rFonts w:hint="default" w:ascii="Times New Roman" w:hAnsi="Times New Roman" w:cs="Times New Roman"/>
          <w:color w:val="000000" w:themeColor="text1"/>
          <w:sz w:val="20"/>
          <w:szCs w:val="20"/>
        </w:rPr>
        <w:fldChar w:fldCharType="begin"/>
      </w:r>
      <w:r>
        <w:rPr>
          <w:rFonts w:hint="default" w:ascii="Times New Roman" w:hAnsi="Times New Roman" w:cs="Times New Roman"/>
          <w:color w:val="000000" w:themeColor="text1"/>
          <w:sz w:val="20"/>
          <w:szCs w:val="20"/>
        </w:rPr>
        <w:instrText xml:space="preserve"> ADDIN ZOTERO_ITEM CSL_CITATION {"citationID":"2i8mjt1e5j","properties":{"formattedCitation":"(8)","plainCitation":"(8)"},"citationItems":[{"id":20,"uris":["http://zotero.org/users/local/BEg94D5c/items/A7AU57XS"],"uri":["http://zotero.org/users/local/BEg94D5c/items/A7AU57XS"],"itemData":{"id":20,"type":"article-newspaper","title":"Maladie thromboembolique veineuse dans la région de Sidi Bel Abbes, Algérie: fréquence et facteurs de risque  doi:10.11604/pamj.2013.16.45.2620","container-title":"Pan African Medical Journal. 2013; 16:45.","author":[{"literal":"Nourelhouda Chalal,  Abbassia Demmouche"}]}}],"schema":"https://github.com/citation-style-language/schema/raw/master/csl-citation.json"} </w:instrText>
      </w:r>
      <w:r>
        <w:rPr>
          <w:rFonts w:hint="default" w:ascii="Times New Roman" w:hAnsi="Times New Roman" w:cs="Times New Roman"/>
          <w:color w:val="000000" w:themeColor="text1"/>
          <w:sz w:val="20"/>
          <w:szCs w:val="20"/>
        </w:rPr>
        <w:fldChar w:fldCharType="separate"/>
      </w:r>
      <w:r>
        <w:rPr>
          <w:rFonts w:hint="default" w:ascii="Times New Roman" w:hAnsi="Times New Roman" w:cs="Times New Roman"/>
          <w:sz w:val="20"/>
          <w:szCs w:val="20"/>
        </w:rPr>
        <w:t>(8)</w:t>
      </w:r>
      <w:r>
        <w:rPr>
          <w:rFonts w:hint="default" w:ascii="Times New Roman" w:hAnsi="Times New Roman" w:cs="Times New Roman"/>
          <w:color w:val="000000" w:themeColor="text1"/>
          <w:sz w:val="20"/>
          <w:szCs w:val="20"/>
        </w:rPr>
        <w:fldChar w:fldCharType="end"/>
      </w:r>
      <w:r>
        <w:rPr>
          <w:rFonts w:hint="default" w:ascii="Times New Roman" w:hAnsi="Times New Roman" w:cs="Times New Roman"/>
          <w:color w:val="000000" w:themeColor="text1"/>
          <w:sz w:val="20"/>
          <w:szCs w:val="20"/>
        </w:rPr>
        <w:t xml:space="preserve"> avaient trouvé une prédominance de la TVP avec 79,7% de même que Owono Etoundi et al.</w:t>
      </w:r>
      <w:r>
        <w:rPr>
          <w:rFonts w:hint="default" w:ascii="Times New Roman" w:hAnsi="Times New Roman" w:cs="Times New Roman"/>
          <w:color w:val="000000" w:themeColor="text1"/>
          <w:sz w:val="20"/>
          <w:szCs w:val="20"/>
        </w:rPr>
        <w:fldChar w:fldCharType="begin"/>
      </w:r>
      <w:r>
        <w:rPr>
          <w:rFonts w:hint="default" w:ascii="Times New Roman" w:hAnsi="Times New Roman" w:cs="Times New Roman"/>
          <w:color w:val="000000" w:themeColor="text1"/>
          <w:sz w:val="20"/>
          <w:szCs w:val="20"/>
        </w:rPr>
        <w:instrText xml:space="preserve"> ADDIN ZOTERO_ITEM CSL_CITATION {"citationID":"129rfcr5hp","properties":{"formattedCitation":"(9)","plainCitation":"(9)"},"citationItems":[{"id":10,"uris":["http://zotero.org/users/local/BEg94D5c/items/ZXEVWDJ3"],"uri":["http://zotero.org/users/local/BEg94D5c/items/ZXEVWDJ3"],"itemData":{"id":10,"type":"article-newspaper","title":"La Maladie Thromboembolique Veineuse. Aspects Épidémiologiques et Facteurs de Risque dans un Hôpital Camerounais.   ;","container-title":"Health Sci. Dis","page":"16 (4) :1-4.","author":[{"literal":"Owono Etoundi P, Esiéne A, Bengono Bengono R, Amengle L, Afane Ela A, Ze Minkande J."}],"issued":{"date-parts":[["2015"]]}}}],"schema":"https://github.com/citation-style-language/schema/raw/master/csl-citation.json"} </w:instrText>
      </w:r>
      <w:r>
        <w:rPr>
          <w:rFonts w:hint="default" w:ascii="Times New Roman" w:hAnsi="Times New Roman" w:cs="Times New Roman"/>
          <w:color w:val="000000" w:themeColor="text1"/>
          <w:sz w:val="20"/>
          <w:szCs w:val="20"/>
        </w:rPr>
        <w:fldChar w:fldCharType="separate"/>
      </w:r>
      <w:r>
        <w:rPr>
          <w:rFonts w:hint="default" w:ascii="Times New Roman" w:hAnsi="Times New Roman" w:cs="Times New Roman"/>
          <w:sz w:val="20"/>
          <w:szCs w:val="20"/>
        </w:rPr>
        <w:t>(9)</w:t>
      </w:r>
      <w:r>
        <w:rPr>
          <w:rFonts w:hint="default" w:ascii="Times New Roman" w:hAnsi="Times New Roman" w:cs="Times New Roman"/>
          <w:color w:val="000000" w:themeColor="text1"/>
          <w:sz w:val="20"/>
          <w:szCs w:val="20"/>
        </w:rPr>
        <w:fldChar w:fldCharType="end"/>
      </w:r>
      <w:r>
        <w:rPr>
          <w:rFonts w:hint="default" w:ascii="Times New Roman" w:hAnsi="Times New Roman" w:cs="Times New Roman"/>
          <w:color w:val="000000" w:themeColor="text1"/>
          <w:sz w:val="20"/>
          <w:szCs w:val="20"/>
        </w:rPr>
        <w:t xml:space="preserve"> qui avaient trouvé une TVP dans 87% des cas.</w:t>
      </w:r>
    </w:p>
    <w:p>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Les accidents vasculaires cérébraux (AVC) étaient le second motif d’hospitalisation de nos patients pour pathologie cardiovasculaire avec 34,04%. Cette fréquence est largement supérieure aux 2,33% trouvé</w:t>
      </w:r>
      <w:r>
        <w:rPr>
          <w:rFonts w:hint="default" w:ascii="Times New Roman" w:hAnsi="Times New Roman" w:cs="Times New Roman"/>
          <w:b/>
          <w:color w:val="000000" w:themeColor="text1"/>
          <w:sz w:val="20"/>
          <w:szCs w:val="20"/>
        </w:rPr>
        <w:t>s</w:t>
      </w:r>
      <w:r>
        <w:rPr>
          <w:rFonts w:hint="default" w:ascii="Times New Roman" w:hAnsi="Times New Roman" w:cs="Times New Roman"/>
          <w:color w:val="000000" w:themeColor="text1"/>
          <w:sz w:val="20"/>
          <w:szCs w:val="20"/>
        </w:rPr>
        <w:t xml:space="preserve"> par El Ghazi et al. sur les </w:t>
      </w:r>
      <w:r>
        <w:rPr>
          <w:rFonts w:hint="default" w:ascii="Times New Roman" w:hAnsi="Times New Roman" w:cs="Times New Roman"/>
          <w:sz w:val="20"/>
          <w:szCs w:val="20"/>
        </w:rPr>
        <w:t xml:space="preserve">1112 patients hospitalisés et traités dans le service de cardiologie à Meknes au Maroc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2caj4hqedi","properties":{"formattedCitation":"(5)","plainCitation":"(5)"},"citationItems":[{"id":58,"uris":["http://zotero.org/users/local/BEg94D5c/items/WJ3G8RMP"],"uri":["http://zotero.org/users/local/BEg94D5c/items/WJ3G8RMP"],"itemData":{"id":58,"type":"article-newspaper","title":"Profil épidémiologique des maladies cardiovasculaires dans la Ville de Meknès (Maroc) | Ibrahim El Ghazi | Request PDF","abstract":"Introduction : Au Maroc très peu de travaux publiés se sont intéressés\nde façon rigoureuse aux maladies cardiovasculaires. De ce fait, l’objectif\nmajeur de cette recherche est d’évaluer le profil épidémiologique des\nmaladies cardiovasculaires des sujets hospitalisés et traités au service de\ncardiologie de l’Hôpital Mohammed V de Meknès (Maroc). Méthodes: Il\ns’agit d’une étude rétrospective descriptive et analytique portant sur 1112\npatients admis au service de cardiologie de l’Hôpital Mohammed V, sur une\npériode de quatre ans (du 1er janvier 2011 au 31 décembre 2014). Résultats :\ncinquante-quatre pour cent des patients étaient des femmes et la tranche d’âge\nla plus touchée était celle de 45-64 ans (42,08 %) (p &lt; 0,001). Les pathologies\nles plus répandues parmi les sujets hospitalisés : la cardiopathie ischémique\nqui a représenté la première cause d’hospitalisation avec 341 cas\ncorrespondant à 30,66 %, suivie de l’insuffisance cardiaque (20,59 %). La\ncardiopathie ischémique était plus fréquente chez les hommes (p = 0,05) alors\nque les femmes étaient plus touchées par l’hypertension artérielle (p =\n0,0096), l’insuffisance cardiaque (p = 0,06) et la thrombose veineuse (p &lt;\n0,05). Conclusion : Les pathologies cardiovasculaires représentent un\nvéritable problème à la fois sanitaire et socio-économique pour les familles et\nles structures sanitaires. La fréquence et la gravité de ces maladies doivent\nnous inciter à faire des recherches plus poussées à propos de ce sujet afin de\ntrouver les solutions les plus plausibles pour réduire les répercussions\nnégatives.","URL":"https://www.researchgate.net/publication/329438636_Profil_epidemiologique_des_maladies_cardiovasculaires_dans_la_Ville_de_Meknes_Maroc","ISSN":"1857 – 7881","shortTitle":"European Scientific Journal November 2018 edition Vol.14, No.33","author":[{"literal":"Ibrahim El Ghazi,"},{"literal":"Imane Berni"},{"literal":"Aziza Menouni"}],"accessed":{"date-parts":[["2019",7,20]]}}}],"schema":"https://github.com/citation-style-language/schema/raw/master/csl-citation.json"}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(5)</w:t>
      </w:r>
      <w:r>
        <w:rPr>
          <w:rFonts w:hint="default" w:ascii="Times New Roman" w:hAnsi="Times New Roman" w:cs="Times New Roman"/>
          <w:sz w:val="20"/>
          <w:szCs w:val="20"/>
        </w:rPr>
        <w:fldChar w:fldCharType="end"/>
      </w:r>
      <w:r>
        <w:rPr>
          <w:rFonts w:hint="default" w:ascii="Times New Roman" w:hAnsi="Times New Roman" w:cs="Times New Roman"/>
          <w:sz w:val="20"/>
          <w:szCs w:val="20"/>
        </w:rPr>
        <w:t>. Cette différence s’explique par les spécificités des services. Notre étude a été réalisée dans un service de médecine ayant une unité de cardiologie en son sein qui hospitalise tous les patients de la médecine générale tandis que l’étude de El Ghazi et al. a été effectuée dans un service de cardiologie.</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cs="Times New Roman"/>
          <w:b/>
          <w:color w:val="000000" w:themeColor="text1"/>
          <w:sz w:val="20"/>
          <w:szCs w:val="20"/>
        </w:rPr>
      </w:pPr>
      <w:r>
        <w:rPr>
          <w:rFonts w:hint="default" w:ascii="Times New Roman" w:hAnsi="Times New Roman" w:cs="Times New Roman"/>
          <w:b/>
          <w:color w:val="000000" w:themeColor="text1"/>
          <w:sz w:val="20"/>
          <w:szCs w:val="20"/>
        </w:rPr>
        <w:t>Séjour hospitalier et Mortalité</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20"/>
          <w:szCs w:val="20"/>
        </w:rPr>
      </w:pPr>
      <w:r>
        <w:rPr>
          <w:rFonts w:hint="default" w:ascii="Times New Roman" w:hAnsi="Times New Roman" w:cs="Times New Roman"/>
          <w:sz w:val="20"/>
          <w:szCs w:val="20"/>
        </w:rPr>
        <w:t xml:space="preserve">La durée moyenne du séjour hospitalier de nos patients était de 10 </w:t>
      </w:r>
      <w:r>
        <w:rPr>
          <w:rFonts w:hint="default" w:ascii="Times New Roman" w:hAnsi="Times New Roman" w:eastAsia="TimesNewRomanPSMT" w:cs="Times New Roman"/>
          <w:sz w:val="20"/>
          <w:szCs w:val="20"/>
        </w:rPr>
        <w:t>±</w:t>
      </w:r>
      <w:r>
        <w:rPr>
          <w:rFonts w:hint="default" w:ascii="Times New Roman" w:hAnsi="Times New Roman" w:cs="Times New Roman"/>
          <w:sz w:val="20"/>
          <w:szCs w:val="20"/>
        </w:rPr>
        <w:t xml:space="preserve"> 3 jours avec 63,3% des cas entre 1 et 10 jours. La durée d'hospitalisation moyenne dans l’étude de Damourou et al. était de 8.89 ± 6.45 jours avec des extrêmes de 1 et 61 jours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29t887pk7l","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color w:val="000000" w:themeColor="text1"/>
          <w:sz w:val="20"/>
          <w:szCs w:val="20"/>
        </w:rPr>
        <w:t>La mortalité hospitalière était de 15,43</w:t>
      </w:r>
      <w:r>
        <w:rPr>
          <w:rFonts w:hint="default" w:ascii="Times New Roman" w:hAnsi="Times New Roman" w:cs="Times New Roman"/>
          <w:sz w:val="20"/>
          <w:szCs w:val="20"/>
        </w:rPr>
        <w:t xml:space="preserve">% chez nos patients, supérieure à celle de Damourou et al. qui avaient trouvé un taux de mortalité de 11%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ZOTERO_ITEM CSL_CITATION {"citationID":"s6NAOJd8","properties":{"formattedCitation":"(2)","plainCitation":"(2)"},"citationItems":[{"id":12,"uris":["http://zotero.org/users/local/BEg94D5c/items/2A6DTDR2"],"uri":["http://zotero.org/users/local/BEg94D5c/items/2A6DTDR2"],"itemData":{"id":12,"type":"article-newspaper","title":"Morbidité et mortalité hospitalière des maladies cardiovasculaires en milieu tropical: exemple d'un centre hospitalier à Lomé (Togo).","container-title":"Pan Afr Med J 2014; 17: 62","author":[{"literal":"Damorou"}]}}],"schema":"https://github.com/citation-style-language/schema/raw/master/csl-citation.json"}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Cette différence pourrait s’expliquer par le fait que notre étude a été réalisée dans un service de médecine et l’absence d’unité de soins intensif cardiologique.</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sz w:val="20"/>
          <w:szCs w:val="20"/>
          <w:u w:val="none"/>
          <w:lang w:val="fr-FR"/>
        </w:rPr>
      </w:pPr>
      <w:r>
        <w:rPr>
          <w:rFonts w:hint="default" w:ascii="Times New Roman" w:hAnsi="Times New Roman" w:cs="Times New Roman"/>
          <w:b/>
          <w:sz w:val="20"/>
          <w:szCs w:val="20"/>
          <w:u w:val="none"/>
        </w:rPr>
        <w:t>CONCLUSIO</w:t>
      </w:r>
      <w:r>
        <w:rPr>
          <w:rFonts w:hint="default" w:ascii="Times New Roman" w:hAnsi="Times New Roman" w:cs="Times New Roman"/>
          <w:b/>
          <w:sz w:val="20"/>
          <w:szCs w:val="20"/>
          <w:u w:val="none"/>
          <w:lang w:val="fr-FR"/>
        </w:rPr>
        <w:t>N</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Les pathologies cardiovasculaires occupent une place importante dans le service de médecine. Les cardiomyopathies décompensées et les accidents vasculaires cérébraux constituent des motifs d’hospitalisation majeurs sur le plan cardiovasculaire. La mortalité liée à ces pathologies cardiovasculaires n’est pas négligeable. Il est important de les identifier afin de mieux définir les mesures de prévention secondaire. La réduction de cette morbi-mortalité par la sensibilisation et l’éducation de la population sur les facteurs de risque cardiovasculaire. Cette prévention primaire est importante dans nos pays à ressources limitées.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Calibri" w:cs="Times New Roman"/>
          <w:b/>
          <w:bCs/>
          <w:sz w:val="20"/>
          <w:szCs w:val="20"/>
          <w:u w:val="none"/>
        </w:rPr>
      </w:pPr>
      <w:r>
        <w:rPr>
          <w:rFonts w:hint="default" w:ascii="Times New Roman" w:hAnsi="Times New Roman" w:eastAsia="Calibri" w:cs="Times New Roman"/>
          <w:b/>
          <w:bCs/>
          <w:sz w:val="20"/>
          <w:szCs w:val="20"/>
          <w:u w:val="none"/>
        </w:rPr>
        <w:t>Conflits d'intérêts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Les auteurs ne déclarent aucun conflit d'intérêts.</w:t>
      </w:r>
    </w:p>
    <w:p>
      <w:pPr>
        <w:keepNext w:val="0"/>
        <w:keepLines w:val="0"/>
        <w:pageBreakBefore w:val="0"/>
        <w:widowControl/>
        <w:kinsoku/>
        <w:wordWrap/>
        <w:overflowPunct/>
        <w:topLinePunct w:val="0"/>
        <w:autoSpaceDE/>
        <w:autoSpaceDN/>
        <w:bidi w:val="0"/>
        <w:adjustRightInd/>
        <w:snapToGrid/>
        <w:spacing w:before="60" w:after="60" w:line="240" w:lineRule="auto"/>
        <w:jc w:val="both"/>
        <w:textAlignment w:val="auto"/>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Contributions des auteurs</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Tous les auteurs ont contribué à la conduite de ce travail. Tous les auteurs déclarent également avoir lu et approuvé la version finale du manuscrit.</w:t>
      </w:r>
    </w:p>
    <w:p>
      <w:pPr>
        <w:keepNext w:val="0"/>
        <w:keepLines w:val="0"/>
        <w:pageBreakBefore w:val="0"/>
        <w:widowControl/>
        <w:kinsoku/>
        <w:wordWrap/>
        <w:overflowPunct/>
        <w:topLinePunct w:val="0"/>
        <w:autoSpaceDE/>
        <w:autoSpaceDN/>
        <w:bidi w:val="0"/>
        <w:adjustRightInd/>
        <w:snapToGrid/>
        <w:spacing w:before="120" w:after="120" w:line="240" w:lineRule="auto"/>
        <w:jc w:val="both"/>
        <w:textAlignment w:val="auto"/>
        <w:rPr>
          <w:rFonts w:hint="default" w:ascii="Times New Roman" w:hAnsi="Times New Roman" w:cs="Times New Roman"/>
          <w:b/>
          <w:bCs/>
          <w:sz w:val="20"/>
          <w:szCs w:val="20"/>
          <w:u w:val="none"/>
        </w:rPr>
      </w:pPr>
      <w:r>
        <w:rPr>
          <w:rFonts w:ascii="Times New Roman" w:hAnsi="Times New Roman"/>
          <w:b/>
          <w:sz w:val="20"/>
          <w:szCs w:val="20"/>
        </w:rPr>
        <w:t>RÉFÉRENCES</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u w:val="single"/>
        </w:rPr>
        <w:fldChar w:fldCharType="begin"/>
      </w:r>
      <w:r>
        <w:rPr>
          <w:rFonts w:hint="default" w:ascii="Times New Roman" w:hAnsi="Times New Roman" w:cs="Times New Roman"/>
          <w:sz w:val="18"/>
          <w:szCs w:val="18"/>
          <w:u w:val="single"/>
        </w:rPr>
        <w:instrText xml:space="preserve"> ADDIN ZOTERO_BIBL {"custom":[]} CSL_BIBLIOGRAPHY </w:instrText>
      </w:r>
      <w:r>
        <w:rPr>
          <w:rFonts w:hint="default" w:ascii="Times New Roman" w:hAnsi="Times New Roman" w:cs="Times New Roman"/>
          <w:sz w:val="18"/>
          <w:szCs w:val="18"/>
          <w:u w:val="single"/>
        </w:rPr>
        <w:fldChar w:fldCharType="separate"/>
      </w:r>
      <w:r>
        <w:rPr>
          <w:rFonts w:hint="default" w:ascii="Times New Roman" w:hAnsi="Times New Roman" w:cs="Times New Roman"/>
          <w:sz w:val="18"/>
          <w:szCs w:val="18"/>
        </w:rPr>
        <w:t xml:space="preserve">1. </w:t>
      </w:r>
      <w:r>
        <w:rPr>
          <w:rFonts w:hint="default" w:ascii="Times New Roman" w:hAnsi="Times New Roman" w:cs="Times New Roman"/>
          <w:sz w:val="18"/>
          <w:szCs w:val="18"/>
        </w:rPr>
        <w:tab/>
      </w:r>
      <w:r>
        <w:rPr>
          <w:rFonts w:hint="default" w:ascii="Times New Roman" w:hAnsi="Times New Roman" w:cs="Times New Roman"/>
          <w:sz w:val="18"/>
          <w:szCs w:val="18"/>
        </w:rPr>
        <w:t>WHO. Cardiovascular diseases (CVDs) [Internet]. 2015 [cité 20 juill 2019]. Disponible sur: https://www.who.int/fr/news-room/fact-sheets/detail/cardiovascular-diseases-(cvds)</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2. </w:t>
      </w:r>
      <w:r>
        <w:rPr>
          <w:rFonts w:hint="default" w:ascii="Times New Roman" w:hAnsi="Times New Roman" w:cs="Times New Roman"/>
          <w:sz w:val="18"/>
          <w:szCs w:val="18"/>
        </w:rPr>
        <w:tab/>
      </w:r>
      <w:r>
        <w:rPr>
          <w:rFonts w:hint="default" w:ascii="Times New Roman" w:hAnsi="Times New Roman" w:cs="Times New Roman"/>
          <w:sz w:val="18"/>
          <w:szCs w:val="18"/>
        </w:rPr>
        <w:t xml:space="preserve">Damorou. Morbidité et mortalité hospitalière des maladies cardiovasculaires en milieu tropical: exemple d’un centre hospitalier à Lomé (Togo). Pan Afr Med J 2014; 17: 62. </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3. </w:t>
      </w:r>
      <w:r>
        <w:rPr>
          <w:rFonts w:hint="default" w:ascii="Times New Roman" w:hAnsi="Times New Roman" w:cs="Times New Roman"/>
          <w:sz w:val="18"/>
          <w:szCs w:val="18"/>
        </w:rPr>
        <w:tab/>
      </w:r>
      <w:r>
        <w:rPr>
          <w:rFonts w:hint="default" w:ascii="Times New Roman" w:hAnsi="Times New Roman" w:cs="Times New Roman"/>
          <w:sz w:val="18"/>
          <w:szCs w:val="18"/>
        </w:rPr>
        <w:t>OMS. Organisation mondiale de la Santé- Profils des pays pour les maladies non transmissibles (MNT), 2018. [Internet]. 2018 [cité 20 juill 2019]. Disponible sur: https://www.who.int/nmh/countries/mli_fr.pdf?ua=1</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4. </w:t>
      </w:r>
      <w:r>
        <w:rPr>
          <w:rFonts w:hint="default" w:ascii="Times New Roman" w:hAnsi="Times New Roman" w:cs="Times New Roman"/>
          <w:sz w:val="18"/>
          <w:szCs w:val="18"/>
        </w:rPr>
        <w:tab/>
      </w:r>
      <w:r>
        <w:rPr>
          <w:rFonts w:hint="default" w:ascii="Times New Roman" w:hAnsi="Times New Roman" w:cs="Times New Roman"/>
          <w:sz w:val="18"/>
          <w:szCs w:val="18"/>
        </w:rPr>
        <w:t>I Sory Sylla, S Samoura, A Samba Guindo, A Barry, E Yaya Baldé, D Sylla, et al. Profil épidémiologique et clinique des urgences cardiovasculaires à Conakry [Internet]. [cité 20 juill 2019]. Disponible sur: https://www.jaccrafrica.com/gallery/sylla%20is%20et%20al%20jaccr%20africa220419.pdf</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5. </w:t>
      </w:r>
      <w:r>
        <w:rPr>
          <w:rFonts w:hint="default" w:ascii="Times New Roman" w:hAnsi="Times New Roman" w:cs="Times New Roman"/>
          <w:sz w:val="18"/>
          <w:szCs w:val="18"/>
        </w:rPr>
        <w:tab/>
      </w:r>
      <w:r>
        <w:rPr>
          <w:rFonts w:hint="default" w:ascii="Times New Roman" w:hAnsi="Times New Roman" w:cs="Times New Roman"/>
          <w:sz w:val="18"/>
          <w:szCs w:val="18"/>
        </w:rPr>
        <w:t>Ibrahim El Ghazi, Imane Berni, Aziza Menouni. Profil épidémiologique des maladies cardiovasculaires dans la Ville de Meknès (Maroc)| Ibrahim El Ghazi| Request PDF. [cité 20 juill 2019]; Disponible sur: https://www.researchgate.net/publication/329438636_Profil_epidemiologique_des_maladies_cardiovasculaires_dans_la_Ville_de_Meknes_Maroc</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6. </w:t>
      </w:r>
      <w:r>
        <w:rPr>
          <w:rFonts w:hint="default" w:ascii="Times New Roman" w:hAnsi="Times New Roman" w:cs="Times New Roman"/>
          <w:sz w:val="18"/>
          <w:szCs w:val="18"/>
        </w:rPr>
        <w:tab/>
      </w:r>
      <w:r>
        <w:rPr>
          <w:rFonts w:hint="default" w:ascii="Times New Roman" w:hAnsi="Times New Roman" w:cs="Times New Roman"/>
          <w:sz w:val="18"/>
          <w:szCs w:val="18"/>
        </w:rPr>
        <w:t>Pio M, Afassinou Y, Pessinaba S, Baragou S, N’djao J, Atta B, et al. Epidémiologie et étiologies des insuffisances cardiaques à Lomé. Pan Afr Med J [Internet]. 25 2014 [cité 20 juill 2019];18(183). Disponible sur: http://www.panafrican-med-journal.com/content/article/18/183/full/</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7. </w:t>
      </w:r>
      <w:r>
        <w:rPr>
          <w:rFonts w:hint="default" w:ascii="Times New Roman" w:hAnsi="Times New Roman" w:cs="Times New Roman"/>
          <w:sz w:val="18"/>
          <w:szCs w:val="18"/>
        </w:rPr>
        <w:tab/>
      </w:r>
      <w:r>
        <w:rPr>
          <w:rFonts w:hint="default" w:ascii="Times New Roman" w:hAnsi="Times New Roman" w:cs="Times New Roman"/>
          <w:sz w:val="18"/>
          <w:szCs w:val="18"/>
        </w:rPr>
        <w:t>Coulibaly S, Menta I, Diall IB, Ba HO, Diakité M, Sidibé S, et al. Maladie Thromboembolique Veineuse dans le Service de Cardiologie du CHU du Point G à Bamako. Health Sci Dis [Internet]. 28 mars 2018;19(2). Disponible sur: https://www.hsd-fmsb.org/index.php/hsd/article/view/1026</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8. </w:t>
      </w:r>
      <w:r>
        <w:rPr>
          <w:rFonts w:hint="default" w:ascii="Times New Roman" w:hAnsi="Times New Roman" w:cs="Times New Roman"/>
          <w:sz w:val="18"/>
          <w:szCs w:val="18"/>
        </w:rPr>
        <w:tab/>
      </w:r>
      <w:r>
        <w:rPr>
          <w:rFonts w:hint="default" w:ascii="Times New Roman" w:hAnsi="Times New Roman" w:cs="Times New Roman"/>
          <w:sz w:val="18"/>
          <w:szCs w:val="18"/>
        </w:rPr>
        <w:t xml:space="preserve">Nourelhouda Chalal, Abbassia Demmouche. Maladie thromboembolique veineuse dans la région de Sidi Bel Abbes, Algérie: fréquence et facteurs de risque  doi:10.11604/pamj.2013.16.45.2620. Pan African Medical Journal 2013; 16:45. </w:t>
      </w:r>
    </w:p>
    <w:p>
      <w:pPr>
        <w:pStyle w:val="15"/>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9. </w:t>
      </w:r>
      <w:r>
        <w:rPr>
          <w:rFonts w:hint="default" w:ascii="Times New Roman" w:hAnsi="Times New Roman" w:cs="Times New Roman"/>
          <w:sz w:val="18"/>
          <w:szCs w:val="18"/>
        </w:rPr>
        <w:tab/>
      </w:r>
      <w:r>
        <w:rPr>
          <w:rFonts w:hint="default" w:ascii="Times New Roman" w:hAnsi="Times New Roman" w:cs="Times New Roman"/>
          <w:sz w:val="18"/>
          <w:szCs w:val="18"/>
        </w:rPr>
        <w:t xml:space="preserve">Owono Etoundi P, Esiéne A, Bengono Bengono R, Amengle L, Afane Ela A, Ze Minkande J. La Maladie Thromboembolique Veineuse. Aspects Épidémiologiques et Facteurs de Risque dans un Hôpital Camerounais.  ; Health Sci Dis. 2015;16 (4) :1‑4. </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0"/>
          <w:szCs w:val="20"/>
          <w:u w:val="single"/>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sz w:val="18"/>
          <w:szCs w:val="18"/>
          <w:u w:val="single"/>
        </w:rPr>
        <w:fldChar w:fldCharType="end"/>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0"/>
          <w:szCs w:val="20"/>
          <w:u w:val="single"/>
        </w:rPr>
      </w:pPr>
    </w:p>
    <w:sectPr>
      <w:type w:val="continuous"/>
      <w:pgSz w:w="11850" w:h="16783"/>
      <w:pgMar w:top="1134" w:right="850" w:bottom="141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Times New Roman"/>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140"/>
      </w:tabs>
      <w:rPr>
        <w:rFonts w:ascii="Times New Roman"/>
        <w:sz w:val="18"/>
        <w:lang w:val="en-US"/>
      </w:rPr>
    </w:pPr>
    <w:r>
      <w:rPr>
        <w:rFonts w:ascii="Times New Roman"/>
        <w:sz w:val="18"/>
        <w:lang w:val="en-US"/>
      </w:rPr>
      <w:pict>
        <v:group id="Groupe 87" o:spid="_x0000_s2049" o:spt="203" style="position:absolute;left:0pt;margin-left:519.6pt;margin-top:783.9pt;height:25.35pt;width:33pt;mso-position-horizontal-relative:page;mso-position-vertical-relative:page;mso-wrap-distance-left:9pt;mso-wrap-distance-right:9pt;z-index:-251658240;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v:imagedata o:title=""/>
            <o:lock v:ext="edit"/>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joinstyle="miter"/>
            <v:imagedata o:title=""/>
            <o:lock v:ext="edit"/>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75;top:14647;height:314;width:571;"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o:lock v:ext="edit"/>
            <v:shape id="AutoShape 92" o:spid="_x0000_s2054" o:spt="100" style="position:absolute;left:1782;top:14858;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v:shape>
            <v:shape id="AutoShape 93" o:spid="_x0000_s2055" o:spt="100" style="position:absolute;left:1934;top:14858;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v:shape>
          </v:group>
          <w10:wrap type="tight"/>
        </v:group>
      </w:pict>
    </w:r>
    <w:r>
      <w:rPr>
        <w:rFonts w:ascii="Times New Roman"/>
        <w:sz w:val="18"/>
        <w:lang w:val="en-US"/>
      </w:rPr>
      <w:t>Health Sci. Dis: Vol 21 (3) March 2020</w:t>
    </w:r>
  </w:p>
  <w:p>
    <w:pPr>
      <w:pStyle w:val="6"/>
      <w:tabs>
        <w:tab w:val="left" w:pos="3008"/>
      </w:tabs>
      <w:rPr>
        <w:rFonts w:ascii="Times New Roman"/>
        <w:sz w:val="18"/>
        <w:lang w:val="en-US"/>
      </w:rPr>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8"/>
        <w:rFonts w:ascii="Times New Roman"/>
        <w:sz w:val="18"/>
        <w:lang w:val="en-US"/>
      </w:rPr>
      <w:t>www.hsd-fmsb.org</w:t>
    </w:r>
    <w:r>
      <w:rPr>
        <w:rStyle w:val="8"/>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Motifs d’admission pour pathologies cardiovasculaires à l’Hôpital du Mali</w:t>
    </w:r>
    <w:r>
      <w:rPr>
        <w:rFonts w:hint="default" w:ascii="Times New Roman" w:hAnsi="Times New Roman"/>
        <w:sz w:val="20"/>
        <w:lang w:val="fr-FR"/>
      </w:rPr>
      <w:tab/>
    </w:r>
    <w:r>
      <w:rPr>
        <w:rFonts w:ascii="Times New Roman" w:hAnsi="Times New Roman"/>
        <w:sz w:val="20"/>
      </w:rPr>
      <w:tab/>
    </w:r>
    <w:r>
      <w:rPr>
        <w:rFonts w:ascii="Times New Roman" w:hAnsi="Times New Roman"/>
        <w:sz w:val="20"/>
      </w:rPr>
      <w:tab/>
    </w:r>
    <w:r>
      <w:rPr>
        <w:rFonts w:hint="default" w:ascii="Times New Roman" w:hAnsi="Times New Roman"/>
        <w:sz w:val="20"/>
        <w:lang w:val="fr-FR"/>
      </w:rPr>
      <w:tab/>
    </w:r>
    <w:r>
      <w:rPr>
        <w:rFonts w:ascii="Times New Roman" w:hAnsi="Times New Roman"/>
        <w:sz w:val="20"/>
      </w:rPr>
      <w:t xml:space="preserve">   </w:t>
    </w:r>
    <w:r>
      <w:rPr>
        <w:rFonts w:hint="default" w:ascii="Times New Roman" w:hAnsi="Times New Roman"/>
        <w:i/>
        <w:sz w:val="20"/>
        <w:lang w:val="fr-FR"/>
      </w:rPr>
      <w:t>Konaté M</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25496F"/>
    <w:rsid w:val="00006A3C"/>
    <w:rsid w:val="00007EDA"/>
    <w:rsid w:val="00015C6D"/>
    <w:rsid w:val="000162B8"/>
    <w:rsid w:val="000208B4"/>
    <w:rsid w:val="00026F4B"/>
    <w:rsid w:val="0002734E"/>
    <w:rsid w:val="00033B9E"/>
    <w:rsid w:val="000346C1"/>
    <w:rsid w:val="00045894"/>
    <w:rsid w:val="00056CB4"/>
    <w:rsid w:val="00071455"/>
    <w:rsid w:val="00074FDD"/>
    <w:rsid w:val="00095A6D"/>
    <w:rsid w:val="000A19CB"/>
    <w:rsid w:val="000A2970"/>
    <w:rsid w:val="000A5EB0"/>
    <w:rsid w:val="000A7874"/>
    <w:rsid w:val="000B138F"/>
    <w:rsid w:val="000C21DF"/>
    <w:rsid w:val="000C764D"/>
    <w:rsid w:val="000D3760"/>
    <w:rsid w:val="000E6C7B"/>
    <w:rsid w:val="000F3AC1"/>
    <w:rsid w:val="00100023"/>
    <w:rsid w:val="00102593"/>
    <w:rsid w:val="00112CB3"/>
    <w:rsid w:val="00121D1A"/>
    <w:rsid w:val="00124A0F"/>
    <w:rsid w:val="00126C0A"/>
    <w:rsid w:val="00130AB6"/>
    <w:rsid w:val="001361DB"/>
    <w:rsid w:val="0014363A"/>
    <w:rsid w:val="00146623"/>
    <w:rsid w:val="00174F94"/>
    <w:rsid w:val="00197279"/>
    <w:rsid w:val="001A214A"/>
    <w:rsid w:val="001A6575"/>
    <w:rsid w:val="001B22E6"/>
    <w:rsid w:val="001B5035"/>
    <w:rsid w:val="001C522F"/>
    <w:rsid w:val="001C6C1D"/>
    <w:rsid w:val="001E1E88"/>
    <w:rsid w:val="001F13F7"/>
    <w:rsid w:val="001F1DCA"/>
    <w:rsid w:val="00221A0C"/>
    <w:rsid w:val="00222E6C"/>
    <w:rsid w:val="00223244"/>
    <w:rsid w:val="002261FF"/>
    <w:rsid w:val="002344CB"/>
    <w:rsid w:val="00242016"/>
    <w:rsid w:val="0024652A"/>
    <w:rsid w:val="0025496F"/>
    <w:rsid w:val="0025621F"/>
    <w:rsid w:val="002618BA"/>
    <w:rsid w:val="00283874"/>
    <w:rsid w:val="00283FD0"/>
    <w:rsid w:val="002909BD"/>
    <w:rsid w:val="002946B4"/>
    <w:rsid w:val="002C560F"/>
    <w:rsid w:val="002D317E"/>
    <w:rsid w:val="002D38B3"/>
    <w:rsid w:val="002D696B"/>
    <w:rsid w:val="002E1302"/>
    <w:rsid w:val="002F03FE"/>
    <w:rsid w:val="002F7C6D"/>
    <w:rsid w:val="003009B2"/>
    <w:rsid w:val="003022ED"/>
    <w:rsid w:val="00302B08"/>
    <w:rsid w:val="0030417A"/>
    <w:rsid w:val="003135B9"/>
    <w:rsid w:val="0031521B"/>
    <w:rsid w:val="0031746C"/>
    <w:rsid w:val="003303C0"/>
    <w:rsid w:val="00337F53"/>
    <w:rsid w:val="00345C3C"/>
    <w:rsid w:val="00360B0E"/>
    <w:rsid w:val="00361EE7"/>
    <w:rsid w:val="00363722"/>
    <w:rsid w:val="003723F2"/>
    <w:rsid w:val="00376BF2"/>
    <w:rsid w:val="00377E21"/>
    <w:rsid w:val="00391636"/>
    <w:rsid w:val="00397EB3"/>
    <w:rsid w:val="003B3C44"/>
    <w:rsid w:val="003D4121"/>
    <w:rsid w:val="003D6A71"/>
    <w:rsid w:val="003E1026"/>
    <w:rsid w:val="003E4EE7"/>
    <w:rsid w:val="003E6288"/>
    <w:rsid w:val="003E7622"/>
    <w:rsid w:val="003F5BE2"/>
    <w:rsid w:val="0040480F"/>
    <w:rsid w:val="004146CE"/>
    <w:rsid w:val="00423FBB"/>
    <w:rsid w:val="0042716E"/>
    <w:rsid w:val="004326B3"/>
    <w:rsid w:val="004328A7"/>
    <w:rsid w:val="00436566"/>
    <w:rsid w:val="00455506"/>
    <w:rsid w:val="0046043B"/>
    <w:rsid w:val="00474546"/>
    <w:rsid w:val="00492FAA"/>
    <w:rsid w:val="0049492C"/>
    <w:rsid w:val="004A0FAC"/>
    <w:rsid w:val="004A3429"/>
    <w:rsid w:val="004A6C68"/>
    <w:rsid w:val="004C7163"/>
    <w:rsid w:val="004D1189"/>
    <w:rsid w:val="004D314A"/>
    <w:rsid w:val="004E5270"/>
    <w:rsid w:val="004F0319"/>
    <w:rsid w:val="004F0B16"/>
    <w:rsid w:val="004F3056"/>
    <w:rsid w:val="0051541A"/>
    <w:rsid w:val="00520C65"/>
    <w:rsid w:val="00531F0E"/>
    <w:rsid w:val="005343FA"/>
    <w:rsid w:val="005363BB"/>
    <w:rsid w:val="00540FCA"/>
    <w:rsid w:val="005666FF"/>
    <w:rsid w:val="00566D34"/>
    <w:rsid w:val="0056742F"/>
    <w:rsid w:val="00577999"/>
    <w:rsid w:val="00581727"/>
    <w:rsid w:val="005B6B2D"/>
    <w:rsid w:val="005C4F85"/>
    <w:rsid w:val="005C59A2"/>
    <w:rsid w:val="005E15EF"/>
    <w:rsid w:val="005E2063"/>
    <w:rsid w:val="005F17EF"/>
    <w:rsid w:val="005F5992"/>
    <w:rsid w:val="005F6213"/>
    <w:rsid w:val="00601D53"/>
    <w:rsid w:val="00603281"/>
    <w:rsid w:val="00604BA5"/>
    <w:rsid w:val="0060647E"/>
    <w:rsid w:val="00606ED8"/>
    <w:rsid w:val="006075A4"/>
    <w:rsid w:val="006131CB"/>
    <w:rsid w:val="00613492"/>
    <w:rsid w:val="006171D7"/>
    <w:rsid w:val="00621934"/>
    <w:rsid w:val="00625270"/>
    <w:rsid w:val="00632D89"/>
    <w:rsid w:val="006353C9"/>
    <w:rsid w:val="00640005"/>
    <w:rsid w:val="006444CB"/>
    <w:rsid w:val="0064489E"/>
    <w:rsid w:val="00646386"/>
    <w:rsid w:val="006514B8"/>
    <w:rsid w:val="00652ABC"/>
    <w:rsid w:val="00665F0F"/>
    <w:rsid w:val="00671302"/>
    <w:rsid w:val="00671979"/>
    <w:rsid w:val="0068602F"/>
    <w:rsid w:val="00694CF0"/>
    <w:rsid w:val="00696E1B"/>
    <w:rsid w:val="006B22C1"/>
    <w:rsid w:val="006E0EB5"/>
    <w:rsid w:val="006F0F6B"/>
    <w:rsid w:val="00703820"/>
    <w:rsid w:val="007104C4"/>
    <w:rsid w:val="00711C6E"/>
    <w:rsid w:val="00723421"/>
    <w:rsid w:val="00745121"/>
    <w:rsid w:val="00747644"/>
    <w:rsid w:val="00751204"/>
    <w:rsid w:val="00752F64"/>
    <w:rsid w:val="007A0A6D"/>
    <w:rsid w:val="007B3C5C"/>
    <w:rsid w:val="007B7841"/>
    <w:rsid w:val="007C2618"/>
    <w:rsid w:val="007D09EA"/>
    <w:rsid w:val="007D0F54"/>
    <w:rsid w:val="007D1811"/>
    <w:rsid w:val="007D1FC0"/>
    <w:rsid w:val="007E1063"/>
    <w:rsid w:val="007E21EA"/>
    <w:rsid w:val="007E30B4"/>
    <w:rsid w:val="007F6239"/>
    <w:rsid w:val="007F7809"/>
    <w:rsid w:val="008161C2"/>
    <w:rsid w:val="00817980"/>
    <w:rsid w:val="00837273"/>
    <w:rsid w:val="0085204F"/>
    <w:rsid w:val="00855A96"/>
    <w:rsid w:val="008607F1"/>
    <w:rsid w:val="00860F15"/>
    <w:rsid w:val="008720EC"/>
    <w:rsid w:val="00881658"/>
    <w:rsid w:val="0089314C"/>
    <w:rsid w:val="008A1A0D"/>
    <w:rsid w:val="008A2F34"/>
    <w:rsid w:val="008A4B5D"/>
    <w:rsid w:val="008E2753"/>
    <w:rsid w:val="008F66F0"/>
    <w:rsid w:val="0090159E"/>
    <w:rsid w:val="00906597"/>
    <w:rsid w:val="00916946"/>
    <w:rsid w:val="00917F96"/>
    <w:rsid w:val="00922275"/>
    <w:rsid w:val="00925B33"/>
    <w:rsid w:val="00925C7C"/>
    <w:rsid w:val="00934A81"/>
    <w:rsid w:val="00937F30"/>
    <w:rsid w:val="00954FD6"/>
    <w:rsid w:val="0099007F"/>
    <w:rsid w:val="00991D6D"/>
    <w:rsid w:val="00994937"/>
    <w:rsid w:val="009A3756"/>
    <w:rsid w:val="009C0857"/>
    <w:rsid w:val="009E2BA4"/>
    <w:rsid w:val="009E5D03"/>
    <w:rsid w:val="009E78ED"/>
    <w:rsid w:val="00A05AD0"/>
    <w:rsid w:val="00A05D61"/>
    <w:rsid w:val="00A1792D"/>
    <w:rsid w:val="00A205DA"/>
    <w:rsid w:val="00A23C83"/>
    <w:rsid w:val="00A34C0C"/>
    <w:rsid w:val="00A36D56"/>
    <w:rsid w:val="00A37F7D"/>
    <w:rsid w:val="00A41876"/>
    <w:rsid w:val="00A533A4"/>
    <w:rsid w:val="00A553FC"/>
    <w:rsid w:val="00A651DC"/>
    <w:rsid w:val="00A6556D"/>
    <w:rsid w:val="00A81D3F"/>
    <w:rsid w:val="00A84779"/>
    <w:rsid w:val="00A877D3"/>
    <w:rsid w:val="00AA143C"/>
    <w:rsid w:val="00AA2460"/>
    <w:rsid w:val="00AB3A28"/>
    <w:rsid w:val="00AC23AD"/>
    <w:rsid w:val="00AC5C6C"/>
    <w:rsid w:val="00AE12F9"/>
    <w:rsid w:val="00AE6AE4"/>
    <w:rsid w:val="00AF0E61"/>
    <w:rsid w:val="00AF419D"/>
    <w:rsid w:val="00AF5241"/>
    <w:rsid w:val="00AF7D27"/>
    <w:rsid w:val="00B06911"/>
    <w:rsid w:val="00B11812"/>
    <w:rsid w:val="00B152C1"/>
    <w:rsid w:val="00B41F89"/>
    <w:rsid w:val="00B441F6"/>
    <w:rsid w:val="00B658C9"/>
    <w:rsid w:val="00B748E6"/>
    <w:rsid w:val="00B74D2D"/>
    <w:rsid w:val="00B853C9"/>
    <w:rsid w:val="00B97DF5"/>
    <w:rsid w:val="00BA079C"/>
    <w:rsid w:val="00BD1DCF"/>
    <w:rsid w:val="00BF6707"/>
    <w:rsid w:val="00C06AF4"/>
    <w:rsid w:val="00C076E7"/>
    <w:rsid w:val="00C14204"/>
    <w:rsid w:val="00C1663A"/>
    <w:rsid w:val="00C34AA9"/>
    <w:rsid w:val="00C424D0"/>
    <w:rsid w:val="00C513E4"/>
    <w:rsid w:val="00C57331"/>
    <w:rsid w:val="00C60A3E"/>
    <w:rsid w:val="00C65D09"/>
    <w:rsid w:val="00C75D4C"/>
    <w:rsid w:val="00C7710E"/>
    <w:rsid w:val="00C81653"/>
    <w:rsid w:val="00C90747"/>
    <w:rsid w:val="00C955F5"/>
    <w:rsid w:val="00CA5249"/>
    <w:rsid w:val="00CB6799"/>
    <w:rsid w:val="00CC3CF1"/>
    <w:rsid w:val="00CD309D"/>
    <w:rsid w:val="00CD7DE2"/>
    <w:rsid w:val="00CE0FDD"/>
    <w:rsid w:val="00CE1750"/>
    <w:rsid w:val="00CF4228"/>
    <w:rsid w:val="00D019E0"/>
    <w:rsid w:val="00D0431B"/>
    <w:rsid w:val="00D0481F"/>
    <w:rsid w:val="00D1600F"/>
    <w:rsid w:val="00D22934"/>
    <w:rsid w:val="00D378B8"/>
    <w:rsid w:val="00D61D85"/>
    <w:rsid w:val="00D85BC4"/>
    <w:rsid w:val="00DA0996"/>
    <w:rsid w:val="00DA5145"/>
    <w:rsid w:val="00DB7913"/>
    <w:rsid w:val="00DD1D50"/>
    <w:rsid w:val="00DD217E"/>
    <w:rsid w:val="00DE0648"/>
    <w:rsid w:val="00DE2DE4"/>
    <w:rsid w:val="00DE4545"/>
    <w:rsid w:val="00DF07DB"/>
    <w:rsid w:val="00DF13C4"/>
    <w:rsid w:val="00DF5721"/>
    <w:rsid w:val="00E03043"/>
    <w:rsid w:val="00E063DD"/>
    <w:rsid w:val="00E06DB2"/>
    <w:rsid w:val="00E20F62"/>
    <w:rsid w:val="00E22C36"/>
    <w:rsid w:val="00E26154"/>
    <w:rsid w:val="00E37B92"/>
    <w:rsid w:val="00E50D9D"/>
    <w:rsid w:val="00E51551"/>
    <w:rsid w:val="00E729CA"/>
    <w:rsid w:val="00EA77C5"/>
    <w:rsid w:val="00EB35C6"/>
    <w:rsid w:val="00EB7A54"/>
    <w:rsid w:val="00EC256E"/>
    <w:rsid w:val="00EC397F"/>
    <w:rsid w:val="00ED0E06"/>
    <w:rsid w:val="00EE23D6"/>
    <w:rsid w:val="00EE52CA"/>
    <w:rsid w:val="00F06633"/>
    <w:rsid w:val="00F20637"/>
    <w:rsid w:val="00F22A9F"/>
    <w:rsid w:val="00F24172"/>
    <w:rsid w:val="00F247D9"/>
    <w:rsid w:val="00F26C4C"/>
    <w:rsid w:val="00F37C8F"/>
    <w:rsid w:val="00F51568"/>
    <w:rsid w:val="00F54EFC"/>
    <w:rsid w:val="00F708E4"/>
    <w:rsid w:val="00F85CE1"/>
    <w:rsid w:val="00F863CD"/>
    <w:rsid w:val="00F90B08"/>
    <w:rsid w:val="00F9401E"/>
    <w:rsid w:val="00FA3E29"/>
    <w:rsid w:val="00FB1A39"/>
    <w:rsid w:val="00FB6AD1"/>
    <w:rsid w:val="00FC410A"/>
    <w:rsid w:val="00FC6B1F"/>
    <w:rsid w:val="00FE241B"/>
    <w:rsid w:val="00FE41AB"/>
    <w:rsid w:val="00FE6849"/>
    <w:rsid w:val="00FF4983"/>
    <w:rsid w:val="059013A3"/>
    <w:rsid w:val="0C414128"/>
    <w:rsid w:val="15F60C94"/>
    <w:rsid w:val="22E26EC4"/>
    <w:rsid w:val="291457A8"/>
    <w:rsid w:val="32FF7ADE"/>
    <w:rsid w:val="3572119A"/>
    <w:rsid w:val="3AC723F1"/>
    <w:rsid w:val="7F440A8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semiHidden/>
    <w:unhideWhenUsed/>
    <w:qFormat/>
    <w:uiPriority w:val="99"/>
    <w:rPr>
      <w:b/>
      <w:bCs/>
    </w:rPr>
  </w:style>
  <w:style w:type="paragraph" w:styleId="3">
    <w:name w:val="annotation text"/>
    <w:basedOn w:val="1"/>
    <w:link w:val="11"/>
    <w:semiHidden/>
    <w:unhideWhenUsed/>
    <w:uiPriority w:val="99"/>
    <w:pPr>
      <w:spacing w:line="240" w:lineRule="auto"/>
    </w:pPr>
    <w:rPr>
      <w:sz w:val="20"/>
      <w:szCs w:val="20"/>
    </w:rPr>
  </w:style>
  <w:style w:type="paragraph" w:styleId="4">
    <w:name w:val="Balloon Text"/>
    <w:basedOn w:val="1"/>
    <w:link w:val="13"/>
    <w:semiHidden/>
    <w:unhideWhenUsed/>
    <w:qFormat/>
    <w:uiPriority w:val="99"/>
    <w:pPr>
      <w:spacing w:after="0" w:line="240" w:lineRule="auto"/>
    </w:pPr>
    <w:rPr>
      <w:rFonts w:ascii="Segoe UI" w:hAnsi="Segoe UI" w:cs="Segoe UI"/>
      <w:sz w:val="18"/>
      <w:szCs w:val="18"/>
    </w:rPr>
  </w:style>
  <w:style w:type="paragraph" w:styleId="5">
    <w:name w:val="Normal (Web)"/>
    <w:basedOn w:val="1"/>
    <w:unhideWhenUsed/>
    <w:qFormat/>
    <w:uiPriority w:val="99"/>
    <w:rPr>
      <w:rFonts w:ascii="Times New Roman" w:hAnsi="Times New Roman" w:cs="Times New Roman"/>
      <w:sz w:val="24"/>
      <w:szCs w:val="24"/>
    </w:rPr>
  </w:style>
  <w:style w:type="paragraph" w:styleId="6">
    <w:name w:val="footer"/>
    <w:basedOn w:val="1"/>
    <w:unhideWhenUsed/>
    <w:qFormat/>
    <w:uiPriority w:val="99"/>
    <w:pPr>
      <w:tabs>
        <w:tab w:val="center" w:pos="4536"/>
        <w:tab w:val="right" w:pos="9072"/>
      </w:tabs>
      <w:spacing w:after="0" w:line="240" w:lineRule="auto"/>
    </w:pPr>
  </w:style>
  <w:style w:type="character" w:styleId="8">
    <w:name w:val="Hyperlink"/>
    <w:basedOn w:val="7"/>
    <w:unhideWhenUsed/>
    <w:qFormat/>
    <w:uiPriority w:val="99"/>
    <w:rPr>
      <w:color w:val="0000FF" w:themeColor="hyperlink"/>
      <w:u w:val="single"/>
    </w:rPr>
  </w:style>
  <w:style w:type="character" w:styleId="9">
    <w:name w:val="annotation reference"/>
    <w:basedOn w:val="7"/>
    <w:semiHidden/>
    <w:unhideWhenUsed/>
    <w:qFormat/>
    <w:uiPriority w:val="99"/>
    <w:rPr>
      <w:sz w:val="16"/>
      <w:szCs w:val="16"/>
    </w:rPr>
  </w:style>
  <w:style w:type="character" w:customStyle="1" w:styleId="11">
    <w:name w:val="Commentaire Car"/>
    <w:basedOn w:val="7"/>
    <w:link w:val="3"/>
    <w:semiHidden/>
    <w:qFormat/>
    <w:uiPriority w:val="99"/>
    <w:rPr>
      <w:sz w:val="20"/>
      <w:szCs w:val="20"/>
    </w:rPr>
  </w:style>
  <w:style w:type="character" w:customStyle="1" w:styleId="12">
    <w:name w:val="Objet du commentaire Car"/>
    <w:basedOn w:val="11"/>
    <w:link w:val="2"/>
    <w:semiHidden/>
    <w:qFormat/>
    <w:uiPriority w:val="99"/>
    <w:rPr>
      <w:b/>
      <w:bCs/>
      <w:sz w:val="20"/>
      <w:szCs w:val="20"/>
    </w:rPr>
  </w:style>
  <w:style w:type="character" w:customStyle="1" w:styleId="13">
    <w:name w:val="Texte de bulles Car"/>
    <w:basedOn w:val="7"/>
    <w:link w:val="4"/>
    <w:semiHidden/>
    <w:qFormat/>
    <w:uiPriority w:val="99"/>
    <w:rPr>
      <w:rFonts w:ascii="Segoe UI" w:hAnsi="Segoe UI" w:cs="Segoe UI"/>
      <w:sz w:val="18"/>
      <w:szCs w:val="18"/>
    </w:rPr>
  </w:style>
  <w:style w:type="table" w:styleId="14">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Bibliography"/>
    <w:basedOn w:val="1"/>
    <w:next w:val="1"/>
    <w:unhideWhenUsed/>
    <w:qFormat/>
    <w:uiPriority w:val="37"/>
    <w:pPr>
      <w:tabs>
        <w:tab w:val="left" w:pos="384"/>
      </w:tabs>
      <w:spacing w:after="240" w:line="240" w:lineRule="auto"/>
      <w:ind w:left="384" w:hanging="384"/>
    </w:pPr>
  </w:style>
  <w:style w:type="paragraph" w:customStyle="1" w:styleId="16">
    <w:name w:val="Revision"/>
    <w:hidden/>
    <w:semiHidden/>
    <w:qFormat/>
    <w:uiPriority w:val="99"/>
    <w:pPr>
      <w:spacing w:after="0" w:line="240" w:lineRule="auto"/>
    </w:pPr>
    <w:rPr>
      <w:rFonts w:asciiTheme="minorHAnsi" w:hAnsiTheme="minorHAnsi" w:eastAsiaTheme="minorHAnsi" w:cstheme="minorBidi"/>
      <w:sz w:val="22"/>
      <w:szCs w:val="22"/>
      <w:lang w:val="fr-FR" w:eastAsia="en-US" w:bidi="ar-SA"/>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10432</Words>
  <Characters>57382</Characters>
  <Lines>478</Lines>
  <Paragraphs>135</Paragraphs>
  <TotalTime>2</TotalTime>
  <ScaleCrop>false</ScaleCrop>
  <LinksUpToDate>false</LinksUpToDate>
  <CharactersWithSpaces>67679</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2019-12-26T14:20:00Z</dcterms:created>
  <dc:creator>massama</dc:creator>
  <cp:lastModifiedBy>user</cp:lastModifiedBy>
  <dcterms:modified xsi:type="dcterms:W3CDTF">2020-03-11T05:15:00Z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id="TO1RNWLG"/&gt;&lt;style id="http://www.zotero.org/styles/vancouver" locale="fr-FR"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value=""/&gt;&lt;/prefs&gt;&lt;/data&gt;</vt:lpwstr>
  </property>
  <property fmtid="{D5CDD505-2E9C-101B-9397-08002B2CF9AE}" pid="4" name="KSOProductBuildVer">
    <vt:lpwstr>1036-11.2.0.8970</vt:lpwstr>
  </property>
</Properties>
</file>