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03540F" w:rsidRPr="0003540F" w:rsidRDefault="005514C3" w:rsidP="0003540F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03540F" w:rsidRPr="0003540F">
        <w:rPr>
          <w:rFonts w:ascii="Arial Narrow" w:hAnsi="Arial Narrow"/>
          <w:b/>
          <w:bCs/>
        </w:rPr>
        <w:t>Manifestations buccales et bucco-génitales des aphtes à l’Hôpital National de Niamey (</w:t>
      </w:r>
      <w:proofErr w:type="spellStart"/>
      <w:r w:rsidR="0003540F" w:rsidRPr="0003540F">
        <w:rPr>
          <w:rFonts w:ascii="Arial Narrow" w:hAnsi="Arial Narrow"/>
          <w:b/>
          <w:bCs/>
        </w:rPr>
        <w:t>HNN</w:t>
      </w:r>
      <w:proofErr w:type="spellEnd"/>
      <w:r w:rsidR="0003540F" w:rsidRPr="0003540F">
        <w:rPr>
          <w:rFonts w:ascii="Arial Narrow" w:hAnsi="Arial Narrow"/>
          <w:b/>
          <w:bCs/>
        </w:rPr>
        <w:t xml:space="preserve">) à </w:t>
      </w:r>
      <w:r w:rsidR="0003540F" w:rsidRPr="0003540F">
        <w:rPr>
          <w:rFonts w:ascii="Arial Narrow" w:hAnsi="Arial Narrow"/>
          <w:b/>
          <w:bCs/>
          <w:lang w:val="pt-PT"/>
        </w:rPr>
        <w:t>propos de 34 cas.</w:t>
      </w:r>
    </w:p>
    <w:p w:rsidR="00EE58BE" w:rsidRDefault="00EE58BE" w:rsidP="0003540F">
      <w:pPr>
        <w:tabs>
          <w:tab w:val="left" w:pos="1174"/>
        </w:tabs>
        <w:jc w:val="both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proofErr w:type="spellStart"/>
      <w:r w:rsidR="0003540F" w:rsidRPr="0003540F">
        <w:rPr>
          <w:rFonts w:ascii="Times New Roman" w:hAnsi="Times New Roman"/>
          <w:sz w:val="20"/>
          <w:szCs w:val="20"/>
          <w:lang w:val="en-US"/>
        </w:rPr>
        <w:t>MOUSSA</w:t>
      </w:r>
      <w:proofErr w:type="spellEnd"/>
      <w:r w:rsidR="0003540F" w:rsidRPr="0003540F">
        <w:rPr>
          <w:rFonts w:ascii="Times New Roman" w:hAnsi="Times New Roman"/>
          <w:sz w:val="20"/>
          <w:szCs w:val="20"/>
          <w:lang w:val="en-US"/>
        </w:rPr>
        <w:t>. M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453C5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453C54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17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453C5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453C54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Absent</w:t>
            </w: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453C5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453C5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453C5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453C5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453C5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453C5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0E01A9" w:rsidRPr="00886853" w:rsidRDefault="00453C54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de numéro de téléphone, ni de prénom</w:t>
            </w: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453C54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453C54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E920E8" w:rsidRPr="00886853" w:rsidRDefault="00453C54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296 mots, </w:t>
            </w:r>
            <w:r w:rsidR="00357E6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acceptable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357E6B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357E6B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357E6B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357E6B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357E6B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357E6B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266 mots, acceptable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357E6B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357E6B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357E6B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357E6B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357E6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357E6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357E6B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1453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357E6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357E6B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86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357E6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57E6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357E6B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357E6B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57E6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2147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12147F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12147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12147F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184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12147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12147F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Prospective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12147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12147F" w:rsidP="0012147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2147F"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  <w:t>unités d’odontostomatologie, d’ophtalmologie et de dermatologie de l’hôpital national de Niamey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2147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12147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12147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12147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12147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12147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12147F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12147F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12147F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12147F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12147F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12147F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12147F" w:rsidP="004D4AD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421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383524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12147F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Pas de diagramme de flux ; 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38352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38352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38352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38352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38352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E27B4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383524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8352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83524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2 tableaux et 5 figures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8352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8352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83524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Les photos oui mais le diagramme non 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8352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38352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383524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656 mots et 103 pour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E27B4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E27B4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E27B4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E27B4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E27B4F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E27B4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E27B4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E27B4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E27B4F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E27B4F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E27B4F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E27B4F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E27B4F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E27B4F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E27B4F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Insertion manuelle</w:t>
            </w: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E27B4F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E27B4F" w:rsidP="00E27B4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11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E27B4F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E27B4F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E27B4F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E27B4F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Dentistes</w:t>
            </w:r>
            <w:r w:rsidR="004941C1">
              <w:rPr>
                <w:rFonts w:ascii="Arial Narrow" w:hAnsi="Arial Narrow"/>
                <w:sz w:val="20"/>
              </w:rPr>
              <w:t>, dermato-</w:t>
            </w:r>
            <w:r w:rsidR="00932B27">
              <w:rPr>
                <w:rFonts w:ascii="Arial Narrow" w:hAnsi="Arial Narrow"/>
                <w:sz w:val="20"/>
              </w:rPr>
              <w:t>vénérologues</w:t>
            </w:r>
            <w:r w:rsidR="004941C1">
              <w:rPr>
                <w:rFonts w:ascii="Arial Narrow" w:hAnsi="Arial Narrow"/>
                <w:sz w:val="20"/>
              </w:rPr>
              <w:t xml:space="preserve">, 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750105" w:rsidP="00750105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Default="004941C1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Corriger les fautes d’orthographe et de grammaire</w:t>
            </w:r>
          </w:p>
          <w:p w:rsidR="004941C1" w:rsidRDefault="004941C1" w:rsidP="004941C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Étoffer </w:t>
            </w:r>
            <w:r w:rsidR="00932B27">
              <w:rPr>
                <w:rFonts w:ascii="Arial Narrow" w:hAnsi="Arial Narrow"/>
                <w:sz w:val="20"/>
              </w:rPr>
              <w:t>le paragraphe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932B27">
              <w:rPr>
                <w:rFonts w:ascii="Arial Narrow" w:hAnsi="Arial Narrow"/>
                <w:sz w:val="20"/>
              </w:rPr>
              <w:t>matériel</w:t>
            </w:r>
            <w:r>
              <w:rPr>
                <w:rFonts w:ascii="Arial Narrow" w:hAnsi="Arial Narrow"/>
                <w:sz w:val="20"/>
              </w:rPr>
              <w:t xml:space="preserve"> et méthodes</w:t>
            </w:r>
          </w:p>
          <w:p w:rsidR="004941C1" w:rsidRDefault="004941C1" w:rsidP="004941C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Refaire le tableau 1</w:t>
            </w:r>
          </w:p>
          <w:p w:rsidR="004941C1" w:rsidRPr="00252502" w:rsidRDefault="004941C1" w:rsidP="004941C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Supprimer le tableau 2 (Tableau à 2 entrées)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1C1" w:rsidRPr="00932B27" w:rsidRDefault="004941C1" w:rsidP="004941C1">
    <w:pPr>
      <w:pStyle w:val="Pieddepage"/>
      <w:tabs>
        <w:tab w:val="left" w:pos="4140"/>
      </w:tabs>
      <w:rPr>
        <w:rFonts w:ascii="Times New Roman"/>
        <w:sz w:val="18"/>
        <w:lang w:val="en-US"/>
      </w:rPr>
    </w:pPr>
    <w:r w:rsidRPr="00932B27">
      <w:rPr>
        <w:rFonts w:ascii="Times New Roman"/>
        <w:sz w:val="18"/>
        <w:lang w:val="en-US"/>
      </w:rPr>
      <w:t>Health Sci. Dis: Vol 21 (9) September 2020</w:t>
    </w:r>
  </w:p>
  <w:p w:rsidR="00E8152A" w:rsidRPr="00375CE1" w:rsidRDefault="00E03785" w:rsidP="00375CE1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E03785">
      <w:rPr>
        <w:rFonts w:ascii="Times New Roman"/>
        <w:noProof/>
        <w:sz w:val="18"/>
        <w:lang w:val="en-US"/>
      </w:rPr>
      <w:pict>
        <v:group id="Groupe 87" o:spid="_x0000_s4105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06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07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08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375CE1" w:rsidRPr="003838C4" w:rsidRDefault="00E03785" w:rsidP="00375CE1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E03785">
                    <w:fldChar w:fldCharType="begin"/>
                  </w:r>
                  <w:r w:rsidR="00375CE1">
                    <w:instrText>PAGE   \* MERGEFORMAT</w:instrText>
                  </w:r>
                  <w:r w:rsidRPr="00E03785">
                    <w:fldChar w:fldCharType="separate"/>
                  </w:r>
                  <w:r w:rsidR="00932B27" w:rsidRPr="00932B27">
                    <w:rPr>
                      <w:noProof/>
                      <w:color w:val="17365D"/>
                      <w:sz w:val="16"/>
                      <w:szCs w:val="16"/>
                    </w:rPr>
                    <w:t>1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09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375CE1" w:rsidRPr="009E549D">
      <w:rPr>
        <w:rFonts w:ascii="Times New Roman"/>
        <w:sz w:val="18"/>
        <w:lang w:val="en-US"/>
      </w:rPr>
      <w:t xml:space="preserve">Available free at </w:t>
    </w:r>
    <w:hyperlink r:id="rId1" w:history="1">
      <w:r w:rsidR="00375CE1" w:rsidRPr="009E549D">
        <w:rPr>
          <w:rStyle w:val="Lienhypertexte"/>
          <w:rFonts w:ascii="Times New Roman"/>
          <w:sz w:val="18"/>
          <w:lang w:val="en-US"/>
        </w:rPr>
        <w:t>www.hsd-fmsb.org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2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3540F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147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57E6B"/>
    <w:rsid w:val="0036376B"/>
    <w:rsid w:val="003675B2"/>
    <w:rsid w:val="00371CE4"/>
    <w:rsid w:val="00375CE1"/>
    <w:rsid w:val="0037785D"/>
    <w:rsid w:val="00381D8C"/>
    <w:rsid w:val="00383524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65A4"/>
    <w:rsid w:val="003B6C3F"/>
    <w:rsid w:val="003C1B43"/>
    <w:rsid w:val="003C39A4"/>
    <w:rsid w:val="003C4274"/>
    <w:rsid w:val="003C433E"/>
    <w:rsid w:val="003D11FE"/>
    <w:rsid w:val="003D244D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53C54"/>
    <w:rsid w:val="0046005F"/>
    <w:rsid w:val="004609D3"/>
    <w:rsid w:val="0046565D"/>
    <w:rsid w:val="00470A7E"/>
    <w:rsid w:val="0047575B"/>
    <w:rsid w:val="00484FF5"/>
    <w:rsid w:val="00486467"/>
    <w:rsid w:val="004941C1"/>
    <w:rsid w:val="004A17D7"/>
    <w:rsid w:val="004B196A"/>
    <w:rsid w:val="004C35DF"/>
    <w:rsid w:val="004C6986"/>
    <w:rsid w:val="004D17C6"/>
    <w:rsid w:val="004D1B01"/>
    <w:rsid w:val="004D4AD6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5659"/>
    <w:rsid w:val="007E7175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2B27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3785"/>
    <w:rsid w:val="00E069A1"/>
    <w:rsid w:val="00E2070D"/>
    <w:rsid w:val="00E27B4F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E58BE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1024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4</cp:revision>
  <cp:lastPrinted>2013-06-15T13:34:00Z</cp:lastPrinted>
  <dcterms:created xsi:type="dcterms:W3CDTF">2020-08-24T15:25:00Z</dcterms:created>
  <dcterms:modified xsi:type="dcterms:W3CDTF">2020-08-24T16:00:00Z</dcterms:modified>
</cp:coreProperties>
</file>