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DE6B88" w:rsidRPr="00DE6B88" w:rsidRDefault="005514C3" w:rsidP="00DE6B88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DE6B88" w:rsidRPr="00DE6B88">
        <w:rPr>
          <w:rFonts w:ascii="Arial Narrow" w:hAnsi="Arial Narrow"/>
          <w:b/>
          <w:bCs/>
        </w:rPr>
        <w:t xml:space="preserve">Identification des Composés Bioactifs Pouvant Justifier l’Usage des Feuilles de </w:t>
      </w:r>
      <w:proofErr w:type="spellStart"/>
      <w:r w:rsidR="00DE6B88" w:rsidRPr="00DE6B88">
        <w:rPr>
          <w:rFonts w:ascii="Arial Narrow" w:hAnsi="Arial Narrow"/>
          <w:b/>
          <w:bCs/>
          <w:i/>
        </w:rPr>
        <w:t>Psychotria</w:t>
      </w:r>
      <w:proofErr w:type="spellEnd"/>
      <w:r w:rsidR="00DE6B88" w:rsidRPr="00DE6B88">
        <w:rPr>
          <w:rFonts w:ascii="Arial Narrow" w:hAnsi="Arial Narrow"/>
          <w:b/>
          <w:bCs/>
          <w:i/>
        </w:rPr>
        <w:t xml:space="preserve"> </w:t>
      </w:r>
      <w:proofErr w:type="spellStart"/>
      <w:r w:rsidR="00DE6B88" w:rsidRPr="00DE6B88">
        <w:rPr>
          <w:rFonts w:ascii="Arial Narrow" w:hAnsi="Arial Narrow"/>
          <w:b/>
          <w:bCs/>
          <w:i/>
        </w:rPr>
        <w:t>Calceata</w:t>
      </w:r>
      <w:proofErr w:type="spellEnd"/>
      <w:r w:rsidR="00DE6B88" w:rsidRPr="00DE6B88">
        <w:rPr>
          <w:rFonts w:ascii="Arial Narrow" w:hAnsi="Arial Narrow"/>
          <w:b/>
          <w:bCs/>
        </w:rPr>
        <w:t xml:space="preserve"> en Médecine Traditionnelle au Cameroun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DE6B88" w:rsidRPr="00DE6B88">
        <w:rPr>
          <w:rFonts w:ascii="Times New Roman" w:hAnsi="Times New Roman"/>
          <w:sz w:val="20"/>
          <w:szCs w:val="20"/>
          <w:lang w:val="en-US"/>
        </w:rPr>
        <w:t>Nnanga Nga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DE6B88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0E01A9" w:rsidRPr="00886853" w:rsidRDefault="00DE6B88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Disponible mais peut encore être modifié</w:t>
            </w: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DE6B8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DE6B8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DE6B8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136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DE6B8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DE6B8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DE6B8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DE6B8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E6B8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E6B88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127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E6B8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E6B8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E6B8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DE6B88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E6B88" w:rsidP="00DE6B8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1564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E6B88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300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DE6B88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E6B8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5D79E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5D79EA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5D79EA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D79EA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632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D79EA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Étude expérimentale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D79EA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5D79EA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l’Institut de Recherche Médicale et d’</w:t>
            </w:r>
            <w:proofErr w:type="spellStart"/>
            <w:r w:rsidRPr="005D79EA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>Etude</w:t>
            </w:r>
            <w:proofErr w:type="spellEnd"/>
            <w:r w:rsidRPr="005D79EA"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  <w:t xml:space="preserve"> des Plantes Médicinales (IMPM) du Cameroun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5D79E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5D79E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5D79E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5D79E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5D79E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5D79E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5D79EA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155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5D79E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5D79EA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2 tableaux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D79E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5D79E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33419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356 mots et 57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03341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341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341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341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033419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03341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03341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341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033419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033419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033419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033419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033419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03341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033419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Insertion manuelle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03341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33419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341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3419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033419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033419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Pharmaciens, tradipraticien, 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033419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Approche scientifique d’une médecine empirique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 xml:space="preserve">Health Sci. Dis: </w:t>
    </w:r>
    <w:r w:rsidR="00033419" w:rsidRPr="00033419">
      <w:rPr>
        <w:rFonts w:ascii="Times New Roman"/>
        <w:bCs/>
        <w:sz w:val="18"/>
        <w:lang w:val="en-US"/>
      </w:rPr>
      <w:t>Vol 21 (9) September 2020</w:t>
    </w:r>
  </w:p>
  <w:p w:rsidR="00E8152A" w:rsidRPr="00375CE1" w:rsidRDefault="00F921C8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F921C8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F921C8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921C8">
                    <w:fldChar w:fldCharType="begin"/>
                  </w:r>
                  <w:r w:rsidR="00375CE1">
                    <w:instrText>PAGE   \* MERGEFORMAT</w:instrText>
                  </w:r>
                  <w:r w:rsidRPr="00F921C8">
                    <w:fldChar w:fldCharType="separate"/>
                  </w:r>
                  <w:r w:rsidR="00033419" w:rsidRPr="00033419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419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9EA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2D3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6B88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21C8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2020-08-24T16:59:00Z</dcterms:created>
  <dcterms:modified xsi:type="dcterms:W3CDTF">2020-08-24T17:13:00Z</dcterms:modified>
</cp:coreProperties>
</file>