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25D65" w:rsidRPr="00BE647B" w:rsidRDefault="00425D65" w:rsidP="00425D65">
      <w:pPr>
        <w:spacing w:after="120"/>
        <w:rPr>
          <w:b/>
        </w:rPr>
      </w:pPr>
      <w:r>
        <w:rPr>
          <w:noProof/>
        </w:rPr>
        <w:drawing>
          <wp:anchor distT="0" distB="0" distL="114300" distR="114300" simplePos="0" relativeHeight="251661312" behindDoc="1" locked="0" layoutInCell="1" allowOverlap="1">
            <wp:simplePos x="0" y="0"/>
            <wp:positionH relativeFrom="column">
              <wp:posOffset>-106680</wp:posOffset>
            </wp:positionH>
            <wp:positionV relativeFrom="paragraph">
              <wp:posOffset>-33020</wp:posOffset>
            </wp:positionV>
            <wp:extent cx="6442710" cy="563880"/>
            <wp:effectExtent l="19050" t="0" r="0" b="0"/>
            <wp:wrapTight wrapText="bothSides">
              <wp:wrapPolygon edited="0">
                <wp:start x="-64" y="0"/>
                <wp:lineTo x="-64" y="21162"/>
                <wp:lineTo x="21587" y="21162"/>
                <wp:lineTo x="21587" y="0"/>
                <wp:lineTo x="-64" y="0"/>
              </wp:wrapPolygon>
            </wp:wrapTight>
            <wp:docPr id="3" name="Picture 2" descr="C:\Users\23767\Pictures\bannerhsd56jp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23767\Pictures\bannerhsd56jpg.png"/>
                    <pic:cNvPicPr>
                      <a:picLocks noChangeAspect="1" noChangeArrowheads="1"/>
                    </pic:cNvPicPr>
                  </pic:nvPicPr>
                  <pic:blipFill>
                    <a:blip r:embed="rId7" cstate="print"/>
                    <a:srcRect t="10641" b="4082"/>
                    <a:stretch>
                      <a:fillRect/>
                    </a:stretch>
                  </pic:blipFill>
                  <pic:spPr bwMode="auto">
                    <a:xfrm>
                      <a:off x="0" y="0"/>
                      <a:ext cx="6442710" cy="563880"/>
                    </a:xfrm>
                    <a:prstGeom prst="rect">
                      <a:avLst/>
                    </a:prstGeom>
                    <a:noFill/>
                    <a:ln w="9525">
                      <a:noFill/>
                      <a:miter lim="800000"/>
                      <a:headEnd/>
                      <a:tailEnd/>
                    </a:ln>
                  </pic:spPr>
                </pic:pic>
              </a:graphicData>
            </a:graphic>
          </wp:anchor>
        </w:drawing>
      </w:r>
      <w:r w:rsidRPr="00BE647B">
        <w:rPr>
          <w:b/>
          <w:noProof/>
        </w:rPr>
        <w:t>Article Original</w:t>
      </w:r>
    </w:p>
    <w:p w:rsidR="00425D65" w:rsidRPr="001A0D92" w:rsidRDefault="002E52D3" w:rsidP="002E52D3">
      <w:pPr>
        <w:jc w:val="center"/>
        <w:rPr>
          <w:b/>
          <w:bCs/>
          <w:color w:val="17365D"/>
          <w:spacing w:val="5"/>
          <w:sz w:val="32"/>
          <w:szCs w:val="72"/>
        </w:rPr>
      </w:pPr>
      <w:r w:rsidRPr="002E52D3">
        <w:rPr>
          <w:b/>
          <w:bCs/>
          <w:color w:val="17365D"/>
          <w:spacing w:val="5"/>
          <w:sz w:val="32"/>
          <w:szCs w:val="72"/>
        </w:rPr>
        <w:t xml:space="preserve">Pronostic Materno-Fœtal de l’Éclampsie </w:t>
      </w:r>
      <w:r w:rsidR="00244BDF">
        <w:rPr>
          <w:b/>
          <w:bCs/>
          <w:color w:val="17365D"/>
          <w:spacing w:val="5"/>
          <w:sz w:val="32"/>
          <w:szCs w:val="72"/>
        </w:rPr>
        <w:t>à</w:t>
      </w:r>
      <w:r w:rsidRPr="002E52D3">
        <w:rPr>
          <w:b/>
          <w:bCs/>
          <w:color w:val="17365D"/>
          <w:spacing w:val="5"/>
          <w:sz w:val="32"/>
          <w:szCs w:val="72"/>
        </w:rPr>
        <w:t xml:space="preserve"> l’Hôpital de Deuxième Référence de Ségou au Mali</w:t>
      </w:r>
    </w:p>
    <w:p w:rsidR="00425D65" w:rsidRDefault="002E52D3" w:rsidP="00425D65">
      <w:pPr>
        <w:jc w:val="center"/>
        <w:rPr>
          <w:b/>
          <w:bCs/>
          <w:i/>
          <w:iCs/>
          <w:color w:val="4F81BD"/>
          <w:spacing w:val="15"/>
          <w:lang w:val="en-US" w:bidi="en-US"/>
        </w:rPr>
      </w:pPr>
      <w:r w:rsidRPr="002E52D3">
        <w:rPr>
          <w:b/>
          <w:bCs/>
          <w:i/>
          <w:iCs/>
          <w:color w:val="4F81BD"/>
          <w:spacing w:val="15"/>
          <w:lang w:val="en-US" w:bidi="en-US"/>
        </w:rPr>
        <w:t>Maternal-fetal prognosis of eclampsia at the second Segou reference hospital in Mali</w:t>
      </w:r>
    </w:p>
    <w:p w:rsidR="00425D65" w:rsidRPr="000E18CD" w:rsidRDefault="002E52D3" w:rsidP="002E52D3">
      <w:pPr>
        <w:jc w:val="center"/>
        <w:rPr>
          <w:szCs w:val="20"/>
        </w:rPr>
      </w:pPr>
      <w:r w:rsidRPr="002E52D3">
        <w:rPr>
          <w:szCs w:val="20"/>
        </w:rPr>
        <w:t>Traoré T</w:t>
      </w:r>
      <w:r w:rsidRPr="002E52D3">
        <w:rPr>
          <w:szCs w:val="20"/>
          <w:vertAlign w:val="superscript"/>
        </w:rPr>
        <w:t>1*</w:t>
      </w:r>
      <w:r w:rsidRPr="002E52D3">
        <w:rPr>
          <w:szCs w:val="20"/>
        </w:rPr>
        <w:t xml:space="preserve">, </w:t>
      </w:r>
      <w:r w:rsidRPr="002E52D3">
        <w:rPr>
          <w:iCs/>
          <w:szCs w:val="20"/>
        </w:rPr>
        <w:t>Sylla C</w:t>
      </w:r>
      <w:r w:rsidRPr="002E52D3">
        <w:rPr>
          <w:szCs w:val="20"/>
          <w:vertAlign w:val="superscript"/>
        </w:rPr>
        <w:t>2</w:t>
      </w:r>
      <w:r w:rsidRPr="002E52D3">
        <w:rPr>
          <w:szCs w:val="20"/>
        </w:rPr>
        <w:t>, Sidibé K</w:t>
      </w:r>
      <w:r w:rsidRPr="002E52D3">
        <w:rPr>
          <w:szCs w:val="20"/>
          <w:vertAlign w:val="superscript"/>
        </w:rPr>
        <w:t>1</w:t>
      </w:r>
      <w:r w:rsidRPr="002E52D3">
        <w:rPr>
          <w:szCs w:val="20"/>
        </w:rPr>
        <w:t>, Traoré B</w:t>
      </w:r>
      <w:r w:rsidRPr="002E52D3">
        <w:rPr>
          <w:szCs w:val="20"/>
          <w:vertAlign w:val="superscript"/>
        </w:rPr>
        <w:t>1</w:t>
      </w:r>
      <w:r w:rsidRPr="002E52D3">
        <w:rPr>
          <w:szCs w:val="20"/>
        </w:rPr>
        <w:t>, Guindo S</w:t>
      </w:r>
      <w:r w:rsidRPr="002E52D3">
        <w:rPr>
          <w:szCs w:val="20"/>
          <w:vertAlign w:val="superscript"/>
        </w:rPr>
        <w:t>1</w:t>
      </w:r>
      <w:r w:rsidRPr="002E52D3">
        <w:rPr>
          <w:szCs w:val="20"/>
        </w:rPr>
        <w:t>, Coulibaly A</w:t>
      </w:r>
      <w:r w:rsidRPr="002E52D3">
        <w:rPr>
          <w:szCs w:val="20"/>
          <w:vertAlign w:val="superscript"/>
        </w:rPr>
        <w:t>1</w:t>
      </w:r>
      <w:r w:rsidRPr="002E52D3">
        <w:rPr>
          <w:szCs w:val="20"/>
        </w:rPr>
        <w:t>, Beye SA</w:t>
      </w:r>
      <w:r w:rsidRPr="002E52D3">
        <w:rPr>
          <w:szCs w:val="20"/>
          <w:vertAlign w:val="superscript"/>
        </w:rPr>
        <w:t>1</w:t>
      </w:r>
      <w:r w:rsidRPr="002E52D3">
        <w:rPr>
          <w:szCs w:val="20"/>
        </w:rPr>
        <w:t>, Dao SZ</w:t>
      </w:r>
      <w:r w:rsidRPr="002E52D3">
        <w:rPr>
          <w:szCs w:val="20"/>
          <w:vertAlign w:val="superscript"/>
        </w:rPr>
        <w:t>4</w:t>
      </w:r>
      <w:r w:rsidRPr="002E52D3">
        <w:rPr>
          <w:szCs w:val="20"/>
        </w:rPr>
        <w:t>, Kané F</w:t>
      </w:r>
      <w:r w:rsidRPr="002E52D3">
        <w:rPr>
          <w:szCs w:val="20"/>
          <w:vertAlign w:val="superscript"/>
        </w:rPr>
        <w:t>6</w:t>
      </w:r>
      <w:r w:rsidRPr="002E52D3">
        <w:rPr>
          <w:szCs w:val="20"/>
        </w:rPr>
        <w:t>, Traoré Y</w:t>
      </w:r>
      <w:r w:rsidRPr="002E52D3">
        <w:rPr>
          <w:szCs w:val="20"/>
          <w:vertAlign w:val="superscript"/>
        </w:rPr>
        <w:t>3</w:t>
      </w:r>
      <w:r w:rsidRPr="002E52D3">
        <w:rPr>
          <w:szCs w:val="20"/>
        </w:rPr>
        <w:t xml:space="preserve">, </w:t>
      </w:r>
      <w:r w:rsidRPr="002E52D3">
        <w:rPr>
          <w:iCs/>
          <w:szCs w:val="20"/>
        </w:rPr>
        <w:t>Téguété I</w:t>
      </w:r>
      <w:r w:rsidRPr="002E52D3">
        <w:rPr>
          <w:szCs w:val="20"/>
          <w:vertAlign w:val="superscript"/>
        </w:rPr>
        <w:t>3</w:t>
      </w:r>
      <w:r w:rsidRPr="002E52D3">
        <w:rPr>
          <w:szCs w:val="20"/>
        </w:rPr>
        <w:t>, Touré M</w:t>
      </w:r>
      <w:r w:rsidRPr="002E52D3">
        <w:rPr>
          <w:szCs w:val="20"/>
          <w:vertAlign w:val="superscript"/>
        </w:rPr>
        <w:t>5</w:t>
      </w:r>
    </w:p>
    <w:tbl>
      <w:tblPr>
        <w:tblW w:w="10173" w:type="dxa"/>
        <w:tblLook w:val="04A0"/>
      </w:tblPr>
      <w:tblGrid>
        <w:gridCol w:w="3085"/>
        <w:gridCol w:w="7088"/>
      </w:tblGrid>
      <w:tr w:rsidR="00425D65" w:rsidRPr="00C677E2" w:rsidTr="00656848">
        <w:trPr>
          <w:trHeight w:val="158"/>
        </w:trPr>
        <w:tc>
          <w:tcPr>
            <w:tcW w:w="3085" w:type="dxa"/>
          </w:tcPr>
          <w:p w:rsidR="00425D65" w:rsidRPr="000E18CD" w:rsidRDefault="00425D65" w:rsidP="00656848">
            <w:pPr>
              <w:rPr>
                <w:b/>
                <w:bCs/>
                <w:color w:val="365F91"/>
                <w:sz w:val="20"/>
                <w:szCs w:val="18"/>
              </w:rPr>
            </w:pPr>
          </w:p>
        </w:tc>
        <w:tc>
          <w:tcPr>
            <w:tcW w:w="7088" w:type="dxa"/>
          </w:tcPr>
          <w:p w:rsidR="00425D65" w:rsidRPr="000E18CD" w:rsidRDefault="00425D65" w:rsidP="00656848">
            <w:pPr>
              <w:jc w:val="both"/>
              <w:rPr>
                <w:bCs/>
                <w:iCs/>
                <w:sz w:val="20"/>
                <w:szCs w:val="18"/>
              </w:rPr>
            </w:pPr>
          </w:p>
        </w:tc>
      </w:tr>
      <w:tr w:rsidR="00425D65" w:rsidRPr="00C677E2" w:rsidTr="00656848">
        <w:trPr>
          <w:trHeight w:val="98"/>
        </w:trPr>
        <w:tc>
          <w:tcPr>
            <w:tcW w:w="3085" w:type="dxa"/>
            <w:vMerge w:val="restart"/>
            <w:shd w:val="clear" w:color="auto" w:fill="D3DFEE"/>
          </w:tcPr>
          <w:p w:rsidR="00425D65" w:rsidRPr="000E18CD" w:rsidRDefault="00553241" w:rsidP="00656848">
            <w:pPr>
              <w:rPr>
                <w:b/>
                <w:bCs/>
                <w:color w:val="365F91"/>
                <w:sz w:val="20"/>
                <w:szCs w:val="18"/>
                <w:vertAlign w:val="superscript"/>
              </w:rPr>
            </w:pPr>
            <w:r w:rsidRPr="00553241">
              <w:rPr>
                <w:bCs/>
                <w:noProof/>
                <w:color w:val="5A5A5A"/>
                <w:sz w:val="20"/>
                <w:szCs w:val="20"/>
                <w:lang w:val="en-US" w:eastAsia="en-US"/>
              </w:rPr>
              <w:pict>
                <v:shapetype id="_x0000_t202" coordsize="21600,21600" o:spt="202" path="m,l,21600r21600,l21600,xe">
                  <v:stroke joinstyle="miter"/>
                  <v:path gradientshapeok="t" o:connecttype="rect"/>
                </v:shapetype>
                <v:shape id="Text Box 4" o:spid="_x0000_s1026" type="#_x0000_t202" style="position:absolute;margin-left:3.3pt;margin-top:11.35pt;width:137.5pt;height:303.15pt;z-index:251660288;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" stroked="f">
                  <v:textbox>
                    <w:txbxContent>
                      <w:p w:rsidR="0092601C" w:rsidRPr="002E52D3" w:rsidRDefault="0092601C" w:rsidP="002E52D3">
                        <w:pPr>
                          <w:numPr>
                            <w:ilvl w:val="0"/>
                            <w:numId w:val="34"/>
                          </w:numPr>
                          <w:ind w:left="142" w:hanging="142"/>
                          <w:rPr>
                            <w:sz w:val="18"/>
                            <w:szCs w:val="20"/>
                          </w:rPr>
                        </w:pPr>
                        <w:r w:rsidRPr="002E52D3">
                          <w:rPr>
                            <w:sz w:val="18"/>
                            <w:szCs w:val="20"/>
                          </w:rPr>
                          <w:t>Hôpital Ni</w:t>
                        </w:r>
                        <w:r w:rsidR="00246B6B">
                          <w:rPr>
                            <w:sz w:val="18"/>
                            <w:szCs w:val="20"/>
                          </w:rPr>
                          <w:t>anankoro Fomba de Ségou, Mali</w:t>
                        </w:r>
                      </w:p>
                      <w:p w:rsidR="0092601C" w:rsidRPr="002E52D3" w:rsidRDefault="0092601C" w:rsidP="002E52D3">
                        <w:pPr>
                          <w:numPr>
                            <w:ilvl w:val="0"/>
                            <w:numId w:val="34"/>
                          </w:numPr>
                          <w:ind w:left="142" w:hanging="142"/>
                          <w:rPr>
                            <w:sz w:val="18"/>
                            <w:szCs w:val="20"/>
                          </w:rPr>
                        </w:pPr>
                        <w:r w:rsidRPr="002E52D3">
                          <w:rPr>
                            <w:sz w:val="18"/>
                            <w:szCs w:val="20"/>
                          </w:rPr>
                          <w:t xml:space="preserve">Centre de santé de référence de Koutiala, Sikasso, </w:t>
                        </w:r>
                        <w:r w:rsidR="00246B6B">
                          <w:rPr>
                            <w:bCs/>
                            <w:sz w:val="18"/>
                            <w:szCs w:val="20"/>
                          </w:rPr>
                          <w:t>Mali</w:t>
                        </w:r>
                      </w:p>
                      <w:p w:rsidR="0092601C" w:rsidRPr="002E52D3" w:rsidRDefault="0092601C" w:rsidP="002E52D3">
                        <w:pPr>
                          <w:numPr>
                            <w:ilvl w:val="0"/>
                            <w:numId w:val="34"/>
                          </w:numPr>
                          <w:ind w:left="142" w:hanging="142"/>
                          <w:rPr>
                            <w:sz w:val="18"/>
                            <w:szCs w:val="20"/>
                          </w:rPr>
                        </w:pPr>
                        <w:r w:rsidRPr="002E52D3">
                          <w:rPr>
                            <w:sz w:val="18"/>
                            <w:szCs w:val="20"/>
                          </w:rPr>
                          <w:t>Centre Hospitalier Universitaire Gabriel TOURE</w:t>
                        </w:r>
                        <w:r w:rsidRPr="002E52D3">
                          <w:rPr>
                            <w:bCs/>
                            <w:sz w:val="18"/>
                            <w:szCs w:val="20"/>
                          </w:rPr>
                          <w:t>, Bamak</w:t>
                        </w:r>
                        <w:r w:rsidR="00246B6B">
                          <w:rPr>
                            <w:bCs/>
                            <w:sz w:val="18"/>
                            <w:szCs w:val="20"/>
                          </w:rPr>
                          <w:t>o Mali</w:t>
                        </w:r>
                      </w:p>
                      <w:p w:rsidR="0092601C" w:rsidRPr="002E52D3" w:rsidRDefault="0092601C" w:rsidP="002E52D3">
                        <w:pPr>
                          <w:numPr>
                            <w:ilvl w:val="0"/>
                            <w:numId w:val="34"/>
                          </w:numPr>
                          <w:ind w:left="142" w:hanging="142"/>
                          <w:rPr>
                            <w:sz w:val="18"/>
                            <w:szCs w:val="20"/>
                          </w:rPr>
                        </w:pPr>
                        <w:r w:rsidRPr="002E52D3">
                          <w:rPr>
                            <w:sz w:val="18"/>
                            <w:szCs w:val="20"/>
                          </w:rPr>
                          <w:t xml:space="preserve">Centre de santé de référence </w:t>
                        </w:r>
                        <w:r w:rsidR="00246B6B">
                          <w:rPr>
                            <w:sz w:val="18"/>
                            <w:szCs w:val="20"/>
                          </w:rPr>
                          <w:t>de la commune II, Bamako, Mali</w:t>
                        </w:r>
                      </w:p>
                      <w:p w:rsidR="0092601C" w:rsidRPr="002E52D3" w:rsidRDefault="0092601C" w:rsidP="002E52D3">
                        <w:pPr>
                          <w:numPr>
                            <w:ilvl w:val="0"/>
                            <w:numId w:val="34"/>
                          </w:numPr>
                          <w:ind w:left="142" w:hanging="142"/>
                          <w:rPr>
                            <w:bCs/>
                            <w:sz w:val="18"/>
                            <w:szCs w:val="20"/>
                          </w:rPr>
                        </w:pPr>
                        <w:r w:rsidRPr="002E52D3">
                          <w:rPr>
                            <w:bCs/>
                            <w:sz w:val="18"/>
                            <w:szCs w:val="20"/>
                          </w:rPr>
                          <w:t xml:space="preserve">Centre Hospitalier Universitaire de </w:t>
                        </w:r>
                        <w:r w:rsidR="00246B6B">
                          <w:rPr>
                            <w:bCs/>
                            <w:sz w:val="18"/>
                            <w:szCs w:val="20"/>
                          </w:rPr>
                          <w:t>l’Hôpital du Mali, Bamako Mali</w:t>
                        </w:r>
                      </w:p>
                      <w:p w:rsidR="0092601C" w:rsidRPr="002E52D3" w:rsidRDefault="0092601C" w:rsidP="002E52D3">
                        <w:pPr>
                          <w:numPr>
                            <w:ilvl w:val="0"/>
                            <w:numId w:val="34"/>
                          </w:numPr>
                          <w:spacing w:after="240"/>
                          <w:ind w:left="142" w:hanging="142"/>
                          <w:rPr>
                            <w:bCs/>
                            <w:sz w:val="18"/>
                            <w:szCs w:val="20"/>
                          </w:rPr>
                        </w:pPr>
                        <w:r w:rsidRPr="002E52D3">
                          <w:rPr>
                            <w:sz w:val="18"/>
                            <w:szCs w:val="20"/>
                          </w:rPr>
                          <w:t xml:space="preserve">Centre de santé de référence de Bla, Ségou, </w:t>
                        </w:r>
                        <w:r w:rsidR="00246B6B">
                          <w:rPr>
                            <w:bCs/>
                            <w:sz w:val="18"/>
                            <w:szCs w:val="20"/>
                          </w:rPr>
                          <w:t>Mali</w:t>
                        </w:r>
                      </w:p>
                      <w:p w:rsidR="0092601C" w:rsidRPr="0069681F" w:rsidRDefault="0092601C" w:rsidP="002E52D3">
                        <w:pPr>
                          <w:rPr>
                            <w:sz w:val="18"/>
                            <w:szCs w:val="20"/>
                          </w:rPr>
                        </w:pPr>
                        <w:r>
                          <w:rPr>
                            <w:b/>
                            <w:sz w:val="18"/>
                            <w:szCs w:val="20"/>
                          </w:rPr>
                          <w:t>*</w:t>
                        </w:r>
                        <w:r w:rsidRPr="0069681F">
                          <w:rPr>
                            <w:b/>
                            <w:sz w:val="18"/>
                            <w:szCs w:val="20"/>
                          </w:rPr>
                          <w:t>Auteur correspondan</w:t>
                        </w:r>
                        <w:r w:rsidRPr="0069681F">
                          <w:rPr>
                            <w:sz w:val="18"/>
                            <w:szCs w:val="20"/>
                          </w:rPr>
                          <w:t xml:space="preserve">t : </w:t>
                        </w:r>
                        <w:r w:rsidRPr="002E52D3">
                          <w:rPr>
                            <w:sz w:val="18"/>
                            <w:szCs w:val="20"/>
                          </w:rPr>
                          <w:t>Dr Tidiani Traoré</w:t>
                        </w:r>
                      </w:p>
                      <w:p w:rsidR="0092601C" w:rsidRDefault="0092601C" w:rsidP="002E52D3">
                        <w:pPr>
                          <w:rPr>
                            <w:sz w:val="18"/>
                            <w:szCs w:val="20"/>
                          </w:rPr>
                        </w:pPr>
                        <w:r w:rsidRPr="0069681F">
                          <w:rPr>
                            <w:sz w:val="18"/>
                            <w:szCs w:val="20"/>
                          </w:rPr>
                          <w:t xml:space="preserve">Adresse e-mail : </w:t>
                        </w:r>
                        <w:hyperlink r:id="rId8" w:history="1">
                          <w:r w:rsidRPr="002E52D3">
                            <w:rPr>
                              <w:rStyle w:val="Lienhypertexte"/>
                              <w:sz w:val="18"/>
                              <w:szCs w:val="20"/>
                            </w:rPr>
                            <w:t>tidiniako@gmail.com</w:t>
                          </w:r>
                        </w:hyperlink>
                        <w:r w:rsidRPr="002E52D3">
                          <w:rPr>
                            <w:sz w:val="18"/>
                            <w:szCs w:val="20"/>
                          </w:rPr>
                          <w:t xml:space="preserve"> </w:t>
                        </w:r>
                      </w:p>
                      <w:p w:rsidR="0092601C" w:rsidRPr="0069681F" w:rsidRDefault="0092601C" w:rsidP="002E52D3">
                        <w:pPr>
                          <w:spacing w:after="240"/>
                          <w:rPr>
                            <w:sz w:val="18"/>
                            <w:szCs w:val="20"/>
                          </w:rPr>
                        </w:pPr>
                        <w:r w:rsidRPr="002E52D3">
                          <w:rPr>
                            <w:sz w:val="18"/>
                            <w:szCs w:val="20"/>
                          </w:rPr>
                          <w:t>Tel : (00223) 66298672</w:t>
                        </w:r>
                        <w:r w:rsidRPr="0069681F">
                          <w:rPr>
                            <w:sz w:val="18"/>
                            <w:szCs w:val="20"/>
                          </w:rPr>
                          <w:t xml:space="preserve"> </w:t>
                        </w:r>
                      </w:p>
                      <w:p w:rsidR="0092601C" w:rsidRPr="0069681F" w:rsidRDefault="0092601C" w:rsidP="00425D65">
                        <w:pPr>
                          <w:rPr>
                            <w:sz w:val="18"/>
                            <w:szCs w:val="20"/>
                          </w:rPr>
                        </w:pPr>
                        <w:r w:rsidRPr="0069681F">
                          <w:rPr>
                            <w:b/>
                            <w:sz w:val="18"/>
                            <w:szCs w:val="20"/>
                          </w:rPr>
                          <w:t xml:space="preserve">Mots-clés </w:t>
                        </w:r>
                        <w:r w:rsidRPr="0069681F">
                          <w:rPr>
                            <w:sz w:val="18"/>
                            <w:szCs w:val="20"/>
                          </w:rPr>
                          <w:t xml:space="preserve">: </w:t>
                        </w:r>
                        <w:r w:rsidRPr="002E52D3">
                          <w:rPr>
                            <w:sz w:val="18"/>
                            <w:szCs w:val="20"/>
                          </w:rPr>
                          <w:t>pronostic, maternel, fœtal, éclampsie, grossesse à risque</w:t>
                        </w:r>
                      </w:p>
                      <w:p w:rsidR="0092601C" w:rsidRPr="000E18CD" w:rsidRDefault="0092601C" w:rsidP="00425D65">
                        <w:pPr>
                          <w:rPr>
                            <w:sz w:val="20"/>
                            <w:szCs w:val="20"/>
                            <w:lang w:val="en-US"/>
                          </w:rPr>
                        </w:pPr>
                        <w:r w:rsidRPr="00706E87">
                          <w:rPr>
                            <w:b/>
                            <w:sz w:val="18"/>
                            <w:szCs w:val="20"/>
                            <w:lang w:val="en-US"/>
                          </w:rPr>
                          <w:t>Keywords</w:t>
                        </w:r>
                        <w:r w:rsidRPr="00706E87">
                          <w:rPr>
                            <w:sz w:val="18"/>
                            <w:szCs w:val="20"/>
                            <w:lang w:val="en-US"/>
                          </w:rPr>
                          <w:t xml:space="preserve">: </w:t>
                        </w:r>
                        <w:r w:rsidRPr="002E52D3">
                          <w:rPr>
                            <w:bCs/>
                            <w:sz w:val="18"/>
                            <w:szCs w:val="20"/>
                            <w:lang w:val="en-US"/>
                          </w:rPr>
                          <w:t>Keywords: prognosis, maternal, fetal</w:t>
                        </w:r>
                        <w:r>
                          <w:rPr>
                            <w:bCs/>
                            <w:sz w:val="18"/>
                            <w:szCs w:val="20"/>
                            <w:lang w:val="en-US"/>
                          </w:rPr>
                          <w:t>, eclampsia, pregnancy at risk</w:t>
                        </w:r>
                      </w:p>
                    </w:txbxContent>
                  </v:textbox>
                </v:shape>
              </w:pict>
            </w:r>
          </w:p>
        </w:tc>
        <w:tc>
          <w:tcPr>
            <w:tcW w:w="7088" w:type="dxa"/>
            <w:shd w:val="clear" w:color="auto" w:fill="D3DFEE"/>
          </w:tcPr>
          <w:p w:rsidR="00425D65" w:rsidRPr="00C677E2" w:rsidRDefault="002E52D3" w:rsidP="002E52D3">
            <w:pPr>
              <w:ind w:left="34"/>
              <w:jc w:val="both"/>
              <w:rPr>
                <w:b/>
                <w:bCs/>
                <w:iCs/>
                <w:sz w:val="20"/>
                <w:szCs w:val="18"/>
              </w:rPr>
            </w:pPr>
            <w:r w:rsidRPr="00C677E2">
              <w:rPr>
                <w:b/>
                <w:bCs/>
                <w:iCs/>
                <w:sz w:val="20"/>
                <w:szCs w:val="18"/>
              </w:rPr>
              <w:t>RÉSUMÉ</w:t>
            </w:r>
          </w:p>
        </w:tc>
      </w:tr>
      <w:tr w:rsidR="00425D65" w:rsidRPr="002E52D3" w:rsidTr="00656848">
        <w:trPr>
          <w:trHeight w:val="2930"/>
        </w:trPr>
        <w:tc>
          <w:tcPr>
            <w:tcW w:w="3085" w:type="dxa"/>
            <w:vMerge/>
          </w:tcPr>
          <w:p w:rsidR="00425D65" w:rsidRPr="00C677E2" w:rsidRDefault="00425D65" w:rsidP="00656848">
            <w:pPr>
              <w:rPr>
                <w:b/>
                <w:bCs/>
                <w:color w:val="365F91"/>
                <w:sz w:val="20"/>
                <w:szCs w:val="18"/>
                <w:vertAlign w:val="superscript"/>
              </w:rPr>
            </w:pPr>
          </w:p>
        </w:tc>
        <w:tc>
          <w:tcPr>
            <w:tcW w:w="7088" w:type="dxa"/>
          </w:tcPr>
          <w:p w:rsidR="002E52D3" w:rsidRPr="002E52D3" w:rsidRDefault="002E52D3" w:rsidP="002E52D3">
            <w:pPr>
              <w:jc w:val="both"/>
              <w:rPr>
                <w:sz w:val="18"/>
                <w:szCs w:val="18"/>
                <w:lang w:bidi="fr-FR"/>
              </w:rPr>
            </w:pPr>
            <w:r w:rsidRPr="002E52D3">
              <w:rPr>
                <w:b/>
                <w:bCs/>
                <w:sz w:val="18"/>
                <w:szCs w:val="18"/>
                <w:lang w:bidi="fr-FR"/>
              </w:rPr>
              <w:t>Objectif.</w:t>
            </w:r>
            <w:r w:rsidRPr="002E52D3">
              <w:rPr>
                <w:sz w:val="18"/>
                <w:szCs w:val="18"/>
                <w:lang w:bidi="fr-FR"/>
              </w:rPr>
              <w:t xml:space="preserve"> Décrire les aspects épidémiologiques, thérapeutiques et pronostiques de l’éclampsie à l’hôpital de deuxième référence de Ségou au Mali. </w:t>
            </w:r>
            <w:r w:rsidRPr="002E52D3">
              <w:rPr>
                <w:b/>
                <w:bCs/>
                <w:sz w:val="18"/>
                <w:szCs w:val="18"/>
                <w:lang w:bidi="fr-FR"/>
              </w:rPr>
              <w:t xml:space="preserve">Patientes et méthodes. </w:t>
            </w:r>
            <w:r w:rsidRPr="002E52D3">
              <w:rPr>
                <w:bCs/>
                <w:sz w:val="18"/>
                <w:szCs w:val="18"/>
                <w:lang w:bidi="fr-FR"/>
              </w:rPr>
              <w:t>Il s’est agi</w:t>
            </w:r>
            <w:r w:rsidRPr="002E52D3">
              <w:rPr>
                <w:sz w:val="18"/>
                <w:szCs w:val="18"/>
                <w:lang w:bidi="fr-FR"/>
              </w:rPr>
              <w:t xml:space="preserve"> d’une étude descriptive, transversale, rétrospective et prospective à partir d’un échanti</w:t>
            </w:r>
            <w:r w:rsidR="00CF032F">
              <w:rPr>
                <w:sz w:val="18"/>
                <w:szCs w:val="18"/>
                <w:lang w:bidi="fr-FR"/>
              </w:rPr>
              <w:t>ll</w:t>
            </w:r>
            <w:r w:rsidRPr="002E52D3">
              <w:rPr>
                <w:sz w:val="18"/>
                <w:szCs w:val="18"/>
                <w:lang w:bidi="fr-FR"/>
              </w:rPr>
              <w:t>onnage exhaustif. Elle a couvert une période de 3 ans allant du 1</w:t>
            </w:r>
            <w:r w:rsidRPr="002E52D3">
              <w:rPr>
                <w:sz w:val="18"/>
                <w:szCs w:val="18"/>
                <w:vertAlign w:val="superscript"/>
                <w:lang w:bidi="fr-FR"/>
              </w:rPr>
              <w:t>er</w:t>
            </w:r>
            <w:r w:rsidRPr="002E52D3">
              <w:rPr>
                <w:sz w:val="18"/>
                <w:szCs w:val="18"/>
                <w:lang w:bidi="fr-FR"/>
              </w:rPr>
              <w:t xml:space="preserve"> janvier 2010 au 31 décembre 2012 et a concernée 176 dossiers. </w:t>
            </w:r>
            <w:r w:rsidRPr="002E52D3">
              <w:rPr>
                <w:b/>
                <w:bCs/>
                <w:sz w:val="18"/>
                <w:szCs w:val="18"/>
                <w:lang w:bidi="fr-FR"/>
              </w:rPr>
              <w:t xml:space="preserve">Résultats. </w:t>
            </w:r>
            <w:r w:rsidRPr="002E52D3">
              <w:rPr>
                <w:sz w:val="18"/>
                <w:szCs w:val="18"/>
                <w:lang w:bidi="fr-FR"/>
              </w:rPr>
              <w:t>L’incidence de l’éclampsie au cours de la période d’étude était de 2,9%. Classiquement, elle est survenue dans 74,4% chez la primigeste jeune, dans 73,9% au 3</w:t>
            </w:r>
            <w:r w:rsidRPr="002E52D3">
              <w:rPr>
                <w:sz w:val="18"/>
                <w:szCs w:val="18"/>
                <w:vertAlign w:val="superscript"/>
                <w:lang w:bidi="fr-FR"/>
              </w:rPr>
              <w:t>ème</w:t>
            </w:r>
            <w:r w:rsidRPr="002E52D3">
              <w:rPr>
                <w:sz w:val="18"/>
                <w:szCs w:val="18"/>
                <w:lang w:bidi="fr-FR"/>
              </w:rPr>
              <w:t xml:space="preserve"> trimestre de la grossesse et 26,1% des cas pendant le post-partum. Nous avons enregistré des complications maternelles comme l’hématome retro-placentaire, insuffisance rénale aigue et hémorragie de la délivrance. Le taux de létalité était de 2,3% avec 4 cas de décès maternel. Sur le plan fœtal, il y a eu 29,5% de prématurité, 31,8% de souffrance néonatale, 11,4% d’hypotrophie, 11,9% de mort fœtal in-utéro et 7,4% de décès néonatal précoce. </w:t>
            </w:r>
            <w:r w:rsidRPr="002E52D3">
              <w:rPr>
                <w:b/>
                <w:bCs/>
                <w:sz w:val="18"/>
                <w:szCs w:val="18"/>
                <w:lang w:bidi="fr-FR"/>
              </w:rPr>
              <w:t>Conclusion.</w:t>
            </w:r>
            <w:r w:rsidRPr="002E52D3">
              <w:rPr>
                <w:sz w:val="18"/>
                <w:szCs w:val="18"/>
                <w:lang w:bidi="fr-FR"/>
              </w:rPr>
              <w:t xml:space="preserve"> Les aspects épidémiologiques et pronostiques de l’éclampsie incitent à privilégier les mesures préventives qui associent le dépistage des grossesses à risque, l’éducation, l’information et la prise en charge précoce des femmes enceintes.</w:t>
            </w:r>
          </w:p>
          <w:p w:rsidR="00425D65" w:rsidRPr="002E52D3" w:rsidRDefault="00425D65" w:rsidP="00656848">
            <w:pPr>
              <w:jc w:val="both"/>
              <w:rPr>
                <w:sz w:val="20"/>
                <w:szCs w:val="18"/>
                <w:lang w:bidi="fr-FR"/>
              </w:rPr>
            </w:pPr>
          </w:p>
        </w:tc>
      </w:tr>
      <w:tr w:rsidR="00425D65" w:rsidRPr="00C677E2" w:rsidTr="00656848">
        <w:trPr>
          <w:trHeight w:val="184"/>
        </w:trPr>
        <w:tc>
          <w:tcPr>
            <w:tcW w:w="3085" w:type="dxa"/>
            <w:vMerge w:val="restart"/>
            <w:shd w:val="clear" w:color="auto" w:fill="D3DFEE"/>
          </w:tcPr>
          <w:p w:rsidR="00425D65" w:rsidRPr="002E52D3" w:rsidRDefault="00425D65" w:rsidP="00656848">
            <w:pPr>
              <w:rPr>
                <w:b/>
                <w:bCs/>
                <w:color w:val="365F91"/>
                <w:sz w:val="20"/>
                <w:szCs w:val="18"/>
                <w:vertAlign w:val="superscript"/>
              </w:rPr>
            </w:pPr>
          </w:p>
        </w:tc>
        <w:tc>
          <w:tcPr>
            <w:tcW w:w="7088" w:type="dxa"/>
            <w:shd w:val="clear" w:color="auto" w:fill="D3DFEE"/>
          </w:tcPr>
          <w:p w:rsidR="00425D65" w:rsidRPr="00C677E2" w:rsidRDefault="002E52D3" w:rsidP="00656848">
            <w:pPr>
              <w:ind w:left="34"/>
              <w:jc w:val="both"/>
              <w:rPr>
                <w:b/>
                <w:bCs/>
                <w:iCs/>
                <w:sz w:val="20"/>
                <w:szCs w:val="18"/>
              </w:rPr>
            </w:pPr>
            <w:r w:rsidRPr="00C677E2">
              <w:rPr>
                <w:b/>
                <w:bCs/>
                <w:iCs/>
                <w:sz w:val="20"/>
                <w:szCs w:val="18"/>
              </w:rPr>
              <w:t>ABSTRACT</w:t>
            </w:r>
          </w:p>
        </w:tc>
      </w:tr>
      <w:tr w:rsidR="00425D65" w:rsidRPr="00244BDF" w:rsidTr="00656848">
        <w:trPr>
          <w:trHeight w:val="2649"/>
        </w:trPr>
        <w:tc>
          <w:tcPr>
            <w:tcW w:w="3085" w:type="dxa"/>
            <w:vMerge/>
          </w:tcPr>
          <w:p w:rsidR="00425D65" w:rsidRPr="00C677E2" w:rsidRDefault="00425D65" w:rsidP="00656848">
            <w:pPr>
              <w:rPr>
                <w:b/>
                <w:bCs/>
                <w:color w:val="365F91"/>
                <w:sz w:val="20"/>
                <w:szCs w:val="18"/>
                <w:vertAlign w:val="superscript"/>
              </w:rPr>
            </w:pPr>
          </w:p>
        </w:tc>
        <w:tc>
          <w:tcPr>
            <w:tcW w:w="7088" w:type="dxa"/>
          </w:tcPr>
          <w:p w:rsidR="002E52D3" w:rsidRPr="002E52D3" w:rsidRDefault="002E52D3" w:rsidP="002E52D3">
            <w:pPr>
              <w:jc w:val="both"/>
              <w:rPr>
                <w:bCs/>
                <w:sz w:val="18"/>
                <w:szCs w:val="18"/>
                <w:lang w:val="en-US"/>
              </w:rPr>
            </w:pPr>
            <w:r w:rsidRPr="002E52D3">
              <w:rPr>
                <w:b/>
                <w:bCs/>
                <w:sz w:val="18"/>
                <w:szCs w:val="18"/>
                <w:lang w:val="en-US"/>
              </w:rPr>
              <w:t>Aim.</w:t>
            </w:r>
            <w:r w:rsidRPr="002E52D3">
              <w:rPr>
                <w:bCs/>
                <w:sz w:val="18"/>
                <w:szCs w:val="18"/>
                <w:lang w:val="en-US"/>
              </w:rPr>
              <w:t xml:space="preserve"> To describe the epidemiological, therapeutic and prognostic aspects of eclampsia at the second reference hospital in Segou, Mali. </w:t>
            </w:r>
            <w:r w:rsidRPr="002E52D3">
              <w:rPr>
                <w:b/>
                <w:bCs/>
                <w:sz w:val="18"/>
                <w:szCs w:val="18"/>
                <w:lang w:val="en-US"/>
              </w:rPr>
              <w:t>Patients and Methods.</w:t>
            </w:r>
            <w:r w:rsidRPr="002E52D3">
              <w:rPr>
                <w:bCs/>
                <w:sz w:val="18"/>
                <w:szCs w:val="18"/>
                <w:lang w:val="en-US"/>
              </w:rPr>
              <w:t xml:space="preserve"> We conducted a descriptive, cross-sectional, retrospective and prospective study from an exhaustive sampling. It covered a 3-year period from January 1, 2010 to December 31, 2012 and involved 176 cases. </w:t>
            </w:r>
            <w:r w:rsidRPr="002E52D3">
              <w:rPr>
                <w:b/>
                <w:bCs/>
                <w:sz w:val="18"/>
                <w:szCs w:val="18"/>
                <w:lang w:val="en-US"/>
              </w:rPr>
              <w:t>Results.</w:t>
            </w:r>
            <w:r w:rsidRPr="002E52D3">
              <w:rPr>
                <w:bCs/>
                <w:sz w:val="18"/>
                <w:szCs w:val="18"/>
                <w:lang w:val="en-US"/>
              </w:rPr>
              <w:t xml:space="preserve"> The incidence of eclampsia during the study period was 2.9%. Classically, it occurred in 74.4% in young primigest, in 73.9% in the 3rd trimester of pregnancy and 26.1% of cases during postpartum. We recorded maternal complications such as retro-placental hematoma, acute kidney failure and delivery hemorrhage. The case fatality rate was 2.3% or 4 cases of maternal death. At the fetal level, there was 29.5% prematurity, 31.8% neonatal suffering, 11.4% hypotrophy, 11.9% in-utero fetal death and 7.4% early neonatal death. </w:t>
            </w:r>
            <w:r w:rsidRPr="002E52D3">
              <w:rPr>
                <w:b/>
                <w:bCs/>
                <w:sz w:val="18"/>
                <w:szCs w:val="18"/>
                <w:lang w:val="en-US"/>
              </w:rPr>
              <w:t>Conclusion</w:t>
            </w:r>
            <w:r w:rsidRPr="002E52D3">
              <w:rPr>
                <w:bCs/>
                <w:sz w:val="18"/>
                <w:szCs w:val="18"/>
                <w:lang w:val="en-US"/>
              </w:rPr>
              <w:t xml:space="preserve">. The epidemiological and prognostic aspects of eclampsia encourage us to focus on preventive measures that combine screening for unseered pregnancies, education, information and early management of pregnant women. </w:t>
            </w:r>
          </w:p>
          <w:p w:rsidR="00425D65" w:rsidRPr="002E52D3" w:rsidRDefault="00425D65" w:rsidP="00656848">
            <w:pPr>
              <w:jc w:val="both"/>
              <w:rPr>
                <w:sz w:val="20"/>
                <w:szCs w:val="18"/>
                <w:lang w:val="en-US"/>
              </w:rPr>
            </w:pPr>
          </w:p>
        </w:tc>
      </w:tr>
    </w:tbl>
    <w:p w:rsidR="00CF032F" w:rsidRPr="002E52D3" w:rsidRDefault="00CF032F" w:rsidP="00425D65">
      <w:pPr>
        <w:jc w:val="both"/>
        <w:rPr>
          <w:b/>
          <w:sz w:val="20"/>
          <w:szCs w:val="20"/>
          <w:u w:val="single"/>
          <w:lang w:val="en-US"/>
        </w:rPr>
      </w:pPr>
    </w:p>
    <w:p w:rsidR="00425D65" w:rsidRPr="002E52D3" w:rsidRDefault="00425D65" w:rsidP="00425D65">
      <w:pPr>
        <w:jc w:val="both"/>
        <w:rPr>
          <w:b/>
          <w:sz w:val="20"/>
          <w:szCs w:val="20"/>
          <w:u w:val="single"/>
          <w:lang w:val="en-US"/>
        </w:rPr>
      </w:pPr>
    </w:p>
    <w:p w:rsidR="002E52D3" w:rsidRDefault="002E52D3" w:rsidP="00425D65">
      <w:pPr>
        <w:jc w:val="both"/>
        <w:rPr>
          <w:b/>
          <w:sz w:val="20"/>
          <w:szCs w:val="20"/>
          <w:u w:val="single"/>
          <w:lang w:val="en-US"/>
        </w:rPr>
        <w:sectPr w:rsidR="002E52D3" w:rsidSect="00AB47FF">
          <w:headerReference w:type="default" r:id="rId9"/>
          <w:footerReference w:type="default" r:id="rId10"/>
          <w:pgSz w:w="11906" w:h="16838" w:code="9"/>
          <w:pgMar w:top="1134" w:right="851" w:bottom="1418" w:left="1134" w:header="708" w:footer="708" w:gutter="0"/>
          <w:cols w:space="708"/>
          <w:docGrid w:linePitch="360"/>
        </w:sectPr>
      </w:pPr>
    </w:p>
    <w:p w:rsidR="00E6656E" w:rsidRPr="00AB47FF" w:rsidRDefault="00CF032F" w:rsidP="00CF032F">
      <w:pPr>
        <w:autoSpaceDE w:val="0"/>
        <w:autoSpaceDN w:val="0"/>
        <w:adjustRightInd w:val="0"/>
        <w:spacing w:after="40"/>
        <w:jc w:val="both"/>
        <w:rPr>
          <w:b/>
          <w:bCs/>
          <w:sz w:val="20"/>
          <w:szCs w:val="20"/>
        </w:rPr>
      </w:pPr>
      <w:r>
        <w:rPr>
          <w:b/>
          <w:bCs/>
          <w:sz w:val="20"/>
          <w:szCs w:val="20"/>
        </w:rPr>
        <w:lastRenderedPageBreak/>
        <w:t>INTRODUCTION</w:t>
      </w:r>
    </w:p>
    <w:p w:rsidR="005D01AC" w:rsidRPr="00AB47FF" w:rsidRDefault="003D5569" w:rsidP="00AB47FF">
      <w:pPr>
        <w:autoSpaceDE w:val="0"/>
        <w:autoSpaceDN w:val="0"/>
        <w:adjustRightInd w:val="0"/>
        <w:jc w:val="both"/>
        <w:rPr>
          <w:sz w:val="20"/>
          <w:szCs w:val="20"/>
        </w:rPr>
      </w:pPr>
      <w:r w:rsidRPr="00AB47FF">
        <w:rPr>
          <w:sz w:val="20"/>
          <w:szCs w:val="20"/>
        </w:rPr>
        <w:t>Complication paroxystique de la pré-éclampsie, l’éclampsie est une situation obstétricale grave et responsable d’une mortalité et d’une morbidité maternelle et périnatale importante (6 à 10%)</w:t>
      </w:r>
      <w:r w:rsidR="00497AE6" w:rsidRPr="00AB47FF">
        <w:rPr>
          <w:sz w:val="20"/>
          <w:szCs w:val="20"/>
        </w:rPr>
        <w:t xml:space="preserve"> </w:t>
      </w:r>
      <w:r w:rsidR="005A09A8" w:rsidRPr="00AB47FF">
        <w:rPr>
          <w:sz w:val="20"/>
          <w:szCs w:val="20"/>
        </w:rPr>
        <w:t xml:space="preserve">selon </w:t>
      </w:r>
      <w:r w:rsidR="005D01AC" w:rsidRPr="00AB47FF">
        <w:rPr>
          <w:bCs/>
          <w:sz w:val="20"/>
          <w:szCs w:val="20"/>
        </w:rPr>
        <w:t>F</w:t>
      </w:r>
      <w:r w:rsidR="0087714E" w:rsidRPr="00AB47FF">
        <w:rPr>
          <w:bCs/>
          <w:sz w:val="20"/>
          <w:szCs w:val="20"/>
        </w:rPr>
        <w:t>aye</w:t>
      </w:r>
      <w:r w:rsidR="005D01AC" w:rsidRPr="00AB47FF">
        <w:rPr>
          <w:bCs/>
          <w:sz w:val="20"/>
          <w:szCs w:val="20"/>
        </w:rPr>
        <w:t xml:space="preserve"> A.</w:t>
      </w:r>
      <w:r w:rsidR="005A09A8" w:rsidRPr="00AB47FF">
        <w:rPr>
          <w:bCs/>
          <w:sz w:val="20"/>
          <w:szCs w:val="20"/>
        </w:rPr>
        <w:t xml:space="preserve"> [1]</w:t>
      </w:r>
      <w:r w:rsidR="005A09A8" w:rsidRPr="00AB47FF">
        <w:rPr>
          <w:sz w:val="20"/>
          <w:szCs w:val="20"/>
        </w:rPr>
        <w:t xml:space="preserve"> </w:t>
      </w:r>
      <w:r w:rsidR="006D48E7" w:rsidRPr="00AB47FF">
        <w:rPr>
          <w:sz w:val="20"/>
          <w:szCs w:val="20"/>
        </w:rPr>
        <w:t xml:space="preserve">dans son </w:t>
      </w:r>
      <w:r w:rsidR="00EA1F23" w:rsidRPr="00AB47FF">
        <w:rPr>
          <w:sz w:val="20"/>
          <w:szCs w:val="20"/>
        </w:rPr>
        <w:t xml:space="preserve">étude sur l’éclampsie au CHU de Libreville </w:t>
      </w:r>
      <w:r w:rsidR="006D48E7" w:rsidRPr="00AB47FF">
        <w:rPr>
          <w:sz w:val="20"/>
          <w:szCs w:val="20"/>
        </w:rPr>
        <w:t xml:space="preserve">publiée </w:t>
      </w:r>
      <w:r w:rsidR="00EA1F23" w:rsidRPr="00AB47FF">
        <w:rPr>
          <w:sz w:val="20"/>
          <w:szCs w:val="20"/>
        </w:rPr>
        <w:t>dans la revue française de gynécologie obstétriqu</w:t>
      </w:r>
      <w:r w:rsidR="006D48E7" w:rsidRPr="00AB47FF">
        <w:rPr>
          <w:sz w:val="20"/>
          <w:szCs w:val="20"/>
        </w:rPr>
        <w:t>e.</w:t>
      </w:r>
      <w:r w:rsidR="005A09A8" w:rsidRPr="00AB47FF">
        <w:rPr>
          <w:sz w:val="20"/>
          <w:szCs w:val="20"/>
        </w:rPr>
        <w:t xml:space="preserve"> Elles s</w:t>
      </w:r>
      <w:r w:rsidR="00B92E70">
        <w:rPr>
          <w:sz w:val="20"/>
          <w:szCs w:val="20"/>
        </w:rPr>
        <w:t>eraien</w:t>
      </w:r>
      <w:r w:rsidR="005A09A8" w:rsidRPr="00AB47FF">
        <w:rPr>
          <w:sz w:val="20"/>
          <w:szCs w:val="20"/>
        </w:rPr>
        <w:t>t plus fréquentes dans les pays en voie de développement que dans les pays développés.</w:t>
      </w:r>
    </w:p>
    <w:p w:rsidR="00572121" w:rsidRPr="00AB47FF" w:rsidRDefault="00363930" w:rsidP="00AB47FF">
      <w:pPr>
        <w:autoSpaceDE w:val="0"/>
        <w:autoSpaceDN w:val="0"/>
        <w:adjustRightInd w:val="0"/>
        <w:jc w:val="both"/>
        <w:rPr>
          <w:sz w:val="20"/>
          <w:szCs w:val="20"/>
        </w:rPr>
      </w:pPr>
      <w:r w:rsidRPr="00AB47FF">
        <w:rPr>
          <w:sz w:val="20"/>
          <w:szCs w:val="20"/>
        </w:rPr>
        <w:t>Elles contribuent à aggraver la mortalité et la morbidité maternelle dans les pays en développement. De ce fait le</w:t>
      </w:r>
      <w:r w:rsidR="005A09A8" w:rsidRPr="00AB47FF">
        <w:rPr>
          <w:sz w:val="20"/>
          <w:szCs w:val="20"/>
        </w:rPr>
        <w:t xml:space="preserve"> taux des </w:t>
      </w:r>
      <w:r w:rsidRPr="00AB47FF">
        <w:rPr>
          <w:sz w:val="20"/>
          <w:szCs w:val="20"/>
        </w:rPr>
        <w:t>éclampsies constitue</w:t>
      </w:r>
      <w:r w:rsidR="00B92E70">
        <w:rPr>
          <w:sz w:val="20"/>
          <w:szCs w:val="20"/>
        </w:rPr>
        <w:t>rai</w:t>
      </w:r>
      <w:r w:rsidRPr="00AB47FF">
        <w:rPr>
          <w:sz w:val="20"/>
          <w:szCs w:val="20"/>
        </w:rPr>
        <w:t xml:space="preserve">t un indicateur du niveau d’organisation socio- sanitaire d’un pays, d’une région. </w:t>
      </w:r>
    </w:p>
    <w:p w:rsidR="00E6656E" w:rsidRPr="00AB47FF" w:rsidRDefault="00B92E70" w:rsidP="00AB47FF">
      <w:pPr>
        <w:autoSpaceDE w:val="0"/>
        <w:autoSpaceDN w:val="0"/>
        <w:adjustRightInd w:val="0"/>
        <w:jc w:val="both"/>
        <w:rPr>
          <w:sz w:val="20"/>
          <w:szCs w:val="20"/>
        </w:rPr>
      </w:pPr>
      <w:r>
        <w:rPr>
          <w:sz w:val="20"/>
          <w:szCs w:val="20"/>
        </w:rPr>
        <w:t>Nous avons mené ce travail avec pour objectif de d</w:t>
      </w:r>
      <w:r w:rsidR="003D5569" w:rsidRPr="00AB47FF">
        <w:rPr>
          <w:sz w:val="20"/>
          <w:szCs w:val="20"/>
        </w:rPr>
        <w:t xml:space="preserve">écrire les aspects épidémiologiques, thérapeutiques et pronostiques de l’éclampsie </w:t>
      </w:r>
      <w:r w:rsidR="008D3233">
        <w:rPr>
          <w:sz w:val="20"/>
          <w:szCs w:val="20"/>
        </w:rPr>
        <w:t>à</w:t>
      </w:r>
      <w:r w:rsidR="003D5569" w:rsidRPr="00AB47FF">
        <w:rPr>
          <w:sz w:val="20"/>
          <w:szCs w:val="20"/>
        </w:rPr>
        <w:t xml:space="preserve"> </w:t>
      </w:r>
      <w:r w:rsidR="008258CE" w:rsidRPr="00AB47FF">
        <w:rPr>
          <w:sz w:val="20"/>
          <w:szCs w:val="20"/>
        </w:rPr>
        <w:t>l’h</w:t>
      </w:r>
      <w:r w:rsidR="003D5569" w:rsidRPr="00AB47FF">
        <w:rPr>
          <w:sz w:val="20"/>
          <w:szCs w:val="20"/>
        </w:rPr>
        <w:t>ôpital de deuxième référence à Ségou au Mali.</w:t>
      </w:r>
    </w:p>
    <w:p w:rsidR="00AB47FF" w:rsidRPr="00AB47FF" w:rsidRDefault="00CF032F" w:rsidP="00CF032F">
      <w:pPr>
        <w:autoSpaceDE w:val="0"/>
        <w:autoSpaceDN w:val="0"/>
        <w:adjustRightInd w:val="0"/>
        <w:spacing w:before="120" w:after="40"/>
        <w:jc w:val="both"/>
        <w:rPr>
          <w:b/>
          <w:bCs/>
          <w:sz w:val="20"/>
          <w:szCs w:val="20"/>
        </w:rPr>
      </w:pPr>
      <w:r w:rsidRPr="00AB47FF">
        <w:rPr>
          <w:b/>
          <w:bCs/>
          <w:sz w:val="20"/>
          <w:szCs w:val="20"/>
        </w:rPr>
        <w:lastRenderedPageBreak/>
        <w:t>PATIENT</w:t>
      </w:r>
      <w:r>
        <w:rPr>
          <w:b/>
          <w:bCs/>
          <w:sz w:val="20"/>
          <w:szCs w:val="20"/>
        </w:rPr>
        <w:t>E</w:t>
      </w:r>
      <w:r w:rsidRPr="00AB47FF">
        <w:rPr>
          <w:b/>
          <w:bCs/>
          <w:sz w:val="20"/>
          <w:szCs w:val="20"/>
        </w:rPr>
        <w:t>S ET MÉTHODES</w:t>
      </w:r>
    </w:p>
    <w:p w:rsidR="000168FB" w:rsidRPr="00AB47FF" w:rsidRDefault="00E6656E" w:rsidP="00AB47FF">
      <w:pPr>
        <w:autoSpaceDE w:val="0"/>
        <w:autoSpaceDN w:val="0"/>
        <w:adjustRightInd w:val="0"/>
        <w:jc w:val="both"/>
        <w:rPr>
          <w:sz w:val="20"/>
          <w:szCs w:val="20"/>
        </w:rPr>
      </w:pPr>
      <w:r w:rsidRPr="00AB47FF">
        <w:rPr>
          <w:sz w:val="20"/>
          <w:szCs w:val="20"/>
        </w:rPr>
        <w:t>Il s’</w:t>
      </w:r>
      <w:r w:rsidR="00955D31">
        <w:rPr>
          <w:sz w:val="20"/>
          <w:szCs w:val="20"/>
        </w:rPr>
        <w:t>est a</w:t>
      </w:r>
      <w:r w:rsidRPr="00AB47FF">
        <w:rPr>
          <w:sz w:val="20"/>
          <w:szCs w:val="20"/>
        </w:rPr>
        <w:t>gi d’une étu</w:t>
      </w:r>
      <w:r w:rsidR="00AC73A2" w:rsidRPr="00AB47FF">
        <w:rPr>
          <w:sz w:val="20"/>
          <w:szCs w:val="20"/>
        </w:rPr>
        <w:t>d</w:t>
      </w:r>
      <w:r w:rsidRPr="00AB47FF">
        <w:rPr>
          <w:sz w:val="20"/>
          <w:szCs w:val="20"/>
        </w:rPr>
        <w:t xml:space="preserve">e </w:t>
      </w:r>
      <w:r w:rsidR="00AC73A2" w:rsidRPr="00AB47FF">
        <w:rPr>
          <w:sz w:val="20"/>
          <w:szCs w:val="20"/>
        </w:rPr>
        <w:t xml:space="preserve">transversale, descriptive avec une collecte </w:t>
      </w:r>
      <w:r w:rsidRPr="00AB47FF">
        <w:rPr>
          <w:sz w:val="20"/>
          <w:szCs w:val="20"/>
        </w:rPr>
        <w:t>rétrospective</w:t>
      </w:r>
      <w:r w:rsidR="00AC73A2" w:rsidRPr="00AB47FF">
        <w:rPr>
          <w:sz w:val="20"/>
          <w:szCs w:val="20"/>
        </w:rPr>
        <w:t xml:space="preserve"> des données</w:t>
      </w:r>
      <w:r w:rsidRPr="00AB47FF">
        <w:rPr>
          <w:sz w:val="20"/>
          <w:szCs w:val="20"/>
        </w:rPr>
        <w:t xml:space="preserve"> </w:t>
      </w:r>
      <w:r w:rsidR="00AC73A2" w:rsidRPr="00AB47FF">
        <w:rPr>
          <w:sz w:val="20"/>
          <w:szCs w:val="20"/>
        </w:rPr>
        <w:t>(</w:t>
      </w:r>
      <w:r w:rsidRPr="00AB47FF">
        <w:rPr>
          <w:sz w:val="20"/>
          <w:szCs w:val="20"/>
        </w:rPr>
        <w:t>de janvier 2010 à décembre 2011) et prospect</w:t>
      </w:r>
      <w:r w:rsidR="00B92E70">
        <w:rPr>
          <w:sz w:val="20"/>
          <w:szCs w:val="20"/>
        </w:rPr>
        <w:t xml:space="preserve">ive (de janvier </w:t>
      </w:r>
      <w:r w:rsidRPr="00AB47FF">
        <w:rPr>
          <w:sz w:val="20"/>
          <w:szCs w:val="20"/>
        </w:rPr>
        <w:t xml:space="preserve">à décembre 2012) soit </w:t>
      </w:r>
      <w:r w:rsidR="00AC73A2" w:rsidRPr="00AB47FF">
        <w:rPr>
          <w:sz w:val="20"/>
          <w:szCs w:val="20"/>
        </w:rPr>
        <w:t xml:space="preserve">une période d’étude de </w:t>
      </w:r>
      <w:r w:rsidRPr="00AB47FF">
        <w:rPr>
          <w:sz w:val="20"/>
          <w:szCs w:val="20"/>
        </w:rPr>
        <w:t>3 ans</w:t>
      </w:r>
      <w:r w:rsidR="00805BC0" w:rsidRPr="00AB47FF">
        <w:rPr>
          <w:sz w:val="20"/>
          <w:szCs w:val="20"/>
        </w:rPr>
        <w:t xml:space="preserve"> dans le service de</w:t>
      </w:r>
      <w:r w:rsidR="0061634E" w:rsidRPr="00AB47FF">
        <w:rPr>
          <w:sz w:val="20"/>
          <w:szCs w:val="20"/>
        </w:rPr>
        <w:t xml:space="preserve"> </w:t>
      </w:r>
      <w:r w:rsidR="00805BC0" w:rsidRPr="00AB47FF">
        <w:rPr>
          <w:sz w:val="20"/>
          <w:szCs w:val="20"/>
        </w:rPr>
        <w:t>gynécologie obstétrique de l’hôpital</w:t>
      </w:r>
      <w:r w:rsidR="00AC73A2" w:rsidRPr="00AB47FF">
        <w:rPr>
          <w:sz w:val="20"/>
          <w:szCs w:val="20"/>
        </w:rPr>
        <w:t xml:space="preserve"> de deuxième référence de </w:t>
      </w:r>
      <w:r w:rsidR="00805BC0" w:rsidRPr="00AB47FF">
        <w:rPr>
          <w:sz w:val="20"/>
          <w:szCs w:val="20"/>
        </w:rPr>
        <w:t>Ségou</w:t>
      </w:r>
      <w:r w:rsidR="00AB388F" w:rsidRPr="00AB47FF">
        <w:rPr>
          <w:sz w:val="20"/>
          <w:szCs w:val="20"/>
        </w:rPr>
        <w:t xml:space="preserve"> au Mali</w:t>
      </w:r>
      <w:r w:rsidRPr="00AB47FF">
        <w:rPr>
          <w:sz w:val="20"/>
          <w:szCs w:val="20"/>
        </w:rPr>
        <w:t>.</w:t>
      </w:r>
      <w:r w:rsidR="00805BC0" w:rsidRPr="00955D31">
        <w:rPr>
          <w:bCs/>
          <w:sz w:val="20"/>
          <w:szCs w:val="20"/>
        </w:rPr>
        <w:t xml:space="preserve"> </w:t>
      </w:r>
      <w:r w:rsidR="00AB388F" w:rsidRPr="00AB47FF">
        <w:rPr>
          <w:sz w:val="20"/>
          <w:szCs w:val="20"/>
        </w:rPr>
        <w:t xml:space="preserve">La population d’étude était constituée des gestantes, des parturientes et des accouchées admises dans le service. L’échantillonnage était exhaustif. </w:t>
      </w:r>
      <w:r w:rsidR="009353A7" w:rsidRPr="00AB47FF">
        <w:rPr>
          <w:sz w:val="20"/>
          <w:szCs w:val="20"/>
        </w:rPr>
        <w:t xml:space="preserve">Les critères d’inclusion étaient : </w:t>
      </w:r>
      <w:r w:rsidRPr="00AB47FF">
        <w:rPr>
          <w:sz w:val="20"/>
          <w:szCs w:val="20"/>
        </w:rPr>
        <w:t xml:space="preserve">une crise tonico-clonique associée à une tension artérielle systolique supérieure ou égale à 140 mmHg et / ou une tension artérielle diastolique supérieure ou égale à 90 mmHg </w:t>
      </w:r>
      <w:r w:rsidR="008D3233">
        <w:rPr>
          <w:sz w:val="20"/>
          <w:szCs w:val="20"/>
        </w:rPr>
        <w:t xml:space="preserve">et </w:t>
      </w:r>
      <w:r w:rsidRPr="00AB47FF">
        <w:rPr>
          <w:sz w:val="20"/>
          <w:szCs w:val="20"/>
        </w:rPr>
        <w:t xml:space="preserve">à une protéinurie </w:t>
      </w:r>
      <w:r w:rsidR="00801902" w:rsidRPr="00AB47FF">
        <w:rPr>
          <w:sz w:val="20"/>
          <w:szCs w:val="20"/>
        </w:rPr>
        <w:t>significative (</w:t>
      </w:r>
      <w:r w:rsidR="00801902" w:rsidRPr="00AB47FF">
        <w:rPr>
          <w:b/>
          <w:bCs/>
          <w:sz w:val="20"/>
          <w:szCs w:val="20"/>
        </w:rPr>
        <w:t>≥</w:t>
      </w:r>
      <w:r w:rsidR="00801902" w:rsidRPr="00AB47FF">
        <w:rPr>
          <w:sz w:val="20"/>
          <w:szCs w:val="20"/>
        </w:rPr>
        <w:t xml:space="preserve"> </w:t>
      </w:r>
      <w:r w:rsidRPr="00AB47FF">
        <w:rPr>
          <w:sz w:val="20"/>
          <w:szCs w:val="20"/>
        </w:rPr>
        <w:t>0,30g / 24H).</w:t>
      </w:r>
      <w:r w:rsidR="00512D42" w:rsidRPr="00AB47FF">
        <w:rPr>
          <w:sz w:val="20"/>
          <w:szCs w:val="20"/>
        </w:rPr>
        <w:t xml:space="preserve"> Les patientes dont les dossiers n’étaient pas</w:t>
      </w:r>
      <w:r w:rsidR="00801902" w:rsidRPr="00AB47FF">
        <w:rPr>
          <w:sz w:val="20"/>
          <w:szCs w:val="20"/>
        </w:rPr>
        <w:t xml:space="preserve"> disponibles ainsi que celles qui présentaient des crises convulsives pendant la grossesse non associée à </w:t>
      </w:r>
      <w:r w:rsidR="008D3233">
        <w:rPr>
          <w:sz w:val="20"/>
          <w:szCs w:val="20"/>
        </w:rPr>
        <w:t xml:space="preserve">une </w:t>
      </w:r>
      <w:r w:rsidR="00116BBA">
        <w:rPr>
          <w:sz w:val="20"/>
          <w:szCs w:val="20"/>
        </w:rPr>
        <w:t>H</w:t>
      </w:r>
      <w:r w:rsidR="00801902" w:rsidRPr="00AB47FF">
        <w:rPr>
          <w:sz w:val="20"/>
          <w:szCs w:val="20"/>
        </w:rPr>
        <w:t>yper</w:t>
      </w:r>
      <w:r w:rsidR="00116BBA">
        <w:rPr>
          <w:sz w:val="20"/>
          <w:szCs w:val="20"/>
        </w:rPr>
        <w:t>T</w:t>
      </w:r>
      <w:r w:rsidR="00801902" w:rsidRPr="00AB47FF">
        <w:rPr>
          <w:sz w:val="20"/>
          <w:szCs w:val="20"/>
        </w:rPr>
        <w:t xml:space="preserve">ension </w:t>
      </w:r>
      <w:r w:rsidR="00116BBA">
        <w:rPr>
          <w:sz w:val="20"/>
          <w:szCs w:val="20"/>
        </w:rPr>
        <w:lastRenderedPageBreak/>
        <w:t>A</w:t>
      </w:r>
      <w:r w:rsidR="00801902" w:rsidRPr="00AB47FF">
        <w:rPr>
          <w:sz w:val="20"/>
          <w:szCs w:val="20"/>
        </w:rPr>
        <w:t>rtérielle</w:t>
      </w:r>
      <w:r w:rsidR="00116BBA">
        <w:rPr>
          <w:sz w:val="20"/>
          <w:szCs w:val="20"/>
        </w:rPr>
        <w:t xml:space="preserve"> (HTA)</w:t>
      </w:r>
      <w:r w:rsidR="00801902" w:rsidRPr="00AB47FF">
        <w:rPr>
          <w:sz w:val="20"/>
          <w:szCs w:val="20"/>
        </w:rPr>
        <w:t xml:space="preserve"> ont </w:t>
      </w:r>
      <w:r w:rsidR="00512D42" w:rsidRPr="00AB47FF">
        <w:rPr>
          <w:sz w:val="20"/>
          <w:szCs w:val="20"/>
        </w:rPr>
        <w:t xml:space="preserve">été exclues. Les données </w:t>
      </w:r>
      <w:r w:rsidR="004864D5" w:rsidRPr="00AB47FF">
        <w:rPr>
          <w:sz w:val="20"/>
          <w:szCs w:val="20"/>
        </w:rPr>
        <w:t>ont</w:t>
      </w:r>
      <w:r w:rsidR="00512D42" w:rsidRPr="00AB47FF">
        <w:rPr>
          <w:sz w:val="20"/>
          <w:szCs w:val="20"/>
        </w:rPr>
        <w:t xml:space="preserve"> été collectées à l’aide d’une fiche</w:t>
      </w:r>
      <w:r w:rsidR="00801902" w:rsidRPr="00AB47FF">
        <w:rPr>
          <w:sz w:val="20"/>
          <w:szCs w:val="20"/>
        </w:rPr>
        <w:t xml:space="preserve"> d’enquête</w:t>
      </w:r>
      <w:r w:rsidR="00512D42" w:rsidRPr="00AB47FF">
        <w:rPr>
          <w:sz w:val="20"/>
          <w:szCs w:val="20"/>
        </w:rPr>
        <w:t xml:space="preserve"> préalablement testée. Les sources de collecte des données étaient</w:t>
      </w:r>
      <w:r w:rsidR="008D3233">
        <w:rPr>
          <w:sz w:val="20"/>
          <w:szCs w:val="20"/>
        </w:rPr>
        <w:t> </w:t>
      </w:r>
      <w:r w:rsidR="00512D42" w:rsidRPr="00AB47FF">
        <w:rPr>
          <w:sz w:val="20"/>
          <w:szCs w:val="20"/>
        </w:rPr>
        <w:t xml:space="preserve">: les </w:t>
      </w:r>
      <w:r w:rsidR="00DD5504" w:rsidRPr="00AB47FF">
        <w:rPr>
          <w:sz w:val="20"/>
          <w:szCs w:val="20"/>
        </w:rPr>
        <w:t>dossiers médicaux, les registres</w:t>
      </w:r>
      <w:r w:rsidR="00512D42" w:rsidRPr="00AB47FF">
        <w:rPr>
          <w:sz w:val="20"/>
          <w:szCs w:val="20"/>
        </w:rPr>
        <w:t xml:space="preserve"> d’admission, d’accouchement, et </w:t>
      </w:r>
      <w:r w:rsidR="00801902" w:rsidRPr="00AB47FF">
        <w:rPr>
          <w:sz w:val="20"/>
          <w:szCs w:val="20"/>
        </w:rPr>
        <w:t xml:space="preserve">de compte rendu </w:t>
      </w:r>
      <w:r w:rsidR="00512D42" w:rsidRPr="00AB47FF">
        <w:rPr>
          <w:sz w:val="20"/>
          <w:szCs w:val="20"/>
        </w:rPr>
        <w:t>opératoire. Les variables étudiées étaient</w:t>
      </w:r>
      <w:r w:rsidR="008D3233">
        <w:rPr>
          <w:sz w:val="20"/>
          <w:szCs w:val="20"/>
        </w:rPr>
        <w:t> </w:t>
      </w:r>
      <w:r w:rsidR="00512D42" w:rsidRPr="00AB47FF">
        <w:rPr>
          <w:sz w:val="20"/>
          <w:szCs w:val="20"/>
        </w:rPr>
        <w:t xml:space="preserve">: les caractéristiques épidémiologiques (âge, parité, nombre de </w:t>
      </w:r>
      <w:r w:rsidR="004864D5" w:rsidRPr="00AB47FF">
        <w:rPr>
          <w:sz w:val="20"/>
          <w:szCs w:val="20"/>
        </w:rPr>
        <w:t>consultation prénatale</w:t>
      </w:r>
      <w:r w:rsidR="00512D42" w:rsidRPr="00AB47FF">
        <w:rPr>
          <w:sz w:val="20"/>
          <w:szCs w:val="20"/>
        </w:rPr>
        <w:t xml:space="preserve">, les facteurs </w:t>
      </w:r>
      <w:r w:rsidR="00DD5504" w:rsidRPr="00AB47FF">
        <w:rPr>
          <w:sz w:val="20"/>
          <w:szCs w:val="20"/>
        </w:rPr>
        <w:t>de risque</w:t>
      </w:r>
      <w:r w:rsidR="00512D42" w:rsidRPr="00AB47FF">
        <w:rPr>
          <w:sz w:val="20"/>
          <w:szCs w:val="20"/>
        </w:rPr>
        <w:t>, l’origine des patiente</w:t>
      </w:r>
      <w:r w:rsidR="005A6E0E" w:rsidRPr="00AB47FF">
        <w:rPr>
          <w:sz w:val="20"/>
          <w:szCs w:val="20"/>
        </w:rPr>
        <w:t>s</w:t>
      </w:r>
      <w:r w:rsidR="00512D42" w:rsidRPr="00AB47FF">
        <w:rPr>
          <w:sz w:val="20"/>
          <w:szCs w:val="20"/>
        </w:rPr>
        <w:t>), les aspects thérapeutiques (</w:t>
      </w:r>
      <w:r w:rsidR="00DD5504" w:rsidRPr="00AB47FF">
        <w:rPr>
          <w:sz w:val="20"/>
          <w:szCs w:val="20"/>
        </w:rPr>
        <w:t>voie d’</w:t>
      </w:r>
      <w:r w:rsidR="00AB388F" w:rsidRPr="00AB47FF">
        <w:rPr>
          <w:sz w:val="20"/>
          <w:szCs w:val="20"/>
        </w:rPr>
        <w:t>accouchement</w:t>
      </w:r>
      <w:r w:rsidR="00512D42" w:rsidRPr="00AB47FF">
        <w:rPr>
          <w:sz w:val="20"/>
          <w:szCs w:val="20"/>
        </w:rPr>
        <w:t>, la réanimation, la transfusion sanguine) et pronostiques (</w:t>
      </w:r>
      <w:r w:rsidR="00DD5504" w:rsidRPr="00AB47FF">
        <w:rPr>
          <w:sz w:val="20"/>
          <w:szCs w:val="20"/>
        </w:rPr>
        <w:t>la morbi mortalité materno-fœtale)</w:t>
      </w:r>
      <w:r w:rsidR="00195510" w:rsidRPr="00AB47FF">
        <w:rPr>
          <w:sz w:val="20"/>
          <w:szCs w:val="20"/>
        </w:rPr>
        <w:t>.</w:t>
      </w:r>
      <w:r w:rsidR="00512D42" w:rsidRPr="00AB47FF">
        <w:rPr>
          <w:sz w:val="20"/>
          <w:szCs w:val="20"/>
        </w:rPr>
        <w:t xml:space="preserve"> </w:t>
      </w:r>
      <w:r w:rsidR="00A8369B" w:rsidRPr="00AB47FF">
        <w:rPr>
          <w:sz w:val="20"/>
          <w:szCs w:val="20"/>
        </w:rPr>
        <w:t>Les limites</w:t>
      </w:r>
      <w:r w:rsidR="000C73D3">
        <w:rPr>
          <w:sz w:val="20"/>
          <w:szCs w:val="20"/>
        </w:rPr>
        <w:t xml:space="preserve"> ont été marquées par l</w:t>
      </w:r>
      <w:r w:rsidR="00A8369B" w:rsidRPr="00AB47FF">
        <w:rPr>
          <w:sz w:val="20"/>
          <w:szCs w:val="20"/>
        </w:rPr>
        <w:t>e manque de moyens financiers et l’insuffisance du plateau technique à réaliser certains examens biologiques, l’incomplétude de certains dossi</w:t>
      </w:r>
      <w:r w:rsidR="000C73D3">
        <w:rPr>
          <w:sz w:val="20"/>
          <w:szCs w:val="20"/>
        </w:rPr>
        <w:t>ers de la période rétrospective</w:t>
      </w:r>
      <w:r w:rsidR="00A8369B" w:rsidRPr="00AB47FF">
        <w:rPr>
          <w:rFonts w:eastAsia="BookmanOldStyle"/>
          <w:sz w:val="20"/>
          <w:szCs w:val="20"/>
          <w:lang w:eastAsia="en-US"/>
        </w:rPr>
        <w:t xml:space="preserve">. </w:t>
      </w:r>
      <w:r w:rsidR="00512D42" w:rsidRPr="00AB47FF">
        <w:rPr>
          <w:sz w:val="20"/>
          <w:szCs w:val="20"/>
        </w:rPr>
        <w:t xml:space="preserve">Les données recueillies </w:t>
      </w:r>
      <w:r w:rsidR="000C73D3">
        <w:rPr>
          <w:sz w:val="20"/>
          <w:szCs w:val="20"/>
        </w:rPr>
        <w:t xml:space="preserve">ont </w:t>
      </w:r>
      <w:r w:rsidR="00512D42" w:rsidRPr="00AB47FF">
        <w:rPr>
          <w:sz w:val="20"/>
          <w:szCs w:val="20"/>
        </w:rPr>
        <w:t>ét</w:t>
      </w:r>
      <w:r w:rsidR="000C73D3">
        <w:rPr>
          <w:sz w:val="20"/>
          <w:szCs w:val="20"/>
        </w:rPr>
        <w:t>é</w:t>
      </w:r>
      <w:r w:rsidR="00512D42" w:rsidRPr="00AB47FF">
        <w:rPr>
          <w:sz w:val="20"/>
          <w:szCs w:val="20"/>
        </w:rPr>
        <w:t xml:space="preserve"> traitées </w:t>
      </w:r>
      <w:r w:rsidR="00DD5504" w:rsidRPr="00AB47FF">
        <w:rPr>
          <w:sz w:val="20"/>
          <w:szCs w:val="20"/>
        </w:rPr>
        <w:t xml:space="preserve">et analysées à l’aide des </w:t>
      </w:r>
      <w:r w:rsidR="00EB031D" w:rsidRPr="00AB47FF">
        <w:rPr>
          <w:sz w:val="20"/>
          <w:szCs w:val="20"/>
        </w:rPr>
        <w:t>logitiels</w:t>
      </w:r>
      <w:r w:rsidR="00512D42" w:rsidRPr="00AB47FF">
        <w:rPr>
          <w:sz w:val="20"/>
          <w:szCs w:val="20"/>
        </w:rPr>
        <w:t xml:space="preserve"> </w:t>
      </w:r>
      <w:r w:rsidR="00DD5504" w:rsidRPr="00AB47FF">
        <w:rPr>
          <w:sz w:val="20"/>
          <w:szCs w:val="20"/>
        </w:rPr>
        <w:t>EPI info</w:t>
      </w:r>
      <w:r w:rsidR="00AB388F" w:rsidRPr="00AB47FF">
        <w:rPr>
          <w:sz w:val="20"/>
          <w:szCs w:val="20"/>
        </w:rPr>
        <w:t xml:space="preserve"> version 2000</w:t>
      </w:r>
      <w:r w:rsidR="00DD5504" w:rsidRPr="00AB47FF">
        <w:rPr>
          <w:sz w:val="20"/>
          <w:szCs w:val="20"/>
        </w:rPr>
        <w:t>,</w:t>
      </w:r>
      <w:r w:rsidR="00512D42" w:rsidRPr="00AB47FF">
        <w:rPr>
          <w:sz w:val="20"/>
          <w:szCs w:val="20"/>
        </w:rPr>
        <w:t xml:space="preserve"> E</w:t>
      </w:r>
      <w:r w:rsidR="000C73D3">
        <w:rPr>
          <w:sz w:val="20"/>
          <w:szCs w:val="20"/>
        </w:rPr>
        <w:t>xcel</w:t>
      </w:r>
      <w:r w:rsidR="00512D42" w:rsidRPr="00AB47FF">
        <w:rPr>
          <w:sz w:val="20"/>
          <w:szCs w:val="20"/>
        </w:rPr>
        <w:t xml:space="preserve"> et W</w:t>
      </w:r>
      <w:r w:rsidR="000C73D3">
        <w:rPr>
          <w:sz w:val="20"/>
          <w:szCs w:val="20"/>
        </w:rPr>
        <w:t>ord</w:t>
      </w:r>
      <w:r w:rsidR="00512D42" w:rsidRPr="00AB47FF">
        <w:rPr>
          <w:sz w:val="20"/>
          <w:szCs w:val="20"/>
        </w:rPr>
        <w:t xml:space="preserve"> 2007</w:t>
      </w:r>
      <w:r w:rsidR="00EB031D" w:rsidRPr="00AB47FF">
        <w:rPr>
          <w:sz w:val="20"/>
          <w:szCs w:val="20"/>
        </w:rPr>
        <w:t>.</w:t>
      </w:r>
      <w:r w:rsidR="00512D42" w:rsidRPr="00AB47FF">
        <w:rPr>
          <w:sz w:val="20"/>
          <w:szCs w:val="20"/>
        </w:rPr>
        <w:t xml:space="preserve"> Les variables quantitatives étaient exprimées en moyenne et écart type, les variables qualitatives en pourcentage.</w:t>
      </w:r>
    </w:p>
    <w:p w:rsidR="00390630" w:rsidRPr="00AB47FF" w:rsidRDefault="00CF032F" w:rsidP="00CF032F">
      <w:pPr>
        <w:autoSpaceDE w:val="0"/>
        <w:autoSpaceDN w:val="0"/>
        <w:adjustRightInd w:val="0"/>
        <w:spacing w:before="120" w:after="40"/>
        <w:jc w:val="both"/>
        <w:rPr>
          <w:sz w:val="20"/>
          <w:szCs w:val="20"/>
        </w:rPr>
      </w:pPr>
      <w:r w:rsidRPr="00AB47FF">
        <w:rPr>
          <w:b/>
          <w:sz w:val="20"/>
          <w:szCs w:val="20"/>
        </w:rPr>
        <w:t>RÉSULTATS</w:t>
      </w:r>
    </w:p>
    <w:p w:rsidR="003F10FF" w:rsidRPr="00AB47FF" w:rsidRDefault="00AB47FF" w:rsidP="00AB47FF">
      <w:pPr>
        <w:autoSpaceDE w:val="0"/>
        <w:autoSpaceDN w:val="0"/>
        <w:adjustRightInd w:val="0"/>
        <w:jc w:val="both"/>
        <w:rPr>
          <w:rFonts w:eastAsia="MS PGothic"/>
          <w:b/>
          <w:sz w:val="20"/>
          <w:szCs w:val="20"/>
        </w:rPr>
      </w:pPr>
      <w:r w:rsidRPr="00AB47FF">
        <w:rPr>
          <w:rFonts w:eastAsia="MS PGothic"/>
          <w:bCs/>
          <w:sz w:val="20"/>
          <w:szCs w:val="20"/>
        </w:rPr>
        <w:t>A</w:t>
      </w:r>
      <w:r w:rsidR="008D3233">
        <w:rPr>
          <w:rFonts w:eastAsia="MS PGothic"/>
          <w:bCs/>
          <w:sz w:val="20"/>
          <w:szCs w:val="20"/>
        </w:rPr>
        <w:t>près dépouillement d</w:t>
      </w:r>
      <w:r w:rsidR="00370884" w:rsidRPr="00AB47FF">
        <w:rPr>
          <w:rFonts w:eastAsia="MS PGothic"/>
          <w:bCs/>
          <w:sz w:val="20"/>
          <w:szCs w:val="20"/>
        </w:rPr>
        <w:t xml:space="preserve">es </w:t>
      </w:r>
      <w:r w:rsidR="00914097" w:rsidRPr="00AB47FF">
        <w:rPr>
          <w:rFonts w:eastAsia="MS PGothic"/>
          <w:bCs/>
          <w:sz w:val="20"/>
          <w:szCs w:val="20"/>
        </w:rPr>
        <w:t>dossiers</w:t>
      </w:r>
      <w:r w:rsidR="008D3233">
        <w:rPr>
          <w:rFonts w:eastAsia="MS PGothic"/>
          <w:bCs/>
          <w:sz w:val="20"/>
          <w:szCs w:val="20"/>
        </w:rPr>
        <w:t>,</w:t>
      </w:r>
      <w:r w:rsidR="00914097" w:rsidRPr="00AB47FF">
        <w:rPr>
          <w:rFonts w:eastAsia="MS PGothic"/>
          <w:bCs/>
          <w:sz w:val="20"/>
          <w:szCs w:val="20"/>
        </w:rPr>
        <w:t xml:space="preserve"> </w:t>
      </w:r>
      <w:r w:rsidR="00370884" w:rsidRPr="00AB47FF">
        <w:rPr>
          <w:rFonts w:eastAsia="MS PGothic"/>
          <w:bCs/>
          <w:sz w:val="20"/>
          <w:szCs w:val="20"/>
        </w:rPr>
        <w:t xml:space="preserve">176 </w:t>
      </w:r>
      <w:r w:rsidR="00914097" w:rsidRPr="00AB47FF">
        <w:rPr>
          <w:rFonts w:eastAsia="MS PGothic"/>
          <w:bCs/>
          <w:sz w:val="20"/>
          <w:szCs w:val="20"/>
        </w:rPr>
        <w:t xml:space="preserve">patientes </w:t>
      </w:r>
      <w:r w:rsidR="00830D27">
        <w:rPr>
          <w:rFonts w:eastAsia="MS PGothic"/>
          <w:bCs/>
          <w:sz w:val="20"/>
          <w:szCs w:val="20"/>
        </w:rPr>
        <w:t>ont été retenues</w:t>
      </w:r>
      <w:r w:rsidR="00370884" w:rsidRPr="00AB47FF">
        <w:rPr>
          <w:rFonts w:eastAsia="MS PGothic"/>
          <w:bCs/>
          <w:sz w:val="20"/>
          <w:szCs w:val="20"/>
        </w:rPr>
        <w:t>.</w:t>
      </w:r>
    </w:p>
    <w:p w:rsidR="00AB47FF" w:rsidRPr="00AB47FF" w:rsidRDefault="003F10FF" w:rsidP="00CF032F">
      <w:pPr>
        <w:autoSpaceDE w:val="0"/>
        <w:autoSpaceDN w:val="0"/>
        <w:adjustRightInd w:val="0"/>
        <w:spacing w:before="60" w:after="20"/>
        <w:jc w:val="both"/>
        <w:rPr>
          <w:b/>
          <w:bCs/>
          <w:sz w:val="20"/>
          <w:szCs w:val="20"/>
        </w:rPr>
      </w:pPr>
      <w:r w:rsidRPr="00AB47FF">
        <w:rPr>
          <w:b/>
          <w:bCs/>
          <w:sz w:val="20"/>
          <w:szCs w:val="20"/>
        </w:rPr>
        <w:t>Caractéristiques épidémiologiques</w:t>
      </w:r>
    </w:p>
    <w:p w:rsidR="0076692B" w:rsidRPr="00AB47FF" w:rsidRDefault="009353A7" w:rsidP="00AB47FF">
      <w:pPr>
        <w:autoSpaceDE w:val="0"/>
        <w:autoSpaceDN w:val="0"/>
        <w:adjustRightInd w:val="0"/>
        <w:jc w:val="both"/>
        <w:rPr>
          <w:sz w:val="20"/>
          <w:szCs w:val="20"/>
        </w:rPr>
      </w:pPr>
      <w:r w:rsidRPr="00AB47FF">
        <w:rPr>
          <w:sz w:val="20"/>
          <w:szCs w:val="20"/>
        </w:rPr>
        <w:t xml:space="preserve">Pendant la période d’étude </w:t>
      </w:r>
      <w:r w:rsidR="00B60DFA" w:rsidRPr="00AB47FF">
        <w:rPr>
          <w:sz w:val="20"/>
          <w:szCs w:val="20"/>
        </w:rPr>
        <w:t>nous avons enregistré</w:t>
      </w:r>
      <w:r w:rsidR="00B60DFA" w:rsidRPr="00AB47FF">
        <w:rPr>
          <w:b/>
          <w:sz w:val="20"/>
          <w:szCs w:val="20"/>
        </w:rPr>
        <w:t xml:space="preserve"> </w:t>
      </w:r>
      <w:r w:rsidR="00B60DFA" w:rsidRPr="00281D5A">
        <w:rPr>
          <w:sz w:val="20"/>
          <w:szCs w:val="20"/>
        </w:rPr>
        <w:t>176 cas d’éclampsie sur les 5976 patientes admises en période</w:t>
      </w:r>
      <w:r w:rsidR="00370884" w:rsidRPr="00281D5A">
        <w:rPr>
          <w:sz w:val="20"/>
          <w:szCs w:val="20"/>
        </w:rPr>
        <w:t xml:space="preserve"> </w:t>
      </w:r>
      <w:r w:rsidR="00B60DFA" w:rsidRPr="00281D5A">
        <w:rPr>
          <w:sz w:val="20"/>
          <w:szCs w:val="20"/>
        </w:rPr>
        <w:t xml:space="preserve">gravido-puerpérale soit une fréquence de 2,9%. </w:t>
      </w:r>
      <w:r w:rsidR="007702E6" w:rsidRPr="00281D5A">
        <w:rPr>
          <w:sz w:val="20"/>
          <w:szCs w:val="20"/>
        </w:rPr>
        <w:t>L’âge moyen de</w:t>
      </w:r>
      <w:r w:rsidR="00281D5A">
        <w:rPr>
          <w:sz w:val="20"/>
          <w:szCs w:val="20"/>
        </w:rPr>
        <w:t xml:space="preserve">s patientes était de 20,65 ans </w:t>
      </w:r>
      <w:r w:rsidR="007702E6" w:rsidRPr="00281D5A">
        <w:rPr>
          <w:sz w:val="20"/>
          <w:szCs w:val="20"/>
        </w:rPr>
        <w:t xml:space="preserve">avec des extrêmes de 14 et 44 ans. </w:t>
      </w:r>
      <w:r w:rsidR="00B60DFA" w:rsidRPr="00281D5A">
        <w:rPr>
          <w:sz w:val="20"/>
          <w:szCs w:val="20"/>
        </w:rPr>
        <w:t>La tranche d’âge de 14 ans à 19 ans était la plus touchée avec une fréquence de 60,2%. Dans notre série</w:t>
      </w:r>
      <w:r w:rsidR="00830D27">
        <w:rPr>
          <w:sz w:val="20"/>
          <w:szCs w:val="20"/>
        </w:rPr>
        <w:t>,</w:t>
      </w:r>
      <w:r w:rsidR="00B60DFA" w:rsidRPr="00281D5A">
        <w:rPr>
          <w:sz w:val="20"/>
          <w:szCs w:val="20"/>
        </w:rPr>
        <w:t xml:space="preserve"> 81,8% de</w:t>
      </w:r>
      <w:r w:rsidR="008E234A" w:rsidRPr="00281D5A">
        <w:rPr>
          <w:sz w:val="20"/>
          <w:szCs w:val="20"/>
        </w:rPr>
        <w:t>s</w:t>
      </w:r>
      <w:r w:rsidR="00B60DFA" w:rsidRPr="00281D5A">
        <w:rPr>
          <w:sz w:val="20"/>
          <w:szCs w:val="20"/>
        </w:rPr>
        <w:t xml:space="preserve"> patientes étaient non scolarisées et 13,6% avaient un niveau</w:t>
      </w:r>
      <w:r w:rsidR="00B60DFA" w:rsidRPr="00AB47FF">
        <w:rPr>
          <w:sz w:val="20"/>
          <w:szCs w:val="20"/>
        </w:rPr>
        <w:t xml:space="preserve"> primaire. Il s’agit de patientes qui ignoraient le plus souvent l’importance des consultations prénatales dont les grossesses ont été non ou mal suivies. 61,9% des patientes n’avaient </w:t>
      </w:r>
      <w:r w:rsidR="00A955D7" w:rsidRPr="00AB47FF">
        <w:rPr>
          <w:sz w:val="20"/>
          <w:szCs w:val="20"/>
        </w:rPr>
        <w:t xml:space="preserve">effectué </w:t>
      </w:r>
      <w:r w:rsidR="00B60DFA" w:rsidRPr="00AB47FF">
        <w:rPr>
          <w:sz w:val="20"/>
          <w:szCs w:val="20"/>
        </w:rPr>
        <w:t>aucune consultation prénatale.</w:t>
      </w:r>
    </w:p>
    <w:p w:rsidR="0076692B" w:rsidRDefault="0076692B" w:rsidP="00AB47FF">
      <w:pPr>
        <w:autoSpaceDE w:val="0"/>
        <w:autoSpaceDN w:val="0"/>
        <w:adjustRightInd w:val="0"/>
        <w:jc w:val="both"/>
        <w:rPr>
          <w:sz w:val="20"/>
          <w:szCs w:val="20"/>
        </w:rPr>
      </w:pPr>
      <w:r w:rsidRPr="00AB47FF">
        <w:rPr>
          <w:sz w:val="20"/>
          <w:szCs w:val="20"/>
        </w:rPr>
        <w:t xml:space="preserve">Le tableau </w:t>
      </w:r>
      <w:r w:rsidR="00296827" w:rsidRPr="00AB47FF">
        <w:rPr>
          <w:sz w:val="20"/>
          <w:szCs w:val="20"/>
        </w:rPr>
        <w:t>1</w:t>
      </w:r>
      <w:r w:rsidRPr="00AB47FF">
        <w:rPr>
          <w:sz w:val="20"/>
          <w:szCs w:val="20"/>
        </w:rPr>
        <w:t xml:space="preserve"> </w:t>
      </w:r>
      <w:r w:rsidR="008E234A" w:rsidRPr="00AB47FF">
        <w:rPr>
          <w:sz w:val="20"/>
          <w:szCs w:val="20"/>
        </w:rPr>
        <w:t xml:space="preserve">résume </w:t>
      </w:r>
      <w:r w:rsidRPr="00AB47FF">
        <w:rPr>
          <w:sz w:val="20"/>
          <w:szCs w:val="20"/>
        </w:rPr>
        <w:t>les caractéristiques épidémiologiques des patientes.</w:t>
      </w:r>
    </w:p>
    <w:tbl>
      <w:tblPr>
        <w:tblStyle w:val="Grilledutableau"/>
        <w:tblW w:w="0" w:type="auto"/>
        <w:tblLook w:val="0020"/>
      </w:tblPr>
      <w:tblGrid>
        <w:gridCol w:w="2477"/>
        <w:gridCol w:w="939"/>
        <w:gridCol w:w="1406"/>
      </w:tblGrid>
      <w:tr w:rsidR="00F12093" w:rsidRPr="00CF032F" w:rsidTr="001C5D6F">
        <w:tc>
          <w:tcPr>
            <w:tcW w:w="0" w:type="auto"/>
            <w:gridSpan w:val="3"/>
          </w:tcPr>
          <w:p w:rsidR="00F12093" w:rsidRPr="00CF032F" w:rsidRDefault="00F12093" w:rsidP="00F12093">
            <w:pPr>
              <w:autoSpaceDE w:val="0"/>
              <w:autoSpaceDN w:val="0"/>
              <w:adjustRightInd w:val="0"/>
              <w:jc w:val="both"/>
              <w:rPr>
                <w:b/>
                <w:sz w:val="18"/>
                <w:szCs w:val="20"/>
              </w:rPr>
            </w:pPr>
            <w:r w:rsidRPr="00CF032F">
              <w:rPr>
                <w:b/>
                <w:bCs/>
                <w:sz w:val="18"/>
                <w:szCs w:val="20"/>
              </w:rPr>
              <w:t>Tableau 1</w:t>
            </w:r>
            <w:r w:rsidR="008D3233">
              <w:rPr>
                <w:b/>
                <w:bCs/>
                <w:sz w:val="18"/>
                <w:szCs w:val="20"/>
              </w:rPr>
              <w:t> </w:t>
            </w:r>
            <w:r w:rsidRPr="00CF032F">
              <w:rPr>
                <w:b/>
                <w:bCs/>
                <w:sz w:val="18"/>
                <w:szCs w:val="20"/>
              </w:rPr>
              <w:t>:</w:t>
            </w:r>
            <w:r w:rsidRPr="00CF032F">
              <w:rPr>
                <w:sz w:val="18"/>
                <w:szCs w:val="20"/>
              </w:rPr>
              <w:t xml:space="preserve"> </w:t>
            </w:r>
            <w:r w:rsidRPr="00CF032F">
              <w:rPr>
                <w:color w:val="000000"/>
                <w:sz w:val="18"/>
                <w:szCs w:val="20"/>
              </w:rPr>
              <w:t>Caractéristiques épidémiologiques des patientes admises pour éclampsie à l’hôpital de deuxième référence à Ségou au Mali de 2010 à 2012.</w:t>
            </w:r>
          </w:p>
        </w:tc>
      </w:tr>
      <w:tr w:rsidR="000C7C0A" w:rsidRPr="00CF032F" w:rsidTr="001C5D6F">
        <w:tc>
          <w:tcPr>
            <w:tcW w:w="0" w:type="auto"/>
          </w:tcPr>
          <w:p w:rsidR="000C7C0A" w:rsidRPr="00CF032F" w:rsidRDefault="000C7C0A" w:rsidP="00AB47FF">
            <w:pPr>
              <w:jc w:val="both"/>
              <w:outlineLvl w:val="3"/>
              <w:rPr>
                <w:b/>
                <w:sz w:val="18"/>
                <w:szCs w:val="20"/>
              </w:rPr>
            </w:pPr>
            <w:r w:rsidRPr="00CF032F">
              <w:rPr>
                <w:b/>
                <w:sz w:val="18"/>
                <w:szCs w:val="20"/>
              </w:rPr>
              <w:t>Caractéristiques</w:t>
            </w:r>
          </w:p>
        </w:tc>
        <w:tc>
          <w:tcPr>
            <w:tcW w:w="0" w:type="auto"/>
          </w:tcPr>
          <w:p w:rsidR="000C7C0A" w:rsidRPr="00CF032F" w:rsidRDefault="000C7C0A" w:rsidP="00AB47FF">
            <w:pPr>
              <w:jc w:val="both"/>
              <w:outlineLvl w:val="3"/>
              <w:rPr>
                <w:b/>
                <w:sz w:val="18"/>
                <w:szCs w:val="20"/>
              </w:rPr>
            </w:pPr>
            <w:r w:rsidRPr="00CF032F">
              <w:rPr>
                <w:b/>
                <w:sz w:val="18"/>
                <w:szCs w:val="20"/>
              </w:rPr>
              <w:t>Effectif</w:t>
            </w:r>
          </w:p>
        </w:tc>
        <w:tc>
          <w:tcPr>
            <w:tcW w:w="0" w:type="auto"/>
          </w:tcPr>
          <w:p w:rsidR="000C7C0A" w:rsidRPr="00CF032F" w:rsidRDefault="000C7C0A" w:rsidP="00AB47FF">
            <w:pPr>
              <w:jc w:val="both"/>
              <w:outlineLvl w:val="3"/>
              <w:rPr>
                <w:b/>
                <w:sz w:val="18"/>
                <w:szCs w:val="20"/>
              </w:rPr>
            </w:pPr>
            <w:r w:rsidRPr="00CF032F">
              <w:rPr>
                <w:b/>
                <w:sz w:val="18"/>
                <w:szCs w:val="20"/>
              </w:rPr>
              <w:t>Pourcentage</w:t>
            </w:r>
          </w:p>
        </w:tc>
      </w:tr>
      <w:tr w:rsidR="00A23AD5" w:rsidRPr="00CF032F" w:rsidTr="001C5D6F">
        <w:tc>
          <w:tcPr>
            <w:tcW w:w="0" w:type="auto"/>
            <w:gridSpan w:val="3"/>
          </w:tcPr>
          <w:p w:rsidR="00A23AD5" w:rsidRPr="00CF032F" w:rsidRDefault="00A23AD5" w:rsidP="00A23AD5">
            <w:pPr>
              <w:jc w:val="center"/>
              <w:outlineLvl w:val="3"/>
              <w:rPr>
                <w:sz w:val="18"/>
                <w:szCs w:val="20"/>
              </w:rPr>
            </w:pPr>
            <w:r w:rsidRPr="00CF032F">
              <w:rPr>
                <w:sz w:val="18"/>
                <w:szCs w:val="20"/>
              </w:rPr>
              <w:t>Age en année</w:t>
            </w:r>
          </w:p>
        </w:tc>
      </w:tr>
      <w:tr w:rsidR="000C7C0A" w:rsidRPr="00CF032F" w:rsidTr="001C5D6F">
        <w:tc>
          <w:tcPr>
            <w:tcW w:w="0" w:type="auto"/>
          </w:tcPr>
          <w:p w:rsidR="000C7C0A" w:rsidRPr="00CF032F" w:rsidRDefault="000C7C0A" w:rsidP="00AB47FF">
            <w:pPr>
              <w:jc w:val="both"/>
              <w:outlineLvl w:val="3"/>
              <w:rPr>
                <w:sz w:val="18"/>
                <w:szCs w:val="20"/>
              </w:rPr>
            </w:pPr>
            <w:r w:rsidRPr="00CF032F">
              <w:rPr>
                <w:sz w:val="18"/>
                <w:szCs w:val="20"/>
              </w:rPr>
              <w:t>14-19 ans</w:t>
            </w:r>
          </w:p>
        </w:tc>
        <w:tc>
          <w:tcPr>
            <w:tcW w:w="0" w:type="auto"/>
          </w:tcPr>
          <w:p w:rsidR="000C7C0A" w:rsidRPr="00CF032F" w:rsidRDefault="000C7C0A" w:rsidP="00AB47FF">
            <w:pPr>
              <w:jc w:val="both"/>
              <w:outlineLvl w:val="3"/>
              <w:rPr>
                <w:sz w:val="18"/>
                <w:szCs w:val="20"/>
              </w:rPr>
            </w:pPr>
            <w:r w:rsidRPr="00CF032F">
              <w:rPr>
                <w:sz w:val="18"/>
                <w:szCs w:val="20"/>
              </w:rPr>
              <w:t>106</w:t>
            </w:r>
          </w:p>
        </w:tc>
        <w:tc>
          <w:tcPr>
            <w:tcW w:w="0" w:type="auto"/>
          </w:tcPr>
          <w:p w:rsidR="000C7C0A" w:rsidRPr="00CF032F" w:rsidRDefault="000C7C0A" w:rsidP="00AB47FF">
            <w:pPr>
              <w:jc w:val="both"/>
              <w:outlineLvl w:val="3"/>
              <w:rPr>
                <w:sz w:val="18"/>
                <w:szCs w:val="20"/>
              </w:rPr>
            </w:pPr>
            <w:r w:rsidRPr="00CF032F">
              <w:rPr>
                <w:sz w:val="18"/>
                <w:szCs w:val="20"/>
              </w:rPr>
              <w:t>60,2%</w:t>
            </w:r>
          </w:p>
        </w:tc>
      </w:tr>
      <w:tr w:rsidR="000C7C0A" w:rsidRPr="00CF032F" w:rsidTr="001C5D6F">
        <w:tc>
          <w:tcPr>
            <w:tcW w:w="0" w:type="auto"/>
          </w:tcPr>
          <w:p w:rsidR="000C7C0A" w:rsidRPr="00CF032F" w:rsidRDefault="000C7C0A" w:rsidP="00AB47FF">
            <w:pPr>
              <w:jc w:val="both"/>
              <w:outlineLvl w:val="3"/>
              <w:rPr>
                <w:sz w:val="18"/>
                <w:szCs w:val="20"/>
              </w:rPr>
            </w:pPr>
            <w:r w:rsidRPr="00CF032F">
              <w:rPr>
                <w:sz w:val="18"/>
                <w:szCs w:val="20"/>
              </w:rPr>
              <w:t>20-34 ans</w:t>
            </w:r>
          </w:p>
        </w:tc>
        <w:tc>
          <w:tcPr>
            <w:tcW w:w="0" w:type="auto"/>
          </w:tcPr>
          <w:p w:rsidR="000C7C0A" w:rsidRPr="00CF032F" w:rsidRDefault="000C7C0A" w:rsidP="00AB47FF">
            <w:pPr>
              <w:jc w:val="both"/>
              <w:outlineLvl w:val="3"/>
              <w:rPr>
                <w:sz w:val="18"/>
                <w:szCs w:val="20"/>
              </w:rPr>
            </w:pPr>
            <w:r w:rsidRPr="00CF032F">
              <w:rPr>
                <w:sz w:val="18"/>
                <w:szCs w:val="20"/>
              </w:rPr>
              <w:t>62</w:t>
            </w:r>
          </w:p>
        </w:tc>
        <w:tc>
          <w:tcPr>
            <w:tcW w:w="0" w:type="auto"/>
          </w:tcPr>
          <w:p w:rsidR="000C7C0A" w:rsidRPr="00CF032F" w:rsidRDefault="000C7C0A" w:rsidP="00AB47FF">
            <w:pPr>
              <w:jc w:val="both"/>
              <w:outlineLvl w:val="3"/>
              <w:rPr>
                <w:sz w:val="18"/>
                <w:szCs w:val="20"/>
              </w:rPr>
            </w:pPr>
            <w:r w:rsidRPr="00CF032F">
              <w:rPr>
                <w:sz w:val="18"/>
                <w:szCs w:val="20"/>
              </w:rPr>
              <w:t>35,2%</w:t>
            </w:r>
          </w:p>
        </w:tc>
      </w:tr>
      <w:tr w:rsidR="000C7C0A" w:rsidRPr="00CF032F" w:rsidTr="001C5D6F">
        <w:tc>
          <w:tcPr>
            <w:tcW w:w="0" w:type="auto"/>
          </w:tcPr>
          <w:p w:rsidR="000C7C0A" w:rsidRPr="00CF032F" w:rsidRDefault="000C7C0A" w:rsidP="00AB47FF">
            <w:pPr>
              <w:jc w:val="both"/>
              <w:outlineLvl w:val="3"/>
              <w:rPr>
                <w:sz w:val="18"/>
                <w:szCs w:val="20"/>
              </w:rPr>
            </w:pPr>
            <w:r w:rsidRPr="00CF032F">
              <w:rPr>
                <w:sz w:val="18"/>
                <w:szCs w:val="20"/>
              </w:rPr>
              <w:t>35-44 ans</w:t>
            </w:r>
          </w:p>
        </w:tc>
        <w:tc>
          <w:tcPr>
            <w:tcW w:w="0" w:type="auto"/>
          </w:tcPr>
          <w:p w:rsidR="000C7C0A" w:rsidRPr="00CF032F" w:rsidRDefault="008D4D50" w:rsidP="00AB47FF">
            <w:pPr>
              <w:jc w:val="both"/>
              <w:outlineLvl w:val="3"/>
              <w:rPr>
                <w:sz w:val="18"/>
                <w:szCs w:val="20"/>
              </w:rPr>
            </w:pPr>
            <w:r w:rsidRPr="00CF032F">
              <w:rPr>
                <w:sz w:val="18"/>
                <w:szCs w:val="20"/>
              </w:rPr>
              <w:t>8</w:t>
            </w:r>
          </w:p>
        </w:tc>
        <w:tc>
          <w:tcPr>
            <w:tcW w:w="0" w:type="auto"/>
          </w:tcPr>
          <w:p w:rsidR="000C7C0A" w:rsidRPr="00CF032F" w:rsidRDefault="008D4D50" w:rsidP="00AB47FF">
            <w:pPr>
              <w:jc w:val="both"/>
              <w:outlineLvl w:val="3"/>
              <w:rPr>
                <w:sz w:val="18"/>
                <w:szCs w:val="20"/>
              </w:rPr>
            </w:pPr>
            <w:r w:rsidRPr="00CF032F">
              <w:rPr>
                <w:sz w:val="18"/>
                <w:szCs w:val="20"/>
              </w:rPr>
              <w:t>4</w:t>
            </w:r>
            <w:r w:rsidR="000C7C0A" w:rsidRPr="00CF032F">
              <w:rPr>
                <w:sz w:val="18"/>
                <w:szCs w:val="20"/>
              </w:rPr>
              <w:t>,</w:t>
            </w:r>
            <w:r w:rsidRPr="00CF032F">
              <w:rPr>
                <w:sz w:val="18"/>
                <w:szCs w:val="20"/>
              </w:rPr>
              <w:t>5</w:t>
            </w:r>
            <w:r w:rsidR="000C7C0A" w:rsidRPr="00CF032F">
              <w:rPr>
                <w:sz w:val="18"/>
                <w:szCs w:val="20"/>
              </w:rPr>
              <w:t>%</w:t>
            </w:r>
          </w:p>
        </w:tc>
      </w:tr>
      <w:tr w:rsidR="00A23AD5" w:rsidRPr="00CF032F" w:rsidTr="001C5D6F">
        <w:tc>
          <w:tcPr>
            <w:tcW w:w="0" w:type="auto"/>
            <w:gridSpan w:val="3"/>
          </w:tcPr>
          <w:p w:rsidR="00A23AD5" w:rsidRPr="00CF032F" w:rsidRDefault="00A23AD5" w:rsidP="00A23AD5">
            <w:pPr>
              <w:jc w:val="center"/>
              <w:outlineLvl w:val="3"/>
              <w:rPr>
                <w:sz w:val="18"/>
                <w:szCs w:val="20"/>
              </w:rPr>
            </w:pPr>
            <w:r w:rsidRPr="00CF032F">
              <w:rPr>
                <w:sz w:val="18"/>
                <w:szCs w:val="20"/>
              </w:rPr>
              <w:t>Parité</w:t>
            </w:r>
          </w:p>
        </w:tc>
      </w:tr>
      <w:tr w:rsidR="003806AC" w:rsidRPr="00CF032F" w:rsidTr="001C5D6F">
        <w:trPr>
          <w:trHeight w:val="133"/>
        </w:trPr>
        <w:tc>
          <w:tcPr>
            <w:tcW w:w="0" w:type="auto"/>
          </w:tcPr>
          <w:p w:rsidR="003806AC" w:rsidRPr="00CF032F" w:rsidRDefault="003806AC" w:rsidP="00AB47FF">
            <w:pPr>
              <w:jc w:val="both"/>
              <w:outlineLvl w:val="3"/>
              <w:rPr>
                <w:b/>
                <w:bCs/>
                <w:sz w:val="18"/>
                <w:szCs w:val="20"/>
              </w:rPr>
            </w:pPr>
            <w:r w:rsidRPr="00CF032F">
              <w:rPr>
                <w:b/>
                <w:bCs/>
                <w:sz w:val="18"/>
                <w:szCs w:val="20"/>
              </w:rPr>
              <w:t>Nullipare</w:t>
            </w:r>
          </w:p>
        </w:tc>
        <w:tc>
          <w:tcPr>
            <w:tcW w:w="0" w:type="auto"/>
          </w:tcPr>
          <w:p w:rsidR="003806AC" w:rsidRPr="00CF032F" w:rsidRDefault="003806AC" w:rsidP="00AB47FF">
            <w:pPr>
              <w:jc w:val="both"/>
              <w:outlineLvl w:val="3"/>
              <w:rPr>
                <w:sz w:val="18"/>
                <w:szCs w:val="20"/>
              </w:rPr>
            </w:pPr>
            <w:r w:rsidRPr="00CF032F">
              <w:rPr>
                <w:sz w:val="18"/>
                <w:szCs w:val="20"/>
              </w:rPr>
              <w:t>84</w:t>
            </w:r>
          </w:p>
        </w:tc>
        <w:tc>
          <w:tcPr>
            <w:tcW w:w="0" w:type="auto"/>
          </w:tcPr>
          <w:p w:rsidR="003806AC" w:rsidRPr="00CF032F" w:rsidRDefault="003806AC" w:rsidP="00AB47FF">
            <w:pPr>
              <w:jc w:val="both"/>
              <w:outlineLvl w:val="3"/>
              <w:rPr>
                <w:sz w:val="18"/>
                <w:szCs w:val="20"/>
              </w:rPr>
            </w:pPr>
            <w:r w:rsidRPr="00CF032F">
              <w:rPr>
                <w:sz w:val="18"/>
                <w:szCs w:val="20"/>
              </w:rPr>
              <w:t>47,7</w:t>
            </w:r>
          </w:p>
        </w:tc>
      </w:tr>
      <w:tr w:rsidR="003806AC" w:rsidRPr="00CF032F" w:rsidTr="001C5D6F">
        <w:tc>
          <w:tcPr>
            <w:tcW w:w="0" w:type="auto"/>
          </w:tcPr>
          <w:p w:rsidR="003806AC" w:rsidRPr="00CF032F" w:rsidRDefault="003806AC" w:rsidP="00AB47FF">
            <w:pPr>
              <w:jc w:val="both"/>
              <w:outlineLvl w:val="3"/>
              <w:rPr>
                <w:b/>
                <w:bCs/>
                <w:sz w:val="18"/>
                <w:szCs w:val="20"/>
              </w:rPr>
            </w:pPr>
            <w:r w:rsidRPr="00CF032F">
              <w:rPr>
                <w:b/>
                <w:bCs/>
                <w:sz w:val="18"/>
                <w:szCs w:val="20"/>
              </w:rPr>
              <w:t>Primipare (parité 1)</w:t>
            </w:r>
          </w:p>
        </w:tc>
        <w:tc>
          <w:tcPr>
            <w:tcW w:w="0" w:type="auto"/>
          </w:tcPr>
          <w:p w:rsidR="003806AC" w:rsidRPr="00CF032F" w:rsidRDefault="003806AC" w:rsidP="00AB47FF">
            <w:pPr>
              <w:jc w:val="both"/>
              <w:outlineLvl w:val="3"/>
              <w:rPr>
                <w:sz w:val="18"/>
                <w:szCs w:val="20"/>
              </w:rPr>
            </w:pPr>
            <w:r w:rsidRPr="00CF032F">
              <w:rPr>
                <w:sz w:val="18"/>
                <w:szCs w:val="20"/>
              </w:rPr>
              <w:t>53</w:t>
            </w:r>
          </w:p>
        </w:tc>
        <w:tc>
          <w:tcPr>
            <w:tcW w:w="0" w:type="auto"/>
          </w:tcPr>
          <w:p w:rsidR="003806AC" w:rsidRPr="00CF032F" w:rsidRDefault="003806AC" w:rsidP="00AB47FF">
            <w:pPr>
              <w:jc w:val="both"/>
              <w:outlineLvl w:val="3"/>
              <w:rPr>
                <w:sz w:val="18"/>
                <w:szCs w:val="20"/>
              </w:rPr>
            </w:pPr>
            <w:r w:rsidRPr="00CF032F">
              <w:rPr>
                <w:sz w:val="18"/>
                <w:szCs w:val="20"/>
              </w:rPr>
              <w:t>30,1</w:t>
            </w:r>
          </w:p>
        </w:tc>
      </w:tr>
      <w:tr w:rsidR="003806AC" w:rsidRPr="00CF032F" w:rsidTr="001C5D6F">
        <w:tc>
          <w:tcPr>
            <w:tcW w:w="0" w:type="auto"/>
          </w:tcPr>
          <w:p w:rsidR="003806AC" w:rsidRPr="00CF032F" w:rsidRDefault="003806AC" w:rsidP="00AB47FF">
            <w:pPr>
              <w:jc w:val="both"/>
              <w:outlineLvl w:val="3"/>
              <w:rPr>
                <w:b/>
                <w:bCs/>
                <w:sz w:val="18"/>
                <w:szCs w:val="20"/>
              </w:rPr>
            </w:pPr>
            <w:r w:rsidRPr="00CF032F">
              <w:rPr>
                <w:b/>
                <w:bCs/>
                <w:sz w:val="18"/>
                <w:szCs w:val="20"/>
              </w:rPr>
              <w:t>Paucipare (parité 2</w:t>
            </w:r>
            <w:r w:rsidR="00565344">
              <w:rPr>
                <w:b/>
                <w:bCs/>
                <w:sz w:val="18"/>
                <w:szCs w:val="20"/>
              </w:rPr>
              <w:t xml:space="preserve"> </w:t>
            </w:r>
            <w:r w:rsidRPr="00CF032F">
              <w:rPr>
                <w:b/>
                <w:bCs/>
                <w:sz w:val="18"/>
                <w:szCs w:val="20"/>
              </w:rPr>
              <w:t>à</w:t>
            </w:r>
            <w:r w:rsidR="00565344">
              <w:rPr>
                <w:b/>
                <w:bCs/>
                <w:sz w:val="18"/>
                <w:szCs w:val="20"/>
              </w:rPr>
              <w:t xml:space="preserve"> </w:t>
            </w:r>
            <w:r w:rsidRPr="00CF032F">
              <w:rPr>
                <w:b/>
                <w:bCs/>
                <w:sz w:val="18"/>
                <w:szCs w:val="20"/>
              </w:rPr>
              <w:t>3)</w:t>
            </w:r>
          </w:p>
        </w:tc>
        <w:tc>
          <w:tcPr>
            <w:tcW w:w="0" w:type="auto"/>
          </w:tcPr>
          <w:p w:rsidR="003806AC" w:rsidRPr="00CF032F" w:rsidRDefault="003806AC" w:rsidP="00AB47FF">
            <w:pPr>
              <w:jc w:val="both"/>
              <w:outlineLvl w:val="3"/>
              <w:rPr>
                <w:sz w:val="18"/>
                <w:szCs w:val="20"/>
              </w:rPr>
            </w:pPr>
            <w:r w:rsidRPr="00CF032F">
              <w:rPr>
                <w:sz w:val="18"/>
                <w:szCs w:val="20"/>
              </w:rPr>
              <w:t>19</w:t>
            </w:r>
          </w:p>
        </w:tc>
        <w:tc>
          <w:tcPr>
            <w:tcW w:w="0" w:type="auto"/>
          </w:tcPr>
          <w:p w:rsidR="003806AC" w:rsidRPr="00CF032F" w:rsidRDefault="003806AC" w:rsidP="00AB47FF">
            <w:pPr>
              <w:jc w:val="both"/>
              <w:outlineLvl w:val="3"/>
              <w:rPr>
                <w:sz w:val="18"/>
                <w:szCs w:val="20"/>
              </w:rPr>
            </w:pPr>
            <w:r w:rsidRPr="00CF032F">
              <w:rPr>
                <w:sz w:val="18"/>
                <w:szCs w:val="20"/>
              </w:rPr>
              <w:t>10,8</w:t>
            </w:r>
          </w:p>
        </w:tc>
      </w:tr>
      <w:tr w:rsidR="003806AC" w:rsidRPr="00CF032F" w:rsidTr="001C5D6F">
        <w:tc>
          <w:tcPr>
            <w:tcW w:w="0" w:type="auto"/>
          </w:tcPr>
          <w:p w:rsidR="003806AC" w:rsidRPr="00CF032F" w:rsidRDefault="003806AC" w:rsidP="00AB47FF">
            <w:pPr>
              <w:jc w:val="both"/>
              <w:outlineLvl w:val="3"/>
              <w:rPr>
                <w:b/>
                <w:bCs/>
                <w:sz w:val="18"/>
                <w:szCs w:val="20"/>
              </w:rPr>
            </w:pPr>
            <w:r w:rsidRPr="00CF032F">
              <w:rPr>
                <w:b/>
                <w:bCs/>
                <w:sz w:val="18"/>
                <w:szCs w:val="20"/>
              </w:rPr>
              <w:t>Multipare (parité 4</w:t>
            </w:r>
            <w:r w:rsidR="00565344">
              <w:rPr>
                <w:b/>
                <w:bCs/>
                <w:sz w:val="18"/>
                <w:szCs w:val="20"/>
              </w:rPr>
              <w:t xml:space="preserve"> </w:t>
            </w:r>
            <w:r w:rsidRPr="00CF032F">
              <w:rPr>
                <w:b/>
                <w:bCs/>
                <w:sz w:val="18"/>
                <w:szCs w:val="20"/>
              </w:rPr>
              <w:t>à</w:t>
            </w:r>
            <w:r w:rsidR="00565344">
              <w:rPr>
                <w:b/>
                <w:bCs/>
                <w:sz w:val="18"/>
                <w:szCs w:val="20"/>
              </w:rPr>
              <w:t xml:space="preserve"> </w:t>
            </w:r>
            <w:r w:rsidRPr="00CF032F">
              <w:rPr>
                <w:b/>
                <w:bCs/>
                <w:sz w:val="18"/>
                <w:szCs w:val="20"/>
              </w:rPr>
              <w:t>5)</w:t>
            </w:r>
          </w:p>
        </w:tc>
        <w:tc>
          <w:tcPr>
            <w:tcW w:w="0" w:type="auto"/>
          </w:tcPr>
          <w:p w:rsidR="003806AC" w:rsidRPr="00CF032F" w:rsidRDefault="003806AC" w:rsidP="00AB47FF">
            <w:pPr>
              <w:jc w:val="both"/>
              <w:outlineLvl w:val="3"/>
              <w:rPr>
                <w:sz w:val="18"/>
                <w:szCs w:val="20"/>
              </w:rPr>
            </w:pPr>
            <w:r w:rsidRPr="00CF032F">
              <w:rPr>
                <w:sz w:val="18"/>
                <w:szCs w:val="20"/>
              </w:rPr>
              <w:t>13</w:t>
            </w:r>
          </w:p>
        </w:tc>
        <w:tc>
          <w:tcPr>
            <w:tcW w:w="0" w:type="auto"/>
          </w:tcPr>
          <w:p w:rsidR="003806AC" w:rsidRPr="00CF032F" w:rsidRDefault="003806AC" w:rsidP="00AB47FF">
            <w:pPr>
              <w:jc w:val="both"/>
              <w:outlineLvl w:val="3"/>
              <w:rPr>
                <w:sz w:val="18"/>
                <w:szCs w:val="20"/>
              </w:rPr>
            </w:pPr>
            <w:r w:rsidRPr="00CF032F">
              <w:rPr>
                <w:sz w:val="18"/>
                <w:szCs w:val="20"/>
              </w:rPr>
              <w:t>7,4</w:t>
            </w:r>
          </w:p>
        </w:tc>
      </w:tr>
      <w:tr w:rsidR="003806AC" w:rsidRPr="00CF032F" w:rsidTr="001C5D6F">
        <w:tc>
          <w:tcPr>
            <w:tcW w:w="0" w:type="auto"/>
          </w:tcPr>
          <w:p w:rsidR="003806AC" w:rsidRPr="00CF032F" w:rsidRDefault="003806AC" w:rsidP="00AB47FF">
            <w:pPr>
              <w:jc w:val="both"/>
              <w:outlineLvl w:val="3"/>
              <w:rPr>
                <w:b/>
                <w:bCs/>
                <w:sz w:val="18"/>
                <w:szCs w:val="20"/>
              </w:rPr>
            </w:pPr>
            <w:r w:rsidRPr="00CF032F">
              <w:rPr>
                <w:b/>
                <w:bCs/>
                <w:sz w:val="18"/>
                <w:szCs w:val="20"/>
              </w:rPr>
              <w:t>Grande multipare (parité supérieure à 5)</w:t>
            </w:r>
          </w:p>
        </w:tc>
        <w:tc>
          <w:tcPr>
            <w:tcW w:w="0" w:type="auto"/>
          </w:tcPr>
          <w:p w:rsidR="003806AC" w:rsidRPr="00CF032F" w:rsidRDefault="003806AC" w:rsidP="00AB47FF">
            <w:pPr>
              <w:jc w:val="both"/>
              <w:outlineLvl w:val="3"/>
              <w:rPr>
                <w:sz w:val="18"/>
                <w:szCs w:val="20"/>
              </w:rPr>
            </w:pPr>
            <w:r w:rsidRPr="00CF032F">
              <w:rPr>
                <w:sz w:val="18"/>
                <w:szCs w:val="20"/>
              </w:rPr>
              <w:t>7</w:t>
            </w:r>
          </w:p>
        </w:tc>
        <w:tc>
          <w:tcPr>
            <w:tcW w:w="0" w:type="auto"/>
          </w:tcPr>
          <w:p w:rsidR="003806AC" w:rsidRPr="00CF032F" w:rsidRDefault="003806AC" w:rsidP="00AB47FF">
            <w:pPr>
              <w:jc w:val="both"/>
              <w:outlineLvl w:val="3"/>
              <w:rPr>
                <w:sz w:val="18"/>
                <w:szCs w:val="20"/>
              </w:rPr>
            </w:pPr>
            <w:r w:rsidRPr="00CF032F">
              <w:rPr>
                <w:sz w:val="18"/>
                <w:szCs w:val="20"/>
              </w:rPr>
              <w:t>4</w:t>
            </w:r>
          </w:p>
        </w:tc>
      </w:tr>
      <w:tr w:rsidR="00A23AD5" w:rsidRPr="00CF032F" w:rsidTr="001C5D6F">
        <w:tc>
          <w:tcPr>
            <w:tcW w:w="0" w:type="auto"/>
            <w:gridSpan w:val="3"/>
          </w:tcPr>
          <w:p w:rsidR="00A23AD5" w:rsidRPr="00CF032F" w:rsidRDefault="00A23AD5" w:rsidP="00A23AD5">
            <w:pPr>
              <w:jc w:val="center"/>
              <w:outlineLvl w:val="3"/>
              <w:rPr>
                <w:sz w:val="18"/>
                <w:szCs w:val="20"/>
              </w:rPr>
            </w:pPr>
            <w:r w:rsidRPr="00CF032F">
              <w:rPr>
                <w:sz w:val="18"/>
                <w:szCs w:val="20"/>
              </w:rPr>
              <w:t>Niveau d’instruction</w:t>
            </w:r>
          </w:p>
        </w:tc>
      </w:tr>
      <w:tr w:rsidR="00C72EC6" w:rsidRPr="00CF032F" w:rsidTr="001C5D6F">
        <w:tc>
          <w:tcPr>
            <w:tcW w:w="0" w:type="auto"/>
          </w:tcPr>
          <w:p w:rsidR="00C72EC6" w:rsidRPr="00CF032F" w:rsidRDefault="00C72EC6" w:rsidP="00AB47FF">
            <w:pPr>
              <w:jc w:val="both"/>
              <w:outlineLvl w:val="3"/>
              <w:rPr>
                <w:b/>
                <w:bCs/>
                <w:sz w:val="18"/>
                <w:szCs w:val="20"/>
              </w:rPr>
            </w:pPr>
            <w:r w:rsidRPr="00CF032F">
              <w:rPr>
                <w:b/>
                <w:bCs/>
                <w:sz w:val="18"/>
                <w:szCs w:val="20"/>
              </w:rPr>
              <w:t>Non scolarisé</w:t>
            </w:r>
          </w:p>
        </w:tc>
        <w:tc>
          <w:tcPr>
            <w:tcW w:w="0" w:type="auto"/>
          </w:tcPr>
          <w:p w:rsidR="00C72EC6" w:rsidRPr="00CF032F" w:rsidRDefault="00C72EC6" w:rsidP="00AB47FF">
            <w:pPr>
              <w:jc w:val="both"/>
              <w:outlineLvl w:val="3"/>
              <w:rPr>
                <w:sz w:val="18"/>
                <w:szCs w:val="20"/>
              </w:rPr>
            </w:pPr>
            <w:r w:rsidRPr="00CF032F">
              <w:rPr>
                <w:sz w:val="18"/>
                <w:szCs w:val="20"/>
              </w:rPr>
              <w:t>144</w:t>
            </w:r>
          </w:p>
        </w:tc>
        <w:tc>
          <w:tcPr>
            <w:tcW w:w="0" w:type="auto"/>
          </w:tcPr>
          <w:p w:rsidR="00C72EC6" w:rsidRPr="00CF032F" w:rsidRDefault="00C72EC6" w:rsidP="00AB47FF">
            <w:pPr>
              <w:jc w:val="both"/>
              <w:outlineLvl w:val="3"/>
              <w:rPr>
                <w:sz w:val="18"/>
                <w:szCs w:val="20"/>
              </w:rPr>
            </w:pPr>
            <w:r w:rsidRPr="00CF032F">
              <w:rPr>
                <w:sz w:val="18"/>
                <w:szCs w:val="20"/>
              </w:rPr>
              <w:t>81,8</w:t>
            </w:r>
          </w:p>
        </w:tc>
      </w:tr>
      <w:tr w:rsidR="00C72EC6" w:rsidRPr="00CF032F" w:rsidTr="001C5D6F">
        <w:tc>
          <w:tcPr>
            <w:tcW w:w="0" w:type="auto"/>
          </w:tcPr>
          <w:p w:rsidR="00C72EC6" w:rsidRPr="00CF032F" w:rsidRDefault="00C72EC6" w:rsidP="00AB47FF">
            <w:pPr>
              <w:jc w:val="both"/>
              <w:outlineLvl w:val="3"/>
              <w:rPr>
                <w:b/>
                <w:bCs/>
                <w:sz w:val="18"/>
                <w:szCs w:val="20"/>
              </w:rPr>
            </w:pPr>
            <w:r w:rsidRPr="00CF032F">
              <w:rPr>
                <w:b/>
                <w:bCs/>
                <w:sz w:val="18"/>
                <w:szCs w:val="20"/>
              </w:rPr>
              <w:t>Niveau primaire</w:t>
            </w:r>
          </w:p>
        </w:tc>
        <w:tc>
          <w:tcPr>
            <w:tcW w:w="0" w:type="auto"/>
          </w:tcPr>
          <w:p w:rsidR="00C72EC6" w:rsidRPr="00CF032F" w:rsidRDefault="00C72EC6" w:rsidP="00AB47FF">
            <w:pPr>
              <w:jc w:val="both"/>
              <w:outlineLvl w:val="3"/>
              <w:rPr>
                <w:sz w:val="18"/>
                <w:szCs w:val="20"/>
              </w:rPr>
            </w:pPr>
            <w:r w:rsidRPr="00CF032F">
              <w:rPr>
                <w:sz w:val="18"/>
                <w:szCs w:val="20"/>
              </w:rPr>
              <w:t>24</w:t>
            </w:r>
          </w:p>
        </w:tc>
        <w:tc>
          <w:tcPr>
            <w:tcW w:w="0" w:type="auto"/>
          </w:tcPr>
          <w:p w:rsidR="00C72EC6" w:rsidRPr="00CF032F" w:rsidRDefault="00C72EC6" w:rsidP="00AB47FF">
            <w:pPr>
              <w:jc w:val="both"/>
              <w:outlineLvl w:val="3"/>
              <w:rPr>
                <w:sz w:val="18"/>
                <w:szCs w:val="20"/>
              </w:rPr>
            </w:pPr>
            <w:r w:rsidRPr="00CF032F">
              <w:rPr>
                <w:sz w:val="18"/>
                <w:szCs w:val="20"/>
              </w:rPr>
              <w:t>13,6</w:t>
            </w:r>
          </w:p>
        </w:tc>
      </w:tr>
      <w:tr w:rsidR="00C72EC6" w:rsidRPr="00CF032F" w:rsidTr="001C5D6F">
        <w:tc>
          <w:tcPr>
            <w:tcW w:w="0" w:type="auto"/>
          </w:tcPr>
          <w:p w:rsidR="00C72EC6" w:rsidRPr="00CF032F" w:rsidRDefault="00C72EC6" w:rsidP="00AB47FF">
            <w:pPr>
              <w:jc w:val="both"/>
              <w:outlineLvl w:val="3"/>
              <w:rPr>
                <w:b/>
                <w:bCs/>
                <w:sz w:val="18"/>
                <w:szCs w:val="20"/>
              </w:rPr>
            </w:pPr>
            <w:r w:rsidRPr="00CF032F">
              <w:rPr>
                <w:b/>
                <w:bCs/>
                <w:sz w:val="18"/>
                <w:szCs w:val="20"/>
              </w:rPr>
              <w:t>Niveau secondaire</w:t>
            </w:r>
          </w:p>
        </w:tc>
        <w:tc>
          <w:tcPr>
            <w:tcW w:w="0" w:type="auto"/>
          </w:tcPr>
          <w:p w:rsidR="00C72EC6" w:rsidRPr="00CF032F" w:rsidRDefault="00C72EC6" w:rsidP="00AB47FF">
            <w:pPr>
              <w:jc w:val="both"/>
              <w:outlineLvl w:val="3"/>
              <w:rPr>
                <w:sz w:val="18"/>
                <w:szCs w:val="20"/>
              </w:rPr>
            </w:pPr>
            <w:r w:rsidRPr="00CF032F">
              <w:rPr>
                <w:sz w:val="18"/>
                <w:szCs w:val="20"/>
              </w:rPr>
              <w:t>8</w:t>
            </w:r>
          </w:p>
        </w:tc>
        <w:tc>
          <w:tcPr>
            <w:tcW w:w="0" w:type="auto"/>
          </w:tcPr>
          <w:p w:rsidR="00C72EC6" w:rsidRPr="00CF032F" w:rsidRDefault="00C72EC6" w:rsidP="00AB47FF">
            <w:pPr>
              <w:jc w:val="both"/>
              <w:outlineLvl w:val="3"/>
              <w:rPr>
                <w:sz w:val="18"/>
                <w:szCs w:val="20"/>
              </w:rPr>
            </w:pPr>
            <w:r w:rsidRPr="00CF032F">
              <w:rPr>
                <w:sz w:val="18"/>
                <w:szCs w:val="20"/>
              </w:rPr>
              <w:t>4,6</w:t>
            </w:r>
          </w:p>
        </w:tc>
      </w:tr>
      <w:tr w:rsidR="008D3233" w:rsidRPr="00CF032F" w:rsidTr="001C5D6F">
        <w:tc>
          <w:tcPr>
            <w:tcW w:w="0" w:type="auto"/>
            <w:gridSpan w:val="3"/>
          </w:tcPr>
          <w:p w:rsidR="008D3233" w:rsidRPr="00CF032F" w:rsidRDefault="008D3233" w:rsidP="00656848">
            <w:pPr>
              <w:jc w:val="center"/>
              <w:outlineLvl w:val="3"/>
              <w:rPr>
                <w:sz w:val="18"/>
                <w:szCs w:val="20"/>
              </w:rPr>
            </w:pPr>
            <w:r w:rsidRPr="00CF032F">
              <w:rPr>
                <w:sz w:val="18"/>
                <w:szCs w:val="20"/>
              </w:rPr>
              <w:t>Profession</w:t>
            </w:r>
          </w:p>
        </w:tc>
      </w:tr>
      <w:tr w:rsidR="00A23AD5" w:rsidTr="00565344">
        <w:tc>
          <w:tcPr>
            <w:tcW w:w="0" w:type="auto"/>
          </w:tcPr>
          <w:p w:rsidR="00A23AD5" w:rsidRPr="00CF032F" w:rsidRDefault="00A23AD5" w:rsidP="00656848">
            <w:pPr>
              <w:jc w:val="both"/>
              <w:outlineLvl w:val="3"/>
              <w:rPr>
                <w:b/>
                <w:bCs/>
                <w:sz w:val="18"/>
                <w:szCs w:val="20"/>
              </w:rPr>
            </w:pPr>
            <w:r w:rsidRPr="00CF032F">
              <w:rPr>
                <w:b/>
                <w:bCs/>
                <w:sz w:val="18"/>
                <w:szCs w:val="20"/>
              </w:rPr>
              <w:t>Ménagère</w:t>
            </w:r>
          </w:p>
        </w:tc>
        <w:tc>
          <w:tcPr>
            <w:tcW w:w="0" w:type="auto"/>
          </w:tcPr>
          <w:p w:rsidR="00A23AD5" w:rsidRPr="00CF032F" w:rsidRDefault="00A23AD5" w:rsidP="00656848">
            <w:pPr>
              <w:jc w:val="both"/>
              <w:outlineLvl w:val="3"/>
              <w:rPr>
                <w:sz w:val="18"/>
                <w:szCs w:val="20"/>
              </w:rPr>
            </w:pPr>
            <w:r w:rsidRPr="00CF032F">
              <w:rPr>
                <w:sz w:val="18"/>
                <w:szCs w:val="20"/>
              </w:rPr>
              <w:t>138</w:t>
            </w:r>
          </w:p>
        </w:tc>
        <w:tc>
          <w:tcPr>
            <w:tcW w:w="0" w:type="auto"/>
          </w:tcPr>
          <w:p w:rsidR="00A23AD5" w:rsidRPr="00CF032F" w:rsidRDefault="00A23AD5" w:rsidP="00656848">
            <w:pPr>
              <w:jc w:val="both"/>
              <w:outlineLvl w:val="3"/>
              <w:rPr>
                <w:sz w:val="18"/>
                <w:szCs w:val="20"/>
              </w:rPr>
            </w:pPr>
            <w:r w:rsidRPr="00CF032F">
              <w:rPr>
                <w:sz w:val="18"/>
                <w:szCs w:val="20"/>
              </w:rPr>
              <w:t>78,4</w:t>
            </w:r>
          </w:p>
        </w:tc>
      </w:tr>
      <w:tr w:rsidR="00A23AD5" w:rsidTr="00565344">
        <w:tc>
          <w:tcPr>
            <w:tcW w:w="0" w:type="auto"/>
          </w:tcPr>
          <w:p w:rsidR="00A23AD5" w:rsidRPr="00CF032F" w:rsidRDefault="00A23AD5" w:rsidP="00656848">
            <w:pPr>
              <w:jc w:val="both"/>
              <w:outlineLvl w:val="3"/>
              <w:rPr>
                <w:b/>
                <w:bCs/>
                <w:sz w:val="18"/>
                <w:szCs w:val="20"/>
              </w:rPr>
            </w:pPr>
            <w:r w:rsidRPr="00CF032F">
              <w:rPr>
                <w:b/>
                <w:bCs/>
                <w:sz w:val="18"/>
                <w:szCs w:val="20"/>
              </w:rPr>
              <w:t>Elève-étudiante</w:t>
            </w:r>
          </w:p>
        </w:tc>
        <w:tc>
          <w:tcPr>
            <w:tcW w:w="0" w:type="auto"/>
          </w:tcPr>
          <w:p w:rsidR="00A23AD5" w:rsidRPr="00CF032F" w:rsidRDefault="00A23AD5" w:rsidP="00656848">
            <w:pPr>
              <w:jc w:val="both"/>
              <w:outlineLvl w:val="3"/>
              <w:rPr>
                <w:sz w:val="18"/>
                <w:szCs w:val="20"/>
              </w:rPr>
            </w:pPr>
            <w:r w:rsidRPr="00CF032F">
              <w:rPr>
                <w:sz w:val="18"/>
                <w:szCs w:val="20"/>
              </w:rPr>
              <w:t>31</w:t>
            </w:r>
          </w:p>
        </w:tc>
        <w:tc>
          <w:tcPr>
            <w:tcW w:w="0" w:type="auto"/>
          </w:tcPr>
          <w:p w:rsidR="00A23AD5" w:rsidRPr="00CF032F" w:rsidRDefault="00A23AD5" w:rsidP="00656848">
            <w:pPr>
              <w:jc w:val="both"/>
              <w:outlineLvl w:val="3"/>
              <w:rPr>
                <w:sz w:val="18"/>
                <w:szCs w:val="20"/>
              </w:rPr>
            </w:pPr>
            <w:r w:rsidRPr="00CF032F">
              <w:rPr>
                <w:sz w:val="18"/>
                <w:szCs w:val="20"/>
              </w:rPr>
              <w:t>17,6</w:t>
            </w:r>
          </w:p>
        </w:tc>
      </w:tr>
      <w:tr w:rsidR="00A23AD5" w:rsidTr="00565344">
        <w:tc>
          <w:tcPr>
            <w:tcW w:w="0" w:type="auto"/>
          </w:tcPr>
          <w:p w:rsidR="00A23AD5" w:rsidRPr="00CF032F" w:rsidRDefault="00A23AD5" w:rsidP="00656848">
            <w:pPr>
              <w:jc w:val="both"/>
              <w:outlineLvl w:val="3"/>
              <w:rPr>
                <w:b/>
                <w:bCs/>
                <w:sz w:val="18"/>
                <w:szCs w:val="20"/>
              </w:rPr>
            </w:pPr>
            <w:r w:rsidRPr="00CF032F">
              <w:rPr>
                <w:b/>
                <w:bCs/>
                <w:sz w:val="18"/>
                <w:szCs w:val="20"/>
              </w:rPr>
              <w:t>Aide-ménagère</w:t>
            </w:r>
          </w:p>
        </w:tc>
        <w:tc>
          <w:tcPr>
            <w:tcW w:w="0" w:type="auto"/>
          </w:tcPr>
          <w:p w:rsidR="00A23AD5" w:rsidRPr="00CF032F" w:rsidRDefault="00A23AD5" w:rsidP="00656848">
            <w:pPr>
              <w:jc w:val="both"/>
              <w:outlineLvl w:val="3"/>
              <w:rPr>
                <w:sz w:val="18"/>
                <w:szCs w:val="20"/>
              </w:rPr>
            </w:pPr>
            <w:r w:rsidRPr="00CF032F">
              <w:rPr>
                <w:sz w:val="18"/>
                <w:szCs w:val="20"/>
              </w:rPr>
              <w:t>6</w:t>
            </w:r>
          </w:p>
        </w:tc>
        <w:tc>
          <w:tcPr>
            <w:tcW w:w="0" w:type="auto"/>
          </w:tcPr>
          <w:p w:rsidR="00A23AD5" w:rsidRPr="00CF032F" w:rsidRDefault="00A23AD5" w:rsidP="00656848">
            <w:pPr>
              <w:jc w:val="both"/>
              <w:outlineLvl w:val="3"/>
              <w:rPr>
                <w:sz w:val="18"/>
                <w:szCs w:val="20"/>
              </w:rPr>
            </w:pPr>
            <w:r w:rsidRPr="00CF032F">
              <w:rPr>
                <w:sz w:val="18"/>
                <w:szCs w:val="20"/>
              </w:rPr>
              <w:t>3,4</w:t>
            </w:r>
          </w:p>
        </w:tc>
      </w:tr>
      <w:tr w:rsidR="00A23AD5" w:rsidTr="00565344">
        <w:tc>
          <w:tcPr>
            <w:tcW w:w="0" w:type="auto"/>
          </w:tcPr>
          <w:p w:rsidR="00A23AD5" w:rsidRPr="00CF032F" w:rsidRDefault="00A23AD5" w:rsidP="00656848">
            <w:pPr>
              <w:jc w:val="both"/>
              <w:outlineLvl w:val="3"/>
              <w:rPr>
                <w:b/>
                <w:bCs/>
                <w:sz w:val="18"/>
                <w:szCs w:val="20"/>
              </w:rPr>
            </w:pPr>
            <w:r w:rsidRPr="00CF032F">
              <w:rPr>
                <w:b/>
                <w:bCs/>
                <w:sz w:val="18"/>
                <w:szCs w:val="20"/>
              </w:rPr>
              <w:t>Coiffeuse</w:t>
            </w:r>
          </w:p>
        </w:tc>
        <w:tc>
          <w:tcPr>
            <w:tcW w:w="0" w:type="auto"/>
          </w:tcPr>
          <w:p w:rsidR="00A23AD5" w:rsidRPr="00CF032F" w:rsidRDefault="00A23AD5" w:rsidP="00656848">
            <w:pPr>
              <w:jc w:val="both"/>
              <w:outlineLvl w:val="3"/>
              <w:rPr>
                <w:sz w:val="18"/>
                <w:szCs w:val="20"/>
              </w:rPr>
            </w:pPr>
            <w:r w:rsidRPr="00CF032F">
              <w:rPr>
                <w:sz w:val="18"/>
                <w:szCs w:val="20"/>
              </w:rPr>
              <w:t>1</w:t>
            </w:r>
          </w:p>
        </w:tc>
        <w:tc>
          <w:tcPr>
            <w:tcW w:w="0" w:type="auto"/>
          </w:tcPr>
          <w:p w:rsidR="00A23AD5" w:rsidRPr="00CF032F" w:rsidRDefault="00A23AD5" w:rsidP="00656848">
            <w:pPr>
              <w:jc w:val="both"/>
              <w:outlineLvl w:val="3"/>
              <w:rPr>
                <w:sz w:val="18"/>
                <w:szCs w:val="20"/>
              </w:rPr>
            </w:pPr>
            <w:r w:rsidRPr="00CF032F">
              <w:rPr>
                <w:sz w:val="18"/>
                <w:szCs w:val="20"/>
              </w:rPr>
              <w:t>0,6</w:t>
            </w:r>
          </w:p>
        </w:tc>
      </w:tr>
    </w:tbl>
    <w:p w:rsidR="00B60DFA" w:rsidRPr="00AB47FF" w:rsidRDefault="002F5FD9" w:rsidP="00AB47FF">
      <w:pPr>
        <w:autoSpaceDE w:val="0"/>
        <w:autoSpaceDN w:val="0"/>
        <w:adjustRightInd w:val="0"/>
        <w:jc w:val="both"/>
        <w:rPr>
          <w:sz w:val="20"/>
          <w:szCs w:val="20"/>
        </w:rPr>
      </w:pPr>
      <w:r w:rsidRPr="00AB47FF">
        <w:rPr>
          <w:sz w:val="20"/>
          <w:szCs w:val="20"/>
        </w:rPr>
        <w:lastRenderedPageBreak/>
        <w:t>Il s’agissait de patientes évacué</w:t>
      </w:r>
      <w:r w:rsidR="006C344C" w:rsidRPr="00AB47FF">
        <w:rPr>
          <w:sz w:val="20"/>
          <w:szCs w:val="20"/>
        </w:rPr>
        <w:t>e</w:t>
      </w:r>
      <w:r w:rsidRPr="00AB47FF">
        <w:rPr>
          <w:sz w:val="20"/>
          <w:szCs w:val="20"/>
        </w:rPr>
        <w:t xml:space="preserve">s dans 66,4% </w:t>
      </w:r>
      <w:r w:rsidR="00F61691" w:rsidRPr="00AB47FF">
        <w:rPr>
          <w:sz w:val="20"/>
          <w:szCs w:val="20"/>
        </w:rPr>
        <w:t xml:space="preserve">de cas </w:t>
      </w:r>
      <w:r w:rsidRPr="00AB47FF">
        <w:rPr>
          <w:sz w:val="20"/>
          <w:szCs w:val="20"/>
        </w:rPr>
        <w:t>et elles proven</w:t>
      </w:r>
      <w:r w:rsidR="0064196B" w:rsidRPr="00AB47FF">
        <w:rPr>
          <w:sz w:val="20"/>
          <w:szCs w:val="20"/>
        </w:rPr>
        <w:t xml:space="preserve">aient </w:t>
      </w:r>
      <w:r w:rsidRPr="00AB47FF">
        <w:rPr>
          <w:sz w:val="20"/>
          <w:szCs w:val="20"/>
        </w:rPr>
        <w:t>des formations sanitaires situées dans un rayon de 150km.</w:t>
      </w:r>
    </w:p>
    <w:p w:rsidR="00D72F8B" w:rsidRPr="00D72F8B" w:rsidRDefault="007B4510" w:rsidP="00D72F8B">
      <w:pPr>
        <w:jc w:val="both"/>
        <w:rPr>
          <w:sz w:val="20"/>
          <w:szCs w:val="20"/>
        </w:rPr>
      </w:pPr>
      <w:r w:rsidRPr="00AB47FF">
        <w:rPr>
          <w:sz w:val="20"/>
          <w:szCs w:val="20"/>
        </w:rPr>
        <w:t>Les admissions directes représentaient</w:t>
      </w:r>
      <w:r w:rsidR="002503F2" w:rsidRPr="00AB47FF">
        <w:rPr>
          <w:sz w:val="20"/>
          <w:szCs w:val="20"/>
        </w:rPr>
        <w:t xml:space="preserve"> </w:t>
      </w:r>
      <w:r w:rsidR="00B60DFA" w:rsidRPr="00AB47FF">
        <w:rPr>
          <w:sz w:val="20"/>
          <w:szCs w:val="20"/>
        </w:rPr>
        <w:t>33,6%</w:t>
      </w:r>
      <w:r w:rsidR="00627E9A" w:rsidRPr="00AB47FF">
        <w:rPr>
          <w:sz w:val="20"/>
          <w:szCs w:val="20"/>
        </w:rPr>
        <w:t xml:space="preserve"> de cas</w:t>
      </w:r>
      <w:r w:rsidR="00D72F8B">
        <w:rPr>
          <w:sz w:val="20"/>
          <w:szCs w:val="20"/>
        </w:rPr>
        <w:t xml:space="preserve"> soit 59 patientes, alors que</w:t>
      </w:r>
      <w:r w:rsidRPr="00AB47FF">
        <w:rPr>
          <w:sz w:val="20"/>
          <w:szCs w:val="20"/>
        </w:rPr>
        <w:t xml:space="preserve"> </w:t>
      </w:r>
      <w:r w:rsidR="001C5D6F">
        <w:rPr>
          <w:sz w:val="20"/>
          <w:szCs w:val="20"/>
        </w:rPr>
        <w:t xml:space="preserve">117 </w:t>
      </w:r>
      <w:r w:rsidR="00D72F8B">
        <w:rPr>
          <w:sz w:val="20"/>
          <w:szCs w:val="20"/>
        </w:rPr>
        <w:t>provenaient d’autres structures sanitaires.</w:t>
      </w:r>
      <w:r w:rsidR="00D72F8B" w:rsidRPr="00AB47FF">
        <w:rPr>
          <w:sz w:val="20"/>
          <w:szCs w:val="20"/>
        </w:rPr>
        <w:t xml:space="preserve"> </w:t>
      </w:r>
    </w:p>
    <w:p w:rsidR="00AB47FF" w:rsidRPr="00AB47FF" w:rsidRDefault="00B60DFA" w:rsidP="00CF032F">
      <w:pPr>
        <w:autoSpaceDE w:val="0"/>
        <w:autoSpaceDN w:val="0"/>
        <w:adjustRightInd w:val="0"/>
        <w:spacing w:before="60" w:after="20"/>
        <w:jc w:val="both"/>
        <w:rPr>
          <w:b/>
          <w:bCs/>
          <w:sz w:val="20"/>
          <w:szCs w:val="20"/>
        </w:rPr>
      </w:pPr>
      <w:r w:rsidRPr="00AB47FF">
        <w:rPr>
          <w:b/>
          <w:bCs/>
          <w:sz w:val="20"/>
          <w:szCs w:val="20"/>
        </w:rPr>
        <w:t>Aspects cliniques</w:t>
      </w:r>
    </w:p>
    <w:p w:rsidR="000E4026" w:rsidRDefault="00AB47FF" w:rsidP="00AB47FF">
      <w:pPr>
        <w:autoSpaceDE w:val="0"/>
        <w:autoSpaceDN w:val="0"/>
        <w:adjustRightInd w:val="0"/>
        <w:jc w:val="both"/>
        <w:rPr>
          <w:sz w:val="20"/>
          <w:szCs w:val="20"/>
        </w:rPr>
      </w:pPr>
      <w:r w:rsidRPr="00AB47FF">
        <w:rPr>
          <w:sz w:val="20"/>
          <w:szCs w:val="20"/>
        </w:rPr>
        <w:t>L</w:t>
      </w:r>
      <w:r w:rsidR="00492AD9" w:rsidRPr="00AB47FF">
        <w:rPr>
          <w:sz w:val="20"/>
          <w:szCs w:val="20"/>
        </w:rPr>
        <w:t xml:space="preserve">a crise d’éclampsie était survenue en anté, en per ou en post partum avec des chiffres tensionnels variés ayant plus ou un retentissement sur l’état du fœtus comme l’atteste le tableau </w:t>
      </w:r>
      <w:r w:rsidR="00D72F8B">
        <w:rPr>
          <w:sz w:val="20"/>
          <w:szCs w:val="20"/>
        </w:rPr>
        <w:t>2</w:t>
      </w:r>
      <w:r w:rsidR="00492AD9" w:rsidRPr="00AB47FF">
        <w:rPr>
          <w:sz w:val="20"/>
          <w:szCs w:val="20"/>
        </w:rPr>
        <w:t>.</w:t>
      </w:r>
    </w:p>
    <w:p w:rsidR="008D3233" w:rsidRPr="00AB47FF" w:rsidRDefault="008D3233" w:rsidP="00AB47FF">
      <w:pPr>
        <w:autoSpaceDE w:val="0"/>
        <w:autoSpaceDN w:val="0"/>
        <w:adjustRightInd w:val="0"/>
        <w:jc w:val="both"/>
        <w:rPr>
          <w:b/>
          <w:bCs/>
          <w:sz w:val="20"/>
          <w:szCs w:val="20"/>
        </w:rPr>
      </w:pPr>
    </w:p>
    <w:tbl>
      <w:tblPr>
        <w:tblStyle w:val="Grilledutableau"/>
        <w:tblW w:w="5000" w:type="pct"/>
        <w:tblLook w:val="0020"/>
      </w:tblPr>
      <w:tblGrid>
        <w:gridCol w:w="2481"/>
        <w:gridCol w:w="950"/>
        <w:gridCol w:w="1391"/>
      </w:tblGrid>
      <w:tr w:rsidR="00007121" w:rsidRPr="006D21E8" w:rsidTr="001C5D6F">
        <w:trPr>
          <w:trHeight w:val="194"/>
        </w:trPr>
        <w:tc>
          <w:tcPr>
            <w:tcW w:w="5000" w:type="pct"/>
            <w:gridSpan w:val="3"/>
            <w:hideMark/>
          </w:tcPr>
          <w:p w:rsidR="00007121" w:rsidRPr="006D21E8" w:rsidRDefault="00007121" w:rsidP="00D72F8B">
            <w:pPr>
              <w:autoSpaceDE w:val="0"/>
              <w:autoSpaceDN w:val="0"/>
              <w:adjustRightInd w:val="0"/>
              <w:jc w:val="both"/>
              <w:rPr>
                <w:b/>
                <w:bCs/>
                <w:sz w:val="18"/>
                <w:szCs w:val="18"/>
              </w:rPr>
            </w:pPr>
            <w:r w:rsidRPr="006D21E8">
              <w:rPr>
                <w:b/>
                <w:bCs/>
                <w:sz w:val="18"/>
                <w:szCs w:val="18"/>
              </w:rPr>
              <w:t xml:space="preserve">Tableau </w:t>
            </w:r>
            <w:r w:rsidR="00D72F8B">
              <w:rPr>
                <w:b/>
                <w:bCs/>
                <w:sz w:val="18"/>
                <w:szCs w:val="18"/>
              </w:rPr>
              <w:t>2</w:t>
            </w:r>
            <w:r w:rsidRPr="006D21E8">
              <w:rPr>
                <w:b/>
                <w:bCs/>
                <w:sz w:val="18"/>
                <w:szCs w:val="18"/>
              </w:rPr>
              <w:t>:</w:t>
            </w:r>
            <w:r w:rsidRPr="006D21E8">
              <w:rPr>
                <w:sz w:val="18"/>
                <w:szCs w:val="18"/>
              </w:rPr>
              <w:t xml:space="preserve"> Répartition des éclamptiques en fonction des facteurs chiffres tensionnels, de l’état du fœtus et du moment de survenue de la crise</w:t>
            </w:r>
          </w:p>
        </w:tc>
      </w:tr>
      <w:tr w:rsidR="00FD275A" w:rsidRPr="006D21E8" w:rsidTr="001C5D6F">
        <w:trPr>
          <w:trHeight w:val="194"/>
        </w:trPr>
        <w:tc>
          <w:tcPr>
            <w:tcW w:w="2573" w:type="pct"/>
            <w:hideMark/>
          </w:tcPr>
          <w:p w:rsidR="000E4026" w:rsidRPr="006D21E8" w:rsidRDefault="000E4026" w:rsidP="007043AA">
            <w:pPr>
              <w:jc w:val="both"/>
              <w:rPr>
                <w:b/>
                <w:bCs/>
                <w:sz w:val="18"/>
                <w:szCs w:val="18"/>
              </w:rPr>
            </w:pPr>
          </w:p>
        </w:tc>
        <w:tc>
          <w:tcPr>
            <w:tcW w:w="985" w:type="pct"/>
            <w:hideMark/>
          </w:tcPr>
          <w:p w:rsidR="000E4026" w:rsidRPr="006D21E8" w:rsidRDefault="000E4026" w:rsidP="00AB47FF">
            <w:pPr>
              <w:jc w:val="both"/>
              <w:rPr>
                <w:b/>
                <w:bCs/>
                <w:sz w:val="18"/>
                <w:szCs w:val="18"/>
              </w:rPr>
            </w:pPr>
            <w:r w:rsidRPr="006D21E8">
              <w:rPr>
                <w:b/>
                <w:bCs/>
                <w:sz w:val="18"/>
                <w:szCs w:val="18"/>
              </w:rPr>
              <w:t>Effectif</w:t>
            </w:r>
            <w:r w:rsidR="00FD275A" w:rsidRPr="006D21E8">
              <w:rPr>
                <w:b/>
                <w:bCs/>
                <w:sz w:val="18"/>
                <w:szCs w:val="18"/>
              </w:rPr>
              <w:t>s</w:t>
            </w:r>
          </w:p>
        </w:tc>
        <w:tc>
          <w:tcPr>
            <w:tcW w:w="1442" w:type="pct"/>
            <w:hideMark/>
          </w:tcPr>
          <w:p w:rsidR="000E4026" w:rsidRPr="006D21E8" w:rsidRDefault="00FD275A" w:rsidP="00AB47FF">
            <w:pPr>
              <w:jc w:val="both"/>
              <w:rPr>
                <w:b/>
                <w:bCs/>
                <w:sz w:val="18"/>
                <w:szCs w:val="18"/>
              </w:rPr>
            </w:pPr>
            <w:r w:rsidRPr="006D21E8">
              <w:rPr>
                <w:b/>
                <w:bCs/>
                <w:sz w:val="18"/>
                <w:szCs w:val="18"/>
              </w:rPr>
              <w:t xml:space="preserve">Fréquence </w:t>
            </w:r>
            <w:r w:rsidR="000E4026" w:rsidRPr="006D21E8">
              <w:rPr>
                <w:b/>
                <w:bCs/>
                <w:sz w:val="18"/>
                <w:szCs w:val="18"/>
              </w:rPr>
              <w:t>(%)</w:t>
            </w:r>
          </w:p>
        </w:tc>
      </w:tr>
      <w:tr w:rsidR="00455331" w:rsidRPr="006D21E8" w:rsidTr="00455331">
        <w:trPr>
          <w:trHeight w:val="200"/>
        </w:trPr>
        <w:tc>
          <w:tcPr>
            <w:tcW w:w="5000" w:type="pct"/>
            <w:gridSpan w:val="3"/>
            <w:hideMark/>
          </w:tcPr>
          <w:p w:rsidR="00455331" w:rsidRPr="006D21E8" w:rsidRDefault="00455331" w:rsidP="00455331">
            <w:pPr>
              <w:jc w:val="center"/>
              <w:rPr>
                <w:sz w:val="18"/>
                <w:szCs w:val="18"/>
              </w:rPr>
            </w:pPr>
            <w:r w:rsidRPr="006D21E8">
              <w:rPr>
                <w:b/>
                <w:bCs/>
                <w:sz w:val="18"/>
                <w:szCs w:val="18"/>
              </w:rPr>
              <w:t xml:space="preserve">TA Systolique </w:t>
            </w:r>
            <w:r>
              <w:rPr>
                <w:b/>
                <w:bCs/>
                <w:sz w:val="18"/>
                <w:szCs w:val="18"/>
              </w:rPr>
              <w:t>(mmH</w:t>
            </w:r>
            <w:r w:rsidRPr="006D21E8">
              <w:rPr>
                <w:b/>
                <w:bCs/>
                <w:sz w:val="18"/>
                <w:szCs w:val="18"/>
              </w:rPr>
              <w:t>g</w:t>
            </w:r>
            <w:r>
              <w:rPr>
                <w:b/>
                <w:bCs/>
                <w:sz w:val="18"/>
                <w:szCs w:val="18"/>
              </w:rPr>
              <w:t>)</w:t>
            </w:r>
          </w:p>
        </w:tc>
      </w:tr>
      <w:tr w:rsidR="00FD275A" w:rsidRPr="006D21E8" w:rsidTr="001C5D6F">
        <w:trPr>
          <w:trHeight w:val="200"/>
        </w:trPr>
        <w:tc>
          <w:tcPr>
            <w:tcW w:w="2573" w:type="pct"/>
            <w:hideMark/>
          </w:tcPr>
          <w:p w:rsidR="000E4026" w:rsidRPr="006D21E8" w:rsidRDefault="000E4026" w:rsidP="00AB47FF">
            <w:pPr>
              <w:jc w:val="both"/>
              <w:rPr>
                <w:sz w:val="18"/>
                <w:szCs w:val="18"/>
              </w:rPr>
            </w:pPr>
            <w:r w:rsidRPr="006D21E8">
              <w:rPr>
                <w:sz w:val="18"/>
                <w:szCs w:val="18"/>
              </w:rPr>
              <w:t>&gt; 150</w:t>
            </w:r>
          </w:p>
        </w:tc>
        <w:tc>
          <w:tcPr>
            <w:tcW w:w="985" w:type="pct"/>
            <w:hideMark/>
          </w:tcPr>
          <w:p w:rsidR="000E4026" w:rsidRPr="006D21E8" w:rsidRDefault="000E4026" w:rsidP="00AB47FF">
            <w:pPr>
              <w:jc w:val="both"/>
              <w:rPr>
                <w:sz w:val="18"/>
                <w:szCs w:val="18"/>
              </w:rPr>
            </w:pPr>
            <w:r w:rsidRPr="006D21E8">
              <w:rPr>
                <w:sz w:val="18"/>
                <w:szCs w:val="18"/>
              </w:rPr>
              <w:t>93</w:t>
            </w:r>
          </w:p>
        </w:tc>
        <w:tc>
          <w:tcPr>
            <w:tcW w:w="1442" w:type="pct"/>
            <w:hideMark/>
          </w:tcPr>
          <w:p w:rsidR="000E4026" w:rsidRPr="006D21E8" w:rsidRDefault="000E4026" w:rsidP="00AB47FF">
            <w:pPr>
              <w:jc w:val="both"/>
              <w:rPr>
                <w:sz w:val="18"/>
                <w:szCs w:val="18"/>
              </w:rPr>
            </w:pPr>
            <w:r w:rsidRPr="006D21E8">
              <w:rPr>
                <w:sz w:val="18"/>
                <w:szCs w:val="18"/>
              </w:rPr>
              <w:t>52,8</w:t>
            </w:r>
          </w:p>
        </w:tc>
      </w:tr>
      <w:tr w:rsidR="00FD275A" w:rsidRPr="006D21E8" w:rsidTr="001C5D6F">
        <w:trPr>
          <w:trHeight w:val="200"/>
        </w:trPr>
        <w:tc>
          <w:tcPr>
            <w:tcW w:w="2573" w:type="pct"/>
            <w:hideMark/>
          </w:tcPr>
          <w:p w:rsidR="000E4026" w:rsidRPr="006D21E8" w:rsidRDefault="000E4026" w:rsidP="00AB47FF">
            <w:pPr>
              <w:jc w:val="both"/>
              <w:rPr>
                <w:sz w:val="18"/>
                <w:szCs w:val="18"/>
              </w:rPr>
            </w:pPr>
            <w:r w:rsidRPr="006D21E8">
              <w:rPr>
                <w:sz w:val="18"/>
                <w:szCs w:val="18"/>
              </w:rPr>
              <w:t>140 – 150</w:t>
            </w:r>
          </w:p>
        </w:tc>
        <w:tc>
          <w:tcPr>
            <w:tcW w:w="985" w:type="pct"/>
            <w:hideMark/>
          </w:tcPr>
          <w:p w:rsidR="000E4026" w:rsidRPr="006D21E8" w:rsidRDefault="000E4026" w:rsidP="00AB47FF">
            <w:pPr>
              <w:jc w:val="both"/>
              <w:rPr>
                <w:sz w:val="18"/>
                <w:szCs w:val="18"/>
              </w:rPr>
            </w:pPr>
            <w:r w:rsidRPr="006D21E8">
              <w:rPr>
                <w:sz w:val="18"/>
                <w:szCs w:val="18"/>
              </w:rPr>
              <w:t>73</w:t>
            </w:r>
          </w:p>
        </w:tc>
        <w:tc>
          <w:tcPr>
            <w:tcW w:w="1442" w:type="pct"/>
            <w:hideMark/>
          </w:tcPr>
          <w:p w:rsidR="000E4026" w:rsidRPr="006D21E8" w:rsidRDefault="000E4026" w:rsidP="00AB47FF">
            <w:pPr>
              <w:jc w:val="both"/>
              <w:rPr>
                <w:sz w:val="18"/>
                <w:szCs w:val="18"/>
              </w:rPr>
            </w:pPr>
            <w:r w:rsidRPr="006D21E8">
              <w:rPr>
                <w:sz w:val="18"/>
                <w:szCs w:val="18"/>
              </w:rPr>
              <w:t>41,5</w:t>
            </w:r>
          </w:p>
        </w:tc>
      </w:tr>
      <w:tr w:rsidR="00FD275A" w:rsidRPr="006D21E8" w:rsidTr="001C5D6F">
        <w:trPr>
          <w:trHeight w:val="200"/>
        </w:trPr>
        <w:tc>
          <w:tcPr>
            <w:tcW w:w="2573" w:type="pct"/>
            <w:hideMark/>
          </w:tcPr>
          <w:p w:rsidR="000E4026" w:rsidRPr="006D21E8" w:rsidRDefault="000E4026" w:rsidP="00AB47FF">
            <w:pPr>
              <w:jc w:val="both"/>
              <w:rPr>
                <w:sz w:val="18"/>
                <w:szCs w:val="18"/>
              </w:rPr>
            </w:pPr>
            <w:r w:rsidRPr="006D21E8">
              <w:rPr>
                <w:sz w:val="18"/>
                <w:szCs w:val="18"/>
              </w:rPr>
              <w:t>&lt; 140</w:t>
            </w:r>
          </w:p>
        </w:tc>
        <w:tc>
          <w:tcPr>
            <w:tcW w:w="985" w:type="pct"/>
            <w:hideMark/>
          </w:tcPr>
          <w:p w:rsidR="000E4026" w:rsidRPr="006D21E8" w:rsidRDefault="000E4026" w:rsidP="00AB47FF">
            <w:pPr>
              <w:jc w:val="both"/>
              <w:rPr>
                <w:sz w:val="18"/>
                <w:szCs w:val="18"/>
              </w:rPr>
            </w:pPr>
            <w:r w:rsidRPr="006D21E8">
              <w:rPr>
                <w:sz w:val="18"/>
                <w:szCs w:val="18"/>
              </w:rPr>
              <w:t>10</w:t>
            </w:r>
          </w:p>
        </w:tc>
        <w:tc>
          <w:tcPr>
            <w:tcW w:w="1442" w:type="pct"/>
            <w:hideMark/>
          </w:tcPr>
          <w:p w:rsidR="000E4026" w:rsidRPr="006D21E8" w:rsidRDefault="000E4026" w:rsidP="00AB47FF">
            <w:pPr>
              <w:jc w:val="both"/>
              <w:rPr>
                <w:sz w:val="18"/>
                <w:szCs w:val="18"/>
              </w:rPr>
            </w:pPr>
            <w:r w:rsidRPr="006D21E8">
              <w:rPr>
                <w:sz w:val="18"/>
                <w:szCs w:val="18"/>
              </w:rPr>
              <w:t>5,7</w:t>
            </w:r>
          </w:p>
        </w:tc>
      </w:tr>
      <w:tr w:rsidR="00455331" w:rsidRPr="006D21E8" w:rsidTr="00455331">
        <w:trPr>
          <w:trHeight w:val="200"/>
        </w:trPr>
        <w:tc>
          <w:tcPr>
            <w:tcW w:w="5000" w:type="pct"/>
            <w:gridSpan w:val="3"/>
            <w:hideMark/>
          </w:tcPr>
          <w:p w:rsidR="00455331" w:rsidRPr="006D21E8" w:rsidRDefault="00455331" w:rsidP="00455331">
            <w:pPr>
              <w:jc w:val="center"/>
              <w:rPr>
                <w:sz w:val="18"/>
                <w:szCs w:val="18"/>
              </w:rPr>
            </w:pPr>
            <w:r w:rsidRPr="006D21E8">
              <w:rPr>
                <w:b/>
                <w:bCs/>
                <w:sz w:val="18"/>
                <w:szCs w:val="18"/>
              </w:rPr>
              <w:t xml:space="preserve">TA Diastolique </w:t>
            </w:r>
            <w:r>
              <w:rPr>
                <w:b/>
                <w:bCs/>
                <w:sz w:val="18"/>
                <w:szCs w:val="18"/>
              </w:rPr>
              <w:t>(e</w:t>
            </w:r>
            <w:r w:rsidRPr="006D21E8">
              <w:rPr>
                <w:b/>
                <w:bCs/>
                <w:sz w:val="18"/>
                <w:szCs w:val="18"/>
              </w:rPr>
              <w:t>n mm</w:t>
            </w:r>
            <w:r>
              <w:rPr>
                <w:b/>
                <w:bCs/>
                <w:sz w:val="18"/>
                <w:szCs w:val="18"/>
              </w:rPr>
              <w:t>H</w:t>
            </w:r>
            <w:r w:rsidRPr="006D21E8">
              <w:rPr>
                <w:b/>
                <w:bCs/>
                <w:sz w:val="18"/>
                <w:szCs w:val="18"/>
              </w:rPr>
              <w:t>g</w:t>
            </w:r>
            <w:r>
              <w:rPr>
                <w:b/>
                <w:bCs/>
                <w:sz w:val="18"/>
                <w:szCs w:val="18"/>
              </w:rPr>
              <w:t>)</w:t>
            </w:r>
          </w:p>
        </w:tc>
      </w:tr>
      <w:tr w:rsidR="000E4026" w:rsidRPr="006D21E8" w:rsidTr="001C5D6F">
        <w:trPr>
          <w:trHeight w:val="200"/>
        </w:trPr>
        <w:tc>
          <w:tcPr>
            <w:tcW w:w="2573" w:type="pct"/>
            <w:hideMark/>
          </w:tcPr>
          <w:p w:rsidR="000E4026" w:rsidRPr="006D21E8" w:rsidRDefault="000E4026" w:rsidP="00AB47FF">
            <w:pPr>
              <w:jc w:val="both"/>
              <w:rPr>
                <w:sz w:val="18"/>
                <w:szCs w:val="18"/>
              </w:rPr>
            </w:pPr>
            <w:r w:rsidRPr="006D21E8">
              <w:rPr>
                <w:sz w:val="18"/>
                <w:szCs w:val="18"/>
              </w:rPr>
              <w:t>90 – 100</w:t>
            </w:r>
          </w:p>
        </w:tc>
        <w:tc>
          <w:tcPr>
            <w:tcW w:w="985" w:type="pct"/>
            <w:hideMark/>
          </w:tcPr>
          <w:p w:rsidR="000E4026" w:rsidRPr="006D21E8" w:rsidRDefault="000E4026" w:rsidP="00AB47FF">
            <w:pPr>
              <w:jc w:val="both"/>
              <w:rPr>
                <w:sz w:val="18"/>
                <w:szCs w:val="18"/>
              </w:rPr>
            </w:pPr>
            <w:r w:rsidRPr="006D21E8">
              <w:rPr>
                <w:sz w:val="18"/>
                <w:szCs w:val="18"/>
              </w:rPr>
              <w:t>107</w:t>
            </w:r>
          </w:p>
        </w:tc>
        <w:tc>
          <w:tcPr>
            <w:tcW w:w="1442" w:type="pct"/>
            <w:hideMark/>
          </w:tcPr>
          <w:p w:rsidR="000E4026" w:rsidRPr="006D21E8" w:rsidRDefault="000E4026" w:rsidP="00AB47FF">
            <w:pPr>
              <w:jc w:val="both"/>
              <w:rPr>
                <w:sz w:val="18"/>
                <w:szCs w:val="18"/>
              </w:rPr>
            </w:pPr>
            <w:r w:rsidRPr="006D21E8">
              <w:rPr>
                <w:sz w:val="18"/>
                <w:szCs w:val="18"/>
              </w:rPr>
              <w:t>60,8</w:t>
            </w:r>
          </w:p>
        </w:tc>
      </w:tr>
      <w:tr w:rsidR="000E4026" w:rsidRPr="006D21E8" w:rsidTr="001C5D6F">
        <w:trPr>
          <w:trHeight w:val="200"/>
        </w:trPr>
        <w:tc>
          <w:tcPr>
            <w:tcW w:w="2573" w:type="pct"/>
            <w:hideMark/>
          </w:tcPr>
          <w:p w:rsidR="000E4026" w:rsidRPr="006D21E8" w:rsidRDefault="000E4026" w:rsidP="00AB47FF">
            <w:pPr>
              <w:jc w:val="both"/>
              <w:rPr>
                <w:sz w:val="18"/>
                <w:szCs w:val="18"/>
              </w:rPr>
            </w:pPr>
            <w:r w:rsidRPr="006D21E8">
              <w:rPr>
                <w:sz w:val="18"/>
                <w:szCs w:val="18"/>
              </w:rPr>
              <w:t>&gt; 100</w:t>
            </w:r>
          </w:p>
        </w:tc>
        <w:tc>
          <w:tcPr>
            <w:tcW w:w="985" w:type="pct"/>
            <w:hideMark/>
          </w:tcPr>
          <w:p w:rsidR="000E4026" w:rsidRPr="006D21E8" w:rsidRDefault="000E4026" w:rsidP="00AB47FF">
            <w:pPr>
              <w:jc w:val="both"/>
              <w:rPr>
                <w:sz w:val="18"/>
                <w:szCs w:val="18"/>
              </w:rPr>
            </w:pPr>
            <w:r w:rsidRPr="006D21E8">
              <w:rPr>
                <w:sz w:val="18"/>
                <w:szCs w:val="18"/>
              </w:rPr>
              <w:t>63</w:t>
            </w:r>
          </w:p>
        </w:tc>
        <w:tc>
          <w:tcPr>
            <w:tcW w:w="1442" w:type="pct"/>
            <w:hideMark/>
          </w:tcPr>
          <w:p w:rsidR="000E4026" w:rsidRPr="006D21E8" w:rsidRDefault="000E4026" w:rsidP="00AB47FF">
            <w:pPr>
              <w:jc w:val="both"/>
              <w:rPr>
                <w:sz w:val="18"/>
                <w:szCs w:val="18"/>
              </w:rPr>
            </w:pPr>
            <w:r w:rsidRPr="006D21E8">
              <w:rPr>
                <w:sz w:val="18"/>
                <w:szCs w:val="18"/>
              </w:rPr>
              <w:t>35,8</w:t>
            </w:r>
          </w:p>
        </w:tc>
      </w:tr>
      <w:tr w:rsidR="000E4026" w:rsidRPr="006D21E8" w:rsidTr="001C5D6F">
        <w:trPr>
          <w:trHeight w:val="200"/>
        </w:trPr>
        <w:tc>
          <w:tcPr>
            <w:tcW w:w="2573" w:type="pct"/>
            <w:hideMark/>
          </w:tcPr>
          <w:p w:rsidR="000E4026" w:rsidRPr="006D21E8" w:rsidRDefault="000E4026" w:rsidP="00AB47FF">
            <w:pPr>
              <w:jc w:val="both"/>
              <w:rPr>
                <w:sz w:val="18"/>
                <w:szCs w:val="18"/>
              </w:rPr>
            </w:pPr>
            <w:r w:rsidRPr="006D21E8">
              <w:rPr>
                <w:sz w:val="18"/>
                <w:szCs w:val="18"/>
              </w:rPr>
              <w:t>&lt; 90</w:t>
            </w:r>
          </w:p>
        </w:tc>
        <w:tc>
          <w:tcPr>
            <w:tcW w:w="985" w:type="pct"/>
            <w:hideMark/>
          </w:tcPr>
          <w:p w:rsidR="000E4026" w:rsidRPr="006D21E8" w:rsidRDefault="000E4026" w:rsidP="00AB47FF">
            <w:pPr>
              <w:jc w:val="both"/>
              <w:rPr>
                <w:sz w:val="18"/>
                <w:szCs w:val="18"/>
              </w:rPr>
            </w:pPr>
            <w:r w:rsidRPr="006D21E8">
              <w:rPr>
                <w:sz w:val="18"/>
                <w:szCs w:val="18"/>
              </w:rPr>
              <w:t>6</w:t>
            </w:r>
          </w:p>
        </w:tc>
        <w:tc>
          <w:tcPr>
            <w:tcW w:w="1442" w:type="pct"/>
            <w:hideMark/>
          </w:tcPr>
          <w:p w:rsidR="000E4026" w:rsidRPr="006D21E8" w:rsidRDefault="000E4026" w:rsidP="00AB47FF">
            <w:pPr>
              <w:jc w:val="both"/>
              <w:rPr>
                <w:sz w:val="18"/>
                <w:szCs w:val="18"/>
              </w:rPr>
            </w:pPr>
            <w:r w:rsidRPr="006D21E8">
              <w:rPr>
                <w:sz w:val="18"/>
                <w:szCs w:val="18"/>
              </w:rPr>
              <w:t>3,4</w:t>
            </w:r>
          </w:p>
        </w:tc>
      </w:tr>
      <w:tr w:rsidR="000E4026" w:rsidRPr="006D21E8" w:rsidTr="001C5D6F">
        <w:trPr>
          <w:trHeight w:val="200"/>
        </w:trPr>
        <w:tc>
          <w:tcPr>
            <w:tcW w:w="2573" w:type="pct"/>
            <w:hideMark/>
          </w:tcPr>
          <w:p w:rsidR="000E4026" w:rsidRPr="006D21E8" w:rsidRDefault="000E4026" w:rsidP="00455331">
            <w:pPr>
              <w:jc w:val="center"/>
              <w:rPr>
                <w:b/>
                <w:bCs/>
                <w:sz w:val="18"/>
                <w:szCs w:val="18"/>
              </w:rPr>
            </w:pPr>
            <w:r w:rsidRPr="006D21E8">
              <w:rPr>
                <w:b/>
                <w:bCs/>
                <w:sz w:val="18"/>
                <w:szCs w:val="18"/>
              </w:rPr>
              <w:t>BDCF</w:t>
            </w:r>
          </w:p>
        </w:tc>
        <w:tc>
          <w:tcPr>
            <w:tcW w:w="985" w:type="pct"/>
          </w:tcPr>
          <w:p w:rsidR="000E4026" w:rsidRPr="006D21E8" w:rsidRDefault="000E4026" w:rsidP="00455331">
            <w:pPr>
              <w:jc w:val="center"/>
              <w:rPr>
                <w:sz w:val="18"/>
                <w:szCs w:val="18"/>
              </w:rPr>
            </w:pPr>
          </w:p>
        </w:tc>
        <w:tc>
          <w:tcPr>
            <w:tcW w:w="1442" w:type="pct"/>
          </w:tcPr>
          <w:p w:rsidR="000E4026" w:rsidRPr="006D21E8" w:rsidRDefault="000E4026" w:rsidP="00455331">
            <w:pPr>
              <w:jc w:val="center"/>
              <w:rPr>
                <w:sz w:val="18"/>
                <w:szCs w:val="18"/>
              </w:rPr>
            </w:pPr>
          </w:p>
        </w:tc>
      </w:tr>
      <w:tr w:rsidR="000E4026" w:rsidRPr="006D21E8" w:rsidTr="001C5D6F">
        <w:trPr>
          <w:trHeight w:val="200"/>
        </w:trPr>
        <w:tc>
          <w:tcPr>
            <w:tcW w:w="2573" w:type="pct"/>
            <w:hideMark/>
          </w:tcPr>
          <w:p w:rsidR="000E4026" w:rsidRPr="006D21E8" w:rsidRDefault="000E4026" w:rsidP="00AB47FF">
            <w:pPr>
              <w:jc w:val="both"/>
              <w:rPr>
                <w:sz w:val="18"/>
                <w:szCs w:val="18"/>
              </w:rPr>
            </w:pPr>
            <w:r w:rsidRPr="006D21E8">
              <w:rPr>
                <w:sz w:val="18"/>
                <w:szCs w:val="18"/>
              </w:rPr>
              <w:t>Présents</w:t>
            </w:r>
          </w:p>
        </w:tc>
        <w:tc>
          <w:tcPr>
            <w:tcW w:w="985" w:type="pct"/>
            <w:hideMark/>
          </w:tcPr>
          <w:p w:rsidR="000E4026" w:rsidRPr="006D21E8" w:rsidRDefault="000E4026" w:rsidP="00AB47FF">
            <w:pPr>
              <w:jc w:val="both"/>
              <w:rPr>
                <w:sz w:val="18"/>
                <w:szCs w:val="18"/>
              </w:rPr>
            </w:pPr>
            <w:r w:rsidRPr="006D21E8">
              <w:rPr>
                <w:sz w:val="18"/>
                <w:szCs w:val="18"/>
              </w:rPr>
              <w:t>112</w:t>
            </w:r>
          </w:p>
        </w:tc>
        <w:tc>
          <w:tcPr>
            <w:tcW w:w="1442" w:type="pct"/>
            <w:hideMark/>
          </w:tcPr>
          <w:p w:rsidR="000E4026" w:rsidRPr="006D21E8" w:rsidRDefault="000E4026" w:rsidP="00AB47FF">
            <w:pPr>
              <w:jc w:val="both"/>
              <w:rPr>
                <w:sz w:val="18"/>
                <w:szCs w:val="18"/>
              </w:rPr>
            </w:pPr>
            <w:r w:rsidRPr="006D21E8">
              <w:rPr>
                <w:sz w:val="18"/>
                <w:szCs w:val="18"/>
              </w:rPr>
              <w:t>86,1</w:t>
            </w:r>
          </w:p>
        </w:tc>
      </w:tr>
      <w:tr w:rsidR="000E4026" w:rsidRPr="006D21E8" w:rsidTr="001C5D6F">
        <w:trPr>
          <w:trHeight w:val="200"/>
        </w:trPr>
        <w:tc>
          <w:tcPr>
            <w:tcW w:w="2573" w:type="pct"/>
            <w:hideMark/>
          </w:tcPr>
          <w:p w:rsidR="000E4026" w:rsidRPr="006D21E8" w:rsidRDefault="000E4026" w:rsidP="00AB47FF">
            <w:pPr>
              <w:jc w:val="both"/>
              <w:rPr>
                <w:sz w:val="18"/>
                <w:szCs w:val="18"/>
              </w:rPr>
            </w:pPr>
            <w:r w:rsidRPr="006D21E8">
              <w:rPr>
                <w:sz w:val="18"/>
                <w:szCs w:val="18"/>
              </w:rPr>
              <w:t>Absents</w:t>
            </w:r>
          </w:p>
        </w:tc>
        <w:tc>
          <w:tcPr>
            <w:tcW w:w="985" w:type="pct"/>
            <w:hideMark/>
          </w:tcPr>
          <w:p w:rsidR="000E4026" w:rsidRPr="006D21E8" w:rsidRDefault="000E4026" w:rsidP="00AB47FF">
            <w:pPr>
              <w:jc w:val="both"/>
              <w:rPr>
                <w:sz w:val="18"/>
                <w:szCs w:val="18"/>
              </w:rPr>
            </w:pPr>
            <w:r w:rsidRPr="006D21E8">
              <w:rPr>
                <w:sz w:val="18"/>
                <w:szCs w:val="18"/>
              </w:rPr>
              <w:t>18</w:t>
            </w:r>
          </w:p>
        </w:tc>
        <w:tc>
          <w:tcPr>
            <w:tcW w:w="1442" w:type="pct"/>
            <w:hideMark/>
          </w:tcPr>
          <w:p w:rsidR="000E4026" w:rsidRPr="006D21E8" w:rsidRDefault="000E4026" w:rsidP="00AB47FF">
            <w:pPr>
              <w:jc w:val="both"/>
              <w:rPr>
                <w:sz w:val="18"/>
                <w:szCs w:val="18"/>
              </w:rPr>
            </w:pPr>
            <w:r w:rsidRPr="006D21E8">
              <w:rPr>
                <w:sz w:val="18"/>
                <w:szCs w:val="18"/>
              </w:rPr>
              <w:t>13,9</w:t>
            </w:r>
          </w:p>
        </w:tc>
      </w:tr>
      <w:tr w:rsidR="00455331" w:rsidRPr="006D21E8" w:rsidTr="00455331">
        <w:trPr>
          <w:trHeight w:val="200"/>
        </w:trPr>
        <w:tc>
          <w:tcPr>
            <w:tcW w:w="5000" w:type="pct"/>
            <w:gridSpan w:val="3"/>
            <w:hideMark/>
          </w:tcPr>
          <w:p w:rsidR="00455331" w:rsidRPr="006D21E8" w:rsidRDefault="00455331" w:rsidP="00455331">
            <w:pPr>
              <w:jc w:val="center"/>
              <w:rPr>
                <w:sz w:val="18"/>
                <w:szCs w:val="18"/>
              </w:rPr>
            </w:pPr>
            <w:r w:rsidRPr="006D21E8">
              <w:rPr>
                <w:b/>
                <w:bCs/>
                <w:sz w:val="18"/>
                <w:szCs w:val="18"/>
              </w:rPr>
              <w:t>Moment de la survenue de la crise</w:t>
            </w:r>
          </w:p>
        </w:tc>
      </w:tr>
      <w:tr w:rsidR="00B15DF8" w:rsidRPr="006D21E8" w:rsidTr="001C5D6F">
        <w:trPr>
          <w:trHeight w:val="200"/>
        </w:trPr>
        <w:tc>
          <w:tcPr>
            <w:tcW w:w="2573" w:type="pct"/>
            <w:hideMark/>
          </w:tcPr>
          <w:p w:rsidR="00B15DF8" w:rsidRPr="006D21E8" w:rsidRDefault="00B15DF8" w:rsidP="00AB47FF">
            <w:pPr>
              <w:jc w:val="both"/>
              <w:rPr>
                <w:sz w:val="18"/>
                <w:szCs w:val="18"/>
              </w:rPr>
            </w:pPr>
            <w:r w:rsidRPr="006D21E8">
              <w:rPr>
                <w:sz w:val="18"/>
                <w:szCs w:val="18"/>
              </w:rPr>
              <w:t>Per-partum</w:t>
            </w:r>
          </w:p>
        </w:tc>
        <w:tc>
          <w:tcPr>
            <w:tcW w:w="985" w:type="pct"/>
            <w:hideMark/>
          </w:tcPr>
          <w:p w:rsidR="00B15DF8" w:rsidRPr="006D21E8" w:rsidRDefault="00B15DF8" w:rsidP="00AB47FF">
            <w:pPr>
              <w:jc w:val="both"/>
              <w:rPr>
                <w:sz w:val="18"/>
                <w:szCs w:val="18"/>
              </w:rPr>
            </w:pPr>
            <w:r w:rsidRPr="006D21E8">
              <w:rPr>
                <w:sz w:val="18"/>
                <w:szCs w:val="18"/>
              </w:rPr>
              <w:t>73</w:t>
            </w:r>
          </w:p>
        </w:tc>
        <w:tc>
          <w:tcPr>
            <w:tcW w:w="1442" w:type="pct"/>
            <w:hideMark/>
          </w:tcPr>
          <w:p w:rsidR="00B15DF8" w:rsidRPr="006D21E8" w:rsidRDefault="00B15DF8" w:rsidP="00AB47FF">
            <w:pPr>
              <w:jc w:val="both"/>
              <w:rPr>
                <w:sz w:val="18"/>
                <w:szCs w:val="18"/>
              </w:rPr>
            </w:pPr>
            <w:r w:rsidRPr="006D21E8">
              <w:rPr>
                <w:sz w:val="18"/>
                <w:szCs w:val="18"/>
              </w:rPr>
              <w:t>41,5</w:t>
            </w:r>
          </w:p>
        </w:tc>
      </w:tr>
      <w:tr w:rsidR="00B15DF8" w:rsidRPr="006D21E8" w:rsidTr="001C5D6F">
        <w:trPr>
          <w:trHeight w:val="200"/>
        </w:trPr>
        <w:tc>
          <w:tcPr>
            <w:tcW w:w="2573" w:type="pct"/>
            <w:hideMark/>
          </w:tcPr>
          <w:p w:rsidR="00B15DF8" w:rsidRPr="006D21E8" w:rsidRDefault="00B15DF8" w:rsidP="00AB47FF">
            <w:pPr>
              <w:jc w:val="both"/>
              <w:rPr>
                <w:sz w:val="18"/>
                <w:szCs w:val="18"/>
              </w:rPr>
            </w:pPr>
            <w:r w:rsidRPr="006D21E8">
              <w:rPr>
                <w:sz w:val="18"/>
                <w:szCs w:val="18"/>
              </w:rPr>
              <w:t>Anté-partum</w:t>
            </w:r>
          </w:p>
        </w:tc>
        <w:tc>
          <w:tcPr>
            <w:tcW w:w="985" w:type="pct"/>
            <w:hideMark/>
          </w:tcPr>
          <w:p w:rsidR="00B15DF8" w:rsidRPr="006D21E8" w:rsidRDefault="00B15DF8" w:rsidP="00AB47FF">
            <w:pPr>
              <w:jc w:val="both"/>
              <w:rPr>
                <w:sz w:val="18"/>
                <w:szCs w:val="18"/>
              </w:rPr>
            </w:pPr>
            <w:r w:rsidRPr="006D21E8">
              <w:rPr>
                <w:sz w:val="18"/>
                <w:szCs w:val="18"/>
              </w:rPr>
              <w:t>57</w:t>
            </w:r>
          </w:p>
        </w:tc>
        <w:tc>
          <w:tcPr>
            <w:tcW w:w="1442" w:type="pct"/>
            <w:hideMark/>
          </w:tcPr>
          <w:p w:rsidR="00B15DF8" w:rsidRPr="006D21E8" w:rsidRDefault="00B15DF8" w:rsidP="00AB47FF">
            <w:pPr>
              <w:jc w:val="both"/>
              <w:rPr>
                <w:sz w:val="18"/>
                <w:szCs w:val="18"/>
              </w:rPr>
            </w:pPr>
            <w:r w:rsidRPr="006D21E8">
              <w:rPr>
                <w:sz w:val="18"/>
                <w:szCs w:val="18"/>
              </w:rPr>
              <w:t>32,4</w:t>
            </w:r>
          </w:p>
        </w:tc>
      </w:tr>
      <w:tr w:rsidR="00B15DF8" w:rsidRPr="006D21E8" w:rsidTr="001C5D6F">
        <w:trPr>
          <w:trHeight w:val="200"/>
        </w:trPr>
        <w:tc>
          <w:tcPr>
            <w:tcW w:w="2573" w:type="pct"/>
            <w:hideMark/>
          </w:tcPr>
          <w:p w:rsidR="00B15DF8" w:rsidRPr="006D21E8" w:rsidRDefault="00B15DF8" w:rsidP="00AB47FF">
            <w:pPr>
              <w:jc w:val="both"/>
              <w:rPr>
                <w:sz w:val="18"/>
                <w:szCs w:val="18"/>
              </w:rPr>
            </w:pPr>
            <w:r w:rsidRPr="006D21E8">
              <w:rPr>
                <w:sz w:val="18"/>
                <w:szCs w:val="18"/>
              </w:rPr>
              <w:t>Post-partum</w:t>
            </w:r>
          </w:p>
        </w:tc>
        <w:tc>
          <w:tcPr>
            <w:tcW w:w="985" w:type="pct"/>
            <w:hideMark/>
          </w:tcPr>
          <w:p w:rsidR="00B15DF8" w:rsidRPr="006D21E8" w:rsidRDefault="00B15DF8" w:rsidP="00AB47FF">
            <w:pPr>
              <w:jc w:val="both"/>
              <w:rPr>
                <w:sz w:val="18"/>
                <w:szCs w:val="18"/>
              </w:rPr>
            </w:pPr>
            <w:r w:rsidRPr="006D21E8">
              <w:rPr>
                <w:sz w:val="18"/>
                <w:szCs w:val="18"/>
              </w:rPr>
              <w:t>46</w:t>
            </w:r>
          </w:p>
        </w:tc>
        <w:tc>
          <w:tcPr>
            <w:tcW w:w="1442" w:type="pct"/>
            <w:hideMark/>
          </w:tcPr>
          <w:p w:rsidR="00B15DF8" w:rsidRPr="006D21E8" w:rsidRDefault="00B15DF8" w:rsidP="00AB47FF">
            <w:pPr>
              <w:jc w:val="both"/>
              <w:rPr>
                <w:sz w:val="18"/>
                <w:szCs w:val="18"/>
              </w:rPr>
            </w:pPr>
            <w:r w:rsidRPr="006D21E8">
              <w:rPr>
                <w:sz w:val="18"/>
                <w:szCs w:val="18"/>
              </w:rPr>
              <w:t>26,1</w:t>
            </w:r>
          </w:p>
        </w:tc>
      </w:tr>
    </w:tbl>
    <w:p w:rsidR="00E574F6" w:rsidRPr="00AB47FF" w:rsidRDefault="00E574F6" w:rsidP="00CF032F">
      <w:pPr>
        <w:autoSpaceDE w:val="0"/>
        <w:autoSpaceDN w:val="0"/>
        <w:adjustRightInd w:val="0"/>
        <w:spacing w:before="60" w:after="20"/>
        <w:jc w:val="both"/>
        <w:rPr>
          <w:b/>
          <w:bCs/>
          <w:sz w:val="20"/>
          <w:szCs w:val="20"/>
        </w:rPr>
      </w:pPr>
      <w:r w:rsidRPr="00AB47FF">
        <w:rPr>
          <w:b/>
          <w:bCs/>
          <w:sz w:val="20"/>
          <w:szCs w:val="20"/>
        </w:rPr>
        <w:t>Aspects Thérapeutiques et pronostiques</w:t>
      </w:r>
    </w:p>
    <w:p w:rsidR="00B60DFA" w:rsidRPr="00AB47FF" w:rsidRDefault="00B60DFA" w:rsidP="00AB47FF">
      <w:pPr>
        <w:autoSpaceDE w:val="0"/>
        <w:autoSpaceDN w:val="0"/>
        <w:adjustRightInd w:val="0"/>
        <w:jc w:val="both"/>
        <w:rPr>
          <w:sz w:val="20"/>
          <w:szCs w:val="20"/>
        </w:rPr>
      </w:pPr>
      <w:r w:rsidRPr="00AB47FF">
        <w:rPr>
          <w:sz w:val="20"/>
          <w:szCs w:val="20"/>
        </w:rPr>
        <w:t>54,5% de</w:t>
      </w:r>
      <w:r w:rsidR="006E76D0" w:rsidRPr="00AB47FF">
        <w:rPr>
          <w:sz w:val="20"/>
          <w:szCs w:val="20"/>
          <w:u w:val="single"/>
        </w:rPr>
        <w:t>s</w:t>
      </w:r>
      <w:r w:rsidR="006D21E8">
        <w:rPr>
          <w:sz w:val="20"/>
          <w:szCs w:val="20"/>
        </w:rPr>
        <w:t xml:space="preserve"> patientes</w:t>
      </w:r>
      <w:r w:rsidRPr="00AB47FF">
        <w:rPr>
          <w:sz w:val="20"/>
          <w:szCs w:val="20"/>
        </w:rPr>
        <w:t xml:space="preserve"> </w:t>
      </w:r>
      <w:r w:rsidR="006E76D0" w:rsidRPr="00AB47FF">
        <w:rPr>
          <w:sz w:val="20"/>
          <w:szCs w:val="20"/>
        </w:rPr>
        <w:t xml:space="preserve">avaient accouché par </w:t>
      </w:r>
      <w:r w:rsidRPr="00AB47FF">
        <w:rPr>
          <w:sz w:val="20"/>
          <w:szCs w:val="20"/>
        </w:rPr>
        <w:t>césarie</w:t>
      </w:r>
      <w:r w:rsidR="006E76D0" w:rsidRPr="00AB47FF">
        <w:rPr>
          <w:sz w:val="20"/>
          <w:szCs w:val="20"/>
        </w:rPr>
        <w:t>nne</w:t>
      </w:r>
      <w:r w:rsidRPr="00AB47FF">
        <w:rPr>
          <w:sz w:val="20"/>
          <w:szCs w:val="20"/>
        </w:rPr>
        <w:t>.</w:t>
      </w:r>
      <w:r w:rsidR="0056536B" w:rsidRPr="00AB47FF">
        <w:rPr>
          <w:sz w:val="20"/>
          <w:szCs w:val="20"/>
        </w:rPr>
        <w:t xml:space="preserve"> Le délai entre </w:t>
      </w:r>
      <w:r w:rsidR="006E76D0" w:rsidRPr="00AB47FF">
        <w:rPr>
          <w:sz w:val="20"/>
          <w:szCs w:val="20"/>
        </w:rPr>
        <w:t>l</w:t>
      </w:r>
      <w:r w:rsidR="003A4087">
        <w:rPr>
          <w:sz w:val="20"/>
          <w:szCs w:val="20"/>
        </w:rPr>
        <w:t>a</w:t>
      </w:r>
      <w:r w:rsidR="006E76D0" w:rsidRPr="00AB47FF">
        <w:rPr>
          <w:sz w:val="20"/>
          <w:szCs w:val="20"/>
        </w:rPr>
        <w:t xml:space="preserve"> </w:t>
      </w:r>
      <w:r w:rsidR="0056536B" w:rsidRPr="00AB47FF">
        <w:rPr>
          <w:sz w:val="20"/>
          <w:szCs w:val="20"/>
        </w:rPr>
        <w:t>crise</w:t>
      </w:r>
      <w:r w:rsidR="003A4087">
        <w:rPr>
          <w:sz w:val="20"/>
          <w:szCs w:val="20"/>
        </w:rPr>
        <w:t xml:space="preserve"> convulsive</w:t>
      </w:r>
      <w:r w:rsidR="0056536B" w:rsidRPr="00AB47FF">
        <w:rPr>
          <w:sz w:val="20"/>
          <w:szCs w:val="20"/>
        </w:rPr>
        <w:t xml:space="preserve"> et l’accouchement était supérieure à 5h dans 63,1%.</w:t>
      </w:r>
      <w:r w:rsidRPr="00AB47FF">
        <w:rPr>
          <w:sz w:val="20"/>
          <w:szCs w:val="20"/>
        </w:rPr>
        <w:t xml:space="preserve"> </w:t>
      </w:r>
      <w:r w:rsidR="005F46EF" w:rsidRPr="00AB47FF">
        <w:rPr>
          <w:sz w:val="20"/>
          <w:szCs w:val="20"/>
        </w:rPr>
        <w:t>Un</w:t>
      </w:r>
      <w:r w:rsidRPr="00AB47FF">
        <w:rPr>
          <w:sz w:val="20"/>
          <w:szCs w:val="20"/>
        </w:rPr>
        <w:t xml:space="preserve"> traitement médical </w:t>
      </w:r>
      <w:r w:rsidR="005F46EF" w:rsidRPr="00AB47FF">
        <w:rPr>
          <w:sz w:val="20"/>
          <w:szCs w:val="20"/>
        </w:rPr>
        <w:t xml:space="preserve">a institué </w:t>
      </w:r>
      <w:r w:rsidRPr="00AB47FF">
        <w:rPr>
          <w:sz w:val="20"/>
          <w:szCs w:val="20"/>
        </w:rPr>
        <w:t>chez toutes nos patientes.</w:t>
      </w:r>
      <w:r w:rsidR="00390630" w:rsidRPr="00AB47FF">
        <w:rPr>
          <w:sz w:val="20"/>
          <w:szCs w:val="20"/>
        </w:rPr>
        <w:t xml:space="preserve"> </w:t>
      </w:r>
      <w:r w:rsidRPr="00AB47FF">
        <w:rPr>
          <w:sz w:val="20"/>
          <w:szCs w:val="20"/>
        </w:rPr>
        <w:t>Ce traitement a associé</w:t>
      </w:r>
      <w:r w:rsidR="001A3ECA" w:rsidRPr="00AB47FF">
        <w:rPr>
          <w:sz w:val="20"/>
          <w:szCs w:val="20"/>
        </w:rPr>
        <w:t xml:space="preserve"> des antihypertenseurs</w:t>
      </w:r>
      <w:r w:rsidRPr="00AB47FF">
        <w:rPr>
          <w:sz w:val="20"/>
          <w:szCs w:val="20"/>
        </w:rPr>
        <w:t xml:space="preserve"> dont le plus </w:t>
      </w:r>
      <w:r w:rsidR="00565344">
        <w:rPr>
          <w:sz w:val="20"/>
          <w:szCs w:val="20"/>
        </w:rPr>
        <w:t>utilisé était la Nicardipine</w:t>
      </w:r>
      <w:r w:rsidRPr="00AB47FF">
        <w:rPr>
          <w:sz w:val="20"/>
          <w:szCs w:val="20"/>
        </w:rPr>
        <w:t xml:space="preserve"> dans 88,6%</w:t>
      </w:r>
      <w:r w:rsidR="001A3ECA" w:rsidRPr="00AB47FF">
        <w:rPr>
          <w:sz w:val="20"/>
          <w:szCs w:val="20"/>
        </w:rPr>
        <w:t xml:space="preserve"> de cas</w:t>
      </w:r>
      <w:r w:rsidRPr="00AB47FF">
        <w:rPr>
          <w:sz w:val="20"/>
          <w:szCs w:val="20"/>
        </w:rPr>
        <w:t>, d’anti-convulsivants dont le plus utilisé était le Sulfate de magnésium (MgSO4) dans 90,9%</w:t>
      </w:r>
      <w:r w:rsidR="001A3ECA" w:rsidRPr="00AB47FF">
        <w:rPr>
          <w:sz w:val="20"/>
          <w:szCs w:val="20"/>
        </w:rPr>
        <w:t xml:space="preserve"> de cas</w:t>
      </w:r>
      <w:r w:rsidRPr="00AB47FF">
        <w:rPr>
          <w:sz w:val="20"/>
          <w:szCs w:val="20"/>
        </w:rPr>
        <w:t xml:space="preserve">, </w:t>
      </w:r>
      <w:r w:rsidR="001A3ECA" w:rsidRPr="00AB47FF">
        <w:rPr>
          <w:sz w:val="20"/>
          <w:szCs w:val="20"/>
        </w:rPr>
        <w:t>de l’</w:t>
      </w:r>
      <w:r w:rsidRPr="00AB47FF">
        <w:rPr>
          <w:sz w:val="20"/>
          <w:szCs w:val="20"/>
        </w:rPr>
        <w:t>oxygénothérapie dans 18,2%</w:t>
      </w:r>
      <w:r w:rsidR="001A3ECA" w:rsidRPr="00AB47FF">
        <w:rPr>
          <w:sz w:val="20"/>
          <w:szCs w:val="20"/>
        </w:rPr>
        <w:t xml:space="preserve"> de cas</w:t>
      </w:r>
      <w:r w:rsidR="0064196B" w:rsidRPr="00AB47FF">
        <w:rPr>
          <w:sz w:val="20"/>
          <w:szCs w:val="20"/>
        </w:rPr>
        <w:t>.</w:t>
      </w:r>
    </w:p>
    <w:p w:rsidR="00B60DFA" w:rsidRPr="00D72F8B" w:rsidRDefault="00B60DFA" w:rsidP="00AB47FF">
      <w:pPr>
        <w:autoSpaceDE w:val="0"/>
        <w:autoSpaceDN w:val="0"/>
        <w:adjustRightInd w:val="0"/>
        <w:jc w:val="both"/>
        <w:rPr>
          <w:sz w:val="20"/>
          <w:szCs w:val="20"/>
        </w:rPr>
      </w:pPr>
      <w:r w:rsidRPr="00AB47FF">
        <w:rPr>
          <w:sz w:val="20"/>
          <w:szCs w:val="20"/>
        </w:rPr>
        <w:t xml:space="preserve">Notre service ne disposant pas d’unité de réanimation, 43,7% de nos patientes ont été transférées en </w:t>
      </w:r>
      <w:r w:rsidR="005F46EF" w:rsidRPr="00AB47FF">
        <w:rPr>
          <w:sz w:val="20"/>
          <w:szCs w:val="20"/>
        </w:rPr>
        <w:t>réanimation et y</w:t>
      </w:r>
      <w:r w:rsidRPr="00AB47FF">
        <w:rPr>
          <w:sz w:val="20"/>
          <w:szCs w:val="20"/>
        </w:rPr>
        <w:t xml:space="preserve"> avaient fait un séjour moyen de 2,71 jours. La durée moyenne d’hospitalisation était de 4,52 </w:t>
      </w:r>
      <w:r w:rsidRPr="00D72F8B">
        <w:rPr>
          <w:sz w:val="20"/>
          <w:szCs w:val="20"/>
        </w:rPr>
        <w:t>jours</w:t>
      </w:r>
      <w:r w:rsidR="006C24DA" w:rsidRPr="00D72F8B">
        <w:rPr>
          <w:sz w:val="20"/>
          <w:szCs w:val="20"/>
        </w:rPr>
        <w:t xml:space="preserve"> (</w:t>
      </w:r>
      <w:r w:rsidR="006C24DA" w:rsidRPr="00D72F8B">
        <w:rPr>
          <w:bCs/>
          <w:sz w:val="20"/>
          <w:szCs w:val="20"/>
        </w:rPr>
        <w:t xml:space="preserve">tableau </w:t>
      </w:r>
      <w:r w:rsidR="00D72F8B">
        <w:rPr>
          <w:bCs/>
          <w:sz w:val="20"/>
          <w:szCs w:val="20"/>
        </w:rPr>
        <w:t>3</w:t>
      </w:r>
      <w:r w:rsidR="006C24DA" w:rsidRPr="00D72F8B">
        <w:rPr>
          <w:sz w:val="20"/>
          <w:szCs w:val="20"/>
        </w:rPr>
        <w:t>).</w:t>
      </w:r>
    </w:p>
    <w:p w:rsidR="006D21E8" w:rsidRPr="00AB47FF" w:rsidRDefault="006D21E8" w:rsidP="00AB47FF">
      <w:pPr>
        <w:autoSpaceDE w:val="0"/>
        <w:autoSpaceDN w:val="0"/>
        <w:adjustRightInd w:val="0"/>
        <w:jc w:val="both"/>
        <w:rPr>
          <w:sz w:val="20"/>
          <w:szCs w:val="20"/>
        </w:rPr>
      </w:pPr>
    </w:p>
    <w:tbl>
      <w:tblPr>
        <w:tblStyle w:val="Grilledutableau"/>
        <w:tblW w:w="5000" w:type="pct"/>
        <w:tblLook w:val="0020"/>
      </w:tblPr>
      <w:tblGrid>
        <w:gridCol w:w="2490"/>
        <w:gridCol w:w="856"/>
        <w:gridCol w:w="1476"/>
      </w:tblGrid>
      <w:tr w:rsidR="00007121" w:rsidRPr="006D21E8" w:rsidTr="00455331">
        <w:trPr>
          <w:trHeight w:val="165"/>
        </w:trPr>
        <w:tc>
          <w:tcPr>
            <w:tcW w:w="5000" w:type="pct"/>
            <w:gridSpan w:val="3"/>
            <w:hideMark/>
          </w:tcPr>
          <w:p w:rsidR="00007121" w:rsidRPr="006D21E8" w:rsidRDefault="00007121" w:rsidP="00D72F8B">
            <w:pPr>
              <w:autoSpaceDE w:val="0"/>
              <w:autoSpaceDN w:val="0"/>
              <w:adjustRightInd w:val="0"/>
              <w:jc w:val="both"/>
              <w:rPr>
                <w:b/>
                <w:bCs/>
                <w:sz w:val="18"/>
                <w:szCs w:val="18"/>
              </w:rPr>
            </w:pPr>
            <w:r w:rsidRPr="006D21E8">
              <w:rPr>
                <w:b/>
                <w:bCs/>
                <w:sz w:val="18"/>
                <w:szCs w:val="18"/>
              </w:rPr>
              <w:t xml:space="preserve">Tableau </w:t>
            </w:r>
            <w:r w:rsidR="00D72F8B">
              <w:rPr>
                <w:b/>
                <w:bCs/>
                <w:sz w:val="18"/>
                <w:szCs w:val="18"/>
              </w:rPr>
              <w:t>3</w:t>
            </w:r>
            <w:r w:rsidRPr="006D21E8">
              <w:rPr>
                <w:b/>
                <w:bCs/>
                <w:sz w:val="18"/>
                <w:szCs w:val="18"/>
              </w:rPr>
              <w:t xml:space="preserve">: </w:t>
            </w:r>
            <w:r w:rsidRPr="006D21E8">
              <w:rPr>
                <w:sz w:val="18"/>
                <w:szCs w:val="18"/>
              </w:rPr>
              <w:t>Répartition des patientes en fonction de la voie d’accouchement, du traitement médical reçu, du transfert en réanimation et de la durée de séjour hospitalier à l’hôpital de deuxième référence de Ségou au Mali de 2010 à 2012.</w:t>
            </w:r>
          </w:p>
        </w:tc>
      </w:tr>
      <w:tr w:rsidR="00002A4A" w:rsidRPr="006D21E8" w:rsidTr="00455331">
        <w:trPr>
          <w:trHeight w:val="165"/>
        </w:trPr>
        <w:tc>
          <w:tcPr>
            <w:tcW w:w="2582" w:type="pct"/>
            <w:hideMark/>
          </w:tcPr>
          <w:p w:rsidR="0056536B" w:rsidRPr="006D21E8" w:rsidRDefault="0056536B" w:rsidP="00AB47FF">
            <w:pPr>
              <w:jc w:val="both"/>
              <w:rPr>
                <w:b/>
                <w:bCs/>
                <w:sz w:val="18"/>
                <w:szCs w:val="18"/>
              </w:rPr>
            </w:pPr>
          </w:p>
        </w:tc>
        <w:tc>
          <w:tcPr>
            <w:tcW w:w="888" w:type="pct"/>
            <w:hideMark/>
          </w:tcPr>
          <w:p w:rsidR="0056536B" w:rsidRPr="006D21E8" w:rsidRDefault="0056536B" w:rsidP="00AB47FF">
            <w:pPr>
              <w:jc w:val="both"/>
              <w:rPr>
                <w:b/>
                <w:bCs/>
                <w:sz w:val="18"/>
                <w:szCs w:val="18"/>
              </w:rPr>
            </w:pPr>
            <w:r w:rsidRPr="006D21E8">
              <w:rPr>
                <w:b/>
                <w:bCs/>
                <w:sz w:val="18"/>
                <w:szCs w:val="18"/>
              </w:rPr>
              <w:t>Effectif</w:t>
            </w:r>
            <w:r w:rsidR="00003379" w:rsidRPr="006D21E8">
              <w:rPr>
                <w:b/>
                <w:bCs/>
                <w:sz w:val="18"/>
                <w:szCs w:val="18"/>
              </w:rPr>
              <w:t>s</w:t>
            </w:r>
          </w:p>
        </w:tc>
        <w:tc>
          <w:tcPr>
            <w:tcW w:w="1530" w:type="pct"/>
            <w:hideMark/>
          </w:tcPr>
          <w:p w:rsidR="0056536B" w:rsidRPr="006D21E8" w:rsidRDefault="00760F1D" w:rsidP="00AB47FF">
            <w:pPr>
              <w:jc w:val="both"/>
              <w:rPr>
                <w:b/>
                <w:bCs/>
                <w:sz w:val="18"/>
                <w:szCs w:val="18"/>
              </w:rPr>
            </w:pPr>
            <w:r w:rsidRPr="006D21E8">
              <w:rPr>
                <w:b/>
                <w:bCs/>
                <w:sz w:val="18"/>
                <w:szCs w:val="18"/>
              </w:rPr>
              <w:t>Fréquence</w:t>
            </w:r>
            <w:r w:rsidR="0056536B" w:rsidRPr="006D21E8">
              <w:rPr>
                <w:b/>
                <w:bCs/>
                <w:sz w:val="18"/>
                <w:szCs w:val="18"/>
              </w:rPr>
              <w:t xml:space="preserve"> (%)</w:t>
            </w:r>
          </w:p>
        </w:tc>
      </w:tr>
      <w:tr w:rsidR="00455331" w:rsidRPr="006D21E8" w:rsidTr="00455331">
        <w:trPr>
          <w:trHeight w:val="165"/>
        </w:trPr>
        <w:tc>
          <w:tcPr>
            <w:tcW w:w="5000" w:type="pct"/>
            <w:gridSpan w:val="3"/>
            <w:hideMark/>
          </w:tcPr>
          <w:p w:rsidR="00455331" w:rsidRPr="006D21E8" w:rsidRDefault="00455331" w:rsidP="00455331">
            <w:pPr>
              <w:jc w:val="center"/>
              <w:rPr>
                <w:sz w:val="18"/>
                <w:szCs w:val="18"/>
              </w:rPr>
            </w:pPr>
            <w:r w:rsidRPr="006D21E8">
              <w:rPr>
                <w:b/>
                <w:bCs/>
                <w:sz w:val="18"/>
                <w:szCs w:val="18"/>
              </w:rPr>
              <w:t>Voie d’accouchement</w:t>
            </w:r>
          </w:p>
        </w:tc>
      </w:tr>
      <w:tr w:rsidR="00002A4A" w:rsidRPr="006D21E8" w:rsidTr="00455331">
        <w:trPr>
          <w:trHeight w:val="165"/>
        </w:trPr>
        <w:tc>
          <w:tcPr>
            <w:tcW w:w="2582" w:type="pct"/>
            <w:hideMark/>
          </w:tcPr>
          <w:p w:rsidR="0056536B" w:rsidRPr="006D21E8" w:rsidRDefault="0056536B" w:rsidP="00AB47FF">
            <w:pPr>
              <w:jc w:val="both"/>
              <w:rPr>
                <w:sz w:val="18"/>
                <w:szCs w:val="18"/>
              </w:rPr>
            </w:pPr>
            <w:r w:rsidRPr="006D21E8">
              <w:rPr>
                <w:sz w:val="18"/>
                <w:szCs w:val="18"/>
              </w:rPr>
              <w:t>Césarienne</w:t>
            </w:r>
          </w:p>
        </w:tc>
        <w:tc>
          <w:tcPr>
            <w:tcW w:w="888" w:type="pct"/>
            <w:hideMark/>
          </w:tcPr>
          <w:p w:rsidR="0056536B" w:rsidRPr="006D21E8" w:rsidRDefault="0056536B" w:rsidP="00AB47FF">
            <w:pPr>
              <w:jc w:val="both"/>
              <w:rPr>
                <w:sz w:val="18"/>
                <w:szCs w:val="18"/>
              </w:rPr>
            </w:pPr>
            <w:r w:rsidRPr="006D21E8">
              <w:rPr>
                <w:sz w:val="18"/>
                <w:szCs w:val="18"/>
              </w:rPr>
              <w:t>96</w:t>
            </w:r>
          </w:p>
        </w:tc>
        <w:tc>
          <w:tcPr>
            <w:tcW w:w="1530" w:type="pct"/>
            <w:hideMark/>
          </w:tcPr>
          <w:p w:rsidR="0056536B" w:rsidRPr="006D21E8" w:rsidRDefault="0056536B" w:rsidP="00AB47FF">
            <w:pPr>
              <w:jc w:val="both"/>
              <w:rPr>
                <w:sz w:val="18"/>
                <w:szCs w:val="18"/>
              </w:rPr>
            </w:pPr>
            <w:r w:rsidRPr="006D21E8">
              <w:rPr>
                <w:sz w:val="18"/>
                <w:szCs w:val="18"/>
              </w:rPr>
              <w:t>54,5</w:t>
            </w:r>
          </w:p>
        </w:tc>
      </w:tr>
      <w:tr w:rsidR="00002A4A" w:rsidRPr="006D21E8" w:rsidTr="00455331">
        <w:trPr>
          <w:trHeight w:val="165"/>
        </w:trPr>
        <w:tc>
          <w:tcPr>
            <w:tcW w:w="2582" w:type="pct"/>
            <w:hideMark/>
          </w:tcPr>
          <w:p w:rsidR="0056536B" w:rsidRPr="006D21E8" w:rsidRDefault="0056536B" w:rsidP="00AB47FF">
            <w:pPr>
              <w:jc w:val="both"/>
              <w:rPr>
                <w:sz w:val="18"/>
                <w:szCs w:val="18"/>
              </w:rPr>
            </w:pPr>
            <w:r w:rsidRPr="006D21E8">
              <w:rPr>
                <w:sz w:val="18"/>
                <w:szCs w:val="18"/>
              </w:rPr>
              <w:t>Voie basse</w:t>
            </w:r>
          </w:p>
        </w:tc>
        <w:tc>
          <w:tcPr>
            <w:tcW w:w="888" w:type="pct"/>
            <w:hideMark/>
          </w:tcPr>
          <w:p w:rsidR="0056536B" w:rsidRPr="006D21E8" w:rsidRDefault="0056536B" w:rsidP="00AB47FF">
            <w:pPr>
              <w:jc w:val="both"/>
              <w:rPr>
                <w:sz w:val="18"/>
                <w:szCs w:val="18"/>
              </w:rPr>
            </w:pPr>
            <w:r w:rsidRPr="006D21E8">
              <w:rPr>
                <w:sz w:val="18"/>
                <w:szCs w:val="18"/>
              </w:rPr>
              <w:t>80</w:t>
            </w:r>
          </w:p>
        </w:tc>
        <w:tc>
          <w:tcPr>
            <w:tcW w:w="1530" w:type="pct"/>
            <w:hideMark/>
          </w:tcPr>
          <w:p w:rsidR="0056536B" w:rsidRPr="006D21E8" w:rsidRDefault="0056536B" w:rsidP="00AB47FF">
            <w:pPr>
              <w:jc w:val="both"/>
              <w:rPr>
                <w:sz w:val="18"/>
                <w:szCs w:val="18"/>
              </w:rPr>
            </w:pPr>
            <w:r w:rsidRPr="006D21E8">
              <w:rPr>
                <w:sz w:val="18"/>
                <w:szCs w:val="18"/>
              </w:rPr>
              <w:t>45,5</w:t>
            </w:r>
          </w:p>
        </w:tc>
      </w:tr>
      <w:tr w:rsidR="00455331" w:rsidRPr="006D21E8" w:rsidTr="00455331">
        <w:trPr>
          <w:trHeight w:val="165"/>
        </w:trPr>
        <w:tc>
          <w:tcPr>
            <w:tcW w:w="5000" w:type="pct"/>
            <w:gridSpan w:val="3"/>
            <w:hideMark/>
          </w:tcPr>
          <w:p w:rsidR="00455331" w:rsidRPr="006D21E8" w:rsidRDefault="00455331" w:rsidP="00455331">
            <w:pPr>
              <w:jc w:val="center"/>
              <w:rPr>
                <w:sz w:val="18"/>
                <w:szCs w:val="18"/>
              </w:rPr>
            </w:pPr>
            <w:r w:rsidRPr="006D21E8">
              <w:rPr>
                <w:b/>
                <w:bCs/>
                <w:sz w:val="18"/>
                <w:szCs w:val="18"/>
              </w:rPr>
              <w:t>Délai entre la survenue de la crise et l'accouchement</w:t>
            </w:r>
          </w:p>
        </w:tc>
      </w:tr>
      <w:tr w:rsidR="00002A4A" w:rsidRPr="006D21E8" w:rsidTr="00565344">
        <w:trPr>
          <w:trHeight w:val="165"/>
        </w:trPr>
        <w:tc>
          <w:tcPr>
            <w:tcW w:w="2582" w:type="pct"/>
            <w:hideMark/>
          </w:tcPr>
          <w:p w:rsidR="0056536B" w:rsidRPr="006D21E8" w:rsidRDefault="0056536B" w:rsidP="00AB47FF">
            <w:pPr>
              <w:jc w:val="both"/>
              <w:rPr>
                <w:sz w:val="18"/>
                <w:szCs w:val="18"/>
              </w:rPr>
            </w:pPr>
            <w:r w:rsidRPr="006D21E8">
              <w:rPr>
                <w:sz w:val="18"/>
                <w:szCs w:val="18"/>
              </w:rPr>
              <w:t>&gt; 5 heures</w:t>
            </w:r>
          </w:p>
        </w:tc>
        <w:tc>
          <w:tcPr>
            <w:tcW w:w="888" w:type="pct"/>
            <w:hideMark/>
          </w:tcPr>
          <w:p w:rsidR="0056536B" w:rsidRPr="006D21E8" w:rsidRDefault="0056536B" w:rsidP="00AB47FF">
            <w:pPr>
              <w:jc w:val="both"/>
              <w:rPr>
                <w:sz w:val="18"/>
                <w:szCs w:val="18"/>
              </w:rPr>
            </w:pPr>
            <w:r w:rsidRPr="006D21E8">
              <w:rPr>
                <w:sz w:val="18"/>
                <w:szCs w:val="18"/>
              </w:rPr>
              <w:t>82</w:t>
            </w:r>
          </w:p>
        </w:tc>
        <w:tc>
          <w:tcPr>
            <w:tcW w:w="1530" w:type="pct"/>
            <w:hideMark/>
          </w:tcPr>
          <w:p w:rsidR="0056536B" w:rsidRPr="006D21E8" w:rsidRDefault="0056536B" w:rsidP="00AB47FF">
            <w:pPr>
              <w:jc w:val="both"/>
              <w:rPr>
                <w:sz w:val="18"/>
                <w:szCs w:val="18"/>
              </w:rPr>
            </w:pPr>
            <w:r w:rsidRPr="006D21E8">
              <w:rPr>
                <w:sz w:val="18"/>
                <w:szCs w:val="18"/>
              </w:rPr>
              <w:t>63,1</w:t>
            </w:r>
          </w:p>
        </w:tc>
      </w:tr>
      <w:tr w:rsidR="00002A4A" w:rsidRPr="006D21E8" w:rsidTr="00565344">
        <w:trPr>
          <w:trHeight w:val="165"/>
        </w:trPr>
        <w:tc>
          <w:tcPr>
            <w:tcW w:w="2582" w:type="pct"/>
            <w:hideMark/>
          </w:tcPr>
          <w:p w:rsidR="0056536B" w:rsidRPr="006D21E8" w:rsidRDefault="0056536B" w:rsidP="00AB47FF">
            <w:pPr>
              <w:jc w:val="both"/>
              <w:rPr>
                <w:sz w:val="18"/>
                <w:szCs w:val="18"/>
              </w:rPr>
            </w:pPr>
            <w:r w:rsidRPr="006D21E8">
              <w:rPr>
                <w:sz w:val="18"/>
                <w:szCs w:val="18"/>
              </w:rPr>
              <w:t>3 – 5 heures</w:t>
            </w:r>
          </w:p>
        </w:tc>
        <w:tc>
          <w:tcPr>
            <w:tcW w:w="888" w:type="pct"/>
            <w:hideMark/>
          </w:tcPr>
          <w:p w:rsidR="0056536B" w:rsidRPr="006D21E8" w:rsidRDefault="0056536B" w:rsidP="00AB47FF">
            <w:pPr>
              <w:jc w:val="both"/>
              <w:rPr>
                <w:sz w:val="18"/>
                <w:szCs w:val="18"/>
              </w:rPr>
            </w:pPr>
            <w:r w:rsidRPr="006D21E8">
              <w:rPr>
                <w:sz w:val="18"/>
                <w:szCs w:val="18"/>
              </w:rPr>
              <w:t>38</w:t>
            </w:r>
          </w:p>
        </w:tc>
        <w:tc>
          <w:tcPr>
            <w:tcW w:w="1530" w:type="pct"/>
            <w:hideMark/>
          </w:tcPr>
          <w:p w:rsidR="0056536B" w:rsidRPr="006D21E8" w:rsidRDefault="0056536B" w:rsidP="00AB47FF">
            <w:pPr>
              <w:jc w:val="both"/>
              <w:rPr>
                <w:sz w:val="18"/>
                <w:szCs w:val="18"/>
              </w:rPr>
            </w:pPr>
            <w:r w:rsidRPr="006D21E8">
              <w:rPr>
                <w:sz w:val="18"/>
                <w:szCs w:val="18"/>
              </w:rPr>
              <w:t>29,2</w:t>
            </w:r>
          </w:p>
        </w:tc>
      </w:tr>
      <w:tr w:rsidR="00002A4A" w:rsidRPr="006D21E8" w:rsidTr="00565344">
        <w:trPr>
          <w:trHeight w:val="165"/>
        </w:trPr>
        <w:tc>
          <w:tcPr>
            <w:tcW w:w="2582" w:type="pct"/>
            <w:hideMark/>
          </w:tcPr>
          <w:p w:rsidR="0056536B" w:rsidRPr="006D21E8" w:rsidRDefault="0056536B" w:rsidP="00AB47FF">
            <w:pPr>
              <w:jc w:val="both"/>
              <w:rPr>
                <w:sz w:val="18"/>
                <w:szCs w:val="18"/>
              </w:rPr>
            </w:pPr>
            <w:r w:rsidRPr="006D21E8">
              <w:rPr>
                <w:sz w:val="18"/>
                <w:szCs w:val="18"/>
              </w:rPr>
              <w:t>1 - 2 heures</w:t>
            </w:r>
          </w:p>
        </w:tc>
        <w:tc>
          <w:tcPr>
            <w:tcW w:w="888" w:type="pct"/>
            <w:hideMark/>
          </w:tcPr>
          <w:p w:rsidR="0056536B" w:rsidRPr="006D21E8" w:rsidRDefault="0056536B" w:rsidP="00AB47FF">
            <w:pPr>
              <w:jc w:val="both"/>
              <w:rPr>
                <w:sz w:val="18"/>
                <w:szCs w:val="18"/>
              </w:rPr>
            </w:pPr>
            <w:r w:rsidRPr="006D21E8">
              <w:rPr>
                <w:sz w:val="18"/>
                <w:szCs w:val="18"/>
              </w:rPr>
              <w:t>8</w:t>
            </w:r>
          </w:p>
        </w:tc>
        <w:tc>
          <w:tcPr>
            <w:tcW w:w="1530" w:type="pct"/>
            <w:hideMark/>
          </w:tcPr>
          <w:p w:rsidR="0056536B" w:rsidRPr="006D21E8" w:rsidRDefault="0056536B" w:rsidP="00AB47FF">
            <w:pPr>
              <w:jc w:val="both"/>
              <w:rPr>
                <w:sz w:val="18"/>
                <w:szCs w:val="18"/>
              </w:rPr>
            </w:pPr>
            <w:r w:rsidRPr="006D21E8">
              <w:rPr>
                <w:sz w:val="18"/>
                <w:szCs w:val="18"/>
              </w:rPr>
              <w:t>6,2</w:t>
            </w:r>
          </w:p>
        </w:tc>
      </w:tr>
      <w:tr w:rsidR="00002A4A" w:rsidRPr="006D21E8" w:rsidTr="00565344">
        <w:trPr>
          <w:trHeight w:val="257"/>
        </w:trPr>
        <w:tc>
          <w:tcPr>
            <w:tcW w:w="2582" w:type="pct"/>
            <w:hideMark/>
          </w:tcPr>
          <w:p w:rsidR="0056536B" w:rsidRPr="006D21E8" w:rsidRDefault="0056536B" w:rsidP="00AB47FF">
            <w:pPr>
              <w:jc w:val="both"/>
              <w:rPr>
                <w:sz w:val="18"/>
                <w:szCs w:val="18"/>
              </w:rPr>
            </w:pPr>
            <w:r w:rsidRPr="006D21E8">
              <w:rPr>
                <w:sz w:val="18"/>
                <w:szCs w:val="18"/>
              </w:rPr>
              <w:t>&lt; 1 heures</w:t>
            </w:r>
          </w:p>
        </w:tc>
        <w:tc>
          <w:tcPr>
            <w:tcW w:w="888" w:type="pct"/>
            <w:hideMark/>
          </w:tcPr>
          <w:p w:rsidR="0056536B" w:rsidRPr="006D21E8" w:rsidRDefault="0056536B" w:rsidP="00AB47FF">
            <w:pPr>
              <w:jc w:val="both"/>
              <w:rPr>
                <w:sz w:val="18"/>
                <w:szCs w:val="18"/>
              </w:rPr>
            </w:pPr>
            <w:r w:rsidRPr="006D21E8">
              <w:rPr>
                <w:sz w:val="18"/>
                <w:szCs w:val="18"/>
              </w:rPr>
              <w:t>2</w:t>
            </w:r>
          </w:p>
        </w:tc>
        <w:tc>
          <w:tcPr>
            <w:tcW w:w="1530" w:type="pct"/>
            <w:hideMark/>
          </w:tcPr>
          <w:p w:rsidR="0056536B" w:rsidRPr="006D21E8" w:rsidRDefault="0056536B" w:rsidP="00AB47FF">
            <w:pPr>
              <w:jc w:val="both"/>
              <w:rPr>
                <w:sz w:val="18"/>
                <w:szCs w:val="18"/>
              </w:rPr>
            </w:pPr>
            <w:r w:rsidRPr="006D21E8">
              <w:rPr>
                <w:sz w:val="18"/>
                <w:szCs w:val="18"/>
              </w:rPr>
              <w:t>1,5</w:t>
            </w:r>
          </w:p>
        </w:tc>
      </w:tr>
    </w:tbl>
    <w:p w:rsidR="00B351DD" w:rsidRDefault="00B351DD" w:rsidP="00AB47FF">
      <w:pPr>
        <w:autoSpaceDE w:val="0"/>
        <w:autoSpaceDN w:val="0"/>
        <w:adjustRightInd w:val="0"/>
        <w:jc w:val="both"/>
        <w:rPr>
          <w:b/>
          <w:bCs/>
          <w:sz w:val="20"/>
          <w:szCs w:val="20"/>
        </w:rPr>
      </w:pPr>
    </w:p>
    <w:p w:rsidR="00565344" w:rsidRDefault="00565344" w:rsidP="00AB47FF">
      <w:pPr>
        <w:autoSpaceDE w:val="0"/>
        <w:autoSpaceDN w:val="0"/>
        <w:adjustRightInd w:val="0"/>
        <w:jc w:val="both"/>
        <w:rPr>
          <w:b/>
          <w:bCs/>
          <w:sz w:val="20"/>
          <w:szCs w:val="20"/>
        </w:rPr>
      </w:pPr>
    </w:p>
    <w:p w:rsidR="00565344" w:rsidRDefault="00565344" w:rsidP="00AB47FF">
      <w:pPr>
        <w:autoSpaceDE w:val="0"/>
        <w:autoSpaceDN w:val="0"/>
        <w:adjustRightInd w:val="0"/>
        <w:jc w:val="both"/>
        <w:rPr>
          <w:b/>
          <w:bCs/>
          <w:sz w:val="20"/>
          <w:szCs w:val="20"/>
        </w:rPr>
      </w:pPr>
    </w:p>
    <w:tbl>
      <w:tblPr>
        <w:tblStyle w:val="Grilledutableau"/>
        <w:tblW w:w="5000" w:type="pct"/>
        <w:tblLook w:val="0020"/>
      </w:tblPr>
      <w:tblGrid>
        <w:gridCol w:w="2490"/>
        <w:gridCol w:w="856"/>
        <w:gridCol w:w="1476"/>
      </w:tblGrid>
      <w:tr w:rsidR="00565344" w:rsidRPr="006D21E8" w:rsidTr="00656848">
        <w:trPr>
          <w:trHeight w:val="165"/>
        </w:trPr>
        <w:tc>
          <w:tcPr>
            <w:tcW w:w="1" w:type="pct"/>
            <w:gridSpan w:val="3"/>
            <w:hideMark/>
          </w:tcPr>
          <w:p w:rsidR="00565344" w:rsidRPr="006D21E8" w:rsidRDefault="00565344" w:rsidP="00656848">
            <w:pPr>
              <w:jc w:val="center"/>
              <w:rPr>
                <w:b/>
                <w:bCs/>
                <w:sz w:val="18"/>
                <w:szCs w:val="18"/>
              </w:rPr>
            </w:pPr>
            <w:r w:rsidRPr="006D21E8">
              <w:rPr>
                <w:b/>
                <w:bCs/>
                <w:sz w:val="18"/>
                <w:szCs w:val="18"/>
              </w:rPr>
              <w:lastRenderedPageBreak/>
              <w:t xml:space="preserve">Tableau </w:t>
            </w:r>
            <w:r>
              <w:rPr>
                <w:b/>
                <w:bCs/>
                <w:sz w:val="18"/>
                <w:szCs w:val="18"/>
              </w:rPr>
              <w:t>3 (suite)</w:t>
            </w:r>
            <w:r w:rsidRPr="006D21E8">
              <w:rPr>
                <w:b/>
                <w:bCs/>
                <w:sz w:val="18"/>
                <w:szCs w:val="18"/>
              </w:rPr>
              <w:t xml:space="preserve">: </w:t>
            </w:r>
            <w:r w:rsidRPr="006D21E8">
              <w:rPr>
                <w:sz w:val="18"/>
                <w:szCs w:val="18"/>
              </w:rPr>
              <w:t>Répartition des patientes en fonction de la voie d’accouchement, du traitement médical reçu, du transfert en réanimation et de la durée de séjour hospitalier à l’hôpital de deuxième référence de Ségou au Mali de 2010 à 2012.</w:t>
            </w:r>
          </w:p>
        </w:tc>
      </w:tr>
      <w:tr w:rsidR="00565344" w:rsidRPr="006D21E8" w:rsidTr="00656848">
        <w:trPr>
          <w:trHeight w:val="165"/>
        </w:trPr>
        <w:tc>
          <w:tcPr>
            <w:tcW w:w="1" w:type="pct"/>
            <w:gridSpan w:val="3"/>
            <w:hideMark/>
          </w:tcPr>
          <w:p w:rsidR="00565344" w:rsidRPr="006D21E8" w:rsidRDefault="00565344" w:rsidP="00656848">
            <w:pPr>
              <w:jc w:val="center"/>
              <w:rPr>
                <w:sz w:val="18"/>
                <w:szCs w:val="18"/>
              </w:rPr>
            </w:pPr>
            <w:r w:rsidRPr="006D21E8">
              <w:rPr>
                <w:b/>
                <w:bCs/>
                <w:sz w:val="18"/>
                <w:szCs w:val="18"/>
              </w:rPr>
              <w:t>Traitement reçu avant l'admission</w:t>
            </w:r>
          </w:p>
        </w:tc>
      </w:tr>
      <w:tr w:rsidR="00565344" w:rsidRPr="006D21E8" w:rsidTr="00656848">
        <w:trPr>
          <w:trHeight w:val="165"/>
        </w:trPr>
        <w:tc>
          <w:tcPr>
            <w:tcW w:w="2582" w:type="pct"/>
            <w:hideMark/>
          </w:tcPr>
          <w:p w:rsidR="00565344" w:rsidRPr="006D21E8" w:rsidRDefault="00565344" w:rsidP="00656848">
            <w:pPr>
              <w:jc w:val="both"/>
              <w:rPr>
                <w:sz w:val="18"/>
                <w:szCs w:val="18"/>
              </w:rPr>
            </w:pPr>
            <w:r w:rsidRPr="006D21E8">
              <w:rPr>
                <w:sz w:val="18"/>
                <w:szCs w:val="18"/>
              </w:rPr>
              <w:t>Aucun traitement</w:t>
            </w:r>
          </w:p>
        </w:tc>
        <w:tc>
          <w:tcPr>
            <w:tcW w:w="888" w:type="pct"/>
            <w:hideMark/>
          </w:tcPr>
          <w:p w:rsidR="00565344" w:rsidRPr="006D21E8" w:rsidRDefault="00565344" w:rsidP="00656848">
            <w:pPr>
              <w:jc w:val="both"/>
              <w:rPr>
                <w:sz w:val="18"/>
                <w:szCs w:val="18"/>
              </w:rPr>
            </w:pPr>
            <w:r w:rsidRPr="006D21E8">
              <w:rPr>
                <w:sz w:val="18"/>
                <w:szCs w:val="18"/>
              </w:rPr>
              <w:t>92</w:t>
            </w:r>
          </w:p>
        </w:tc>
        <w:tc>
          <w:tcPr>
            <w:tcW w:w="1530" w:type="pct"/>
            <w:hideMark/>
          </w:tcPr>
          <w:p w:rsidR="00565344" w:rsidRPr="006D21E8" w:rsidRDefault="00565344" w:rsidP="00656848">
            <w:pPr>
              <w:jc w:val="both"/>
              <w:rPr>
                <w:sz w:val="18"/>
                <w:szCs w:val="18"/>
              </w:rPr>
            </w:pPr>
            <w:r w:rsidRPr="006D21E8">
              <w:rPr>
                <w:sz w:val="18"/>
                <w:szCs w:val="18"/>
              </w:rPr>
              <w:t>52,3</w:t>
            </w:r>
          </w:p>
        </w:tc>
      </w:tr>
      <w:tr w:rsidR="00565344" w:rsidRPr="006D21E8" w:rsidTr="00656848">
        <w:trPr>
          <w:trHeight w:val="165"/>
        </w:trPr>
        <w:tc>
          <w:tcPr>
            <w:tcW w:w="2582" w:type="pct"/>
            <w:hideMark/>
          </w:tcPr>
          <w:p w:rsidR="00565344" w:rsidRPr="006D21E8" w:rsidRDefault="00565344" w:rsidP="00656848">
            <w:pPr>
              <w:jc w:val="both"/>
              <w:rPr>
                <w:sz w:val="18"/>
                <w:szCs w:val="18"/>
              </w:rPr>
            </w:pPr>
            <w:r w:rsidRPr="006D21E8">
              <w:rPr>
                <w:sz w:val="18"/>
                <w:szCs w:val="18"/>
              </w:rPr>
              <w:t>Antihypertenseur et anticonvulsivant</w:t>
            </w:r>
          </w:p>
        </w:tc>
        <w:tc>
          <w:tcPr>
            <w:tcW w:w="888" w:type="pct"/>
            <w:hideMark/>
          </w:tcPr>
          <w:p w:rsidR="00565344" w:rsidRPr="006D21E8" w:rsidRDefault="00565344" w:rsidP="00656848">
            <w:pPr>
              <w:jc w:val="both"/>
              <w:rPr>
                <w:sz w:val="18"/>
                <w:szCs w:val="18"/>
              </w:rPr>
            </w:pPr>
            <w:r w:rsidRPr="006D21E8">
              <w:rPr>
                <w:sz w:val="18"/>
                <w:szCs w:val="18"/>
              </w:rPr>
              <w:t>37</w:t>
            </w:r>
          </w:p>
        </w:tc>
        <w:tc>
          <w:tcPr>
            <w:tcW w:w="1530" w:type="pct"/>
            <w:hideMark/>
          </w:tcPr>
          <w:p w:rsidR="00565344" w:rsidRPr="006D21E8" w:rsidRDefault="00565344" w:rsidP="00656848">
            <w:pPr>
              <w:jc w:val="both"/>
              <w:rPr>
                <w:sz w:val="18"/>
                <w:szCs w:val="18"/>
              </w:rPr>
            </w:pPr>
            <w:r w:rsidRPr="006D21E8">
              <w:rPr>
                <w:sz w:val="18"/>
                <w:szCs w:val="18"/>
              </w:rPr>
              <w:t>21,0</w:t>
            </w:r>
          </w:p>
        </w:tc>
      </w:tr>
      <w:tr w:rsidR="00565344" w:rsidRPr="006D21E8" w:rsidTr="00656848">
        <w:trPr>
          <w:trHeight w:val="165"/>
        </w:trPr>
        <w:tc>
          <w:tcPr>
            <w:tcW w:w="2582" w:type="pct"/>
            <w:hideMark/>
          </w:tcPr>
          <w:p w:rsidR="00565344" w:rsidRPr="006D21E8" w:rsidRDefault="00565344" w:rsidP="00656848">
            <w:pPr>
              <w:jc w:val="both"/>
              <w:rPr>
                <w:sz w:val="18"/>
                <w:szCs w:val="18"/>
              </w:rPr>
            </w:pPr>
            <w:r w:rsidRPr="006D21E8">
              <w:rPr>
                <w:sz w:val="18"/>
                <w:szCs w:val="18"/>
              </w:rPr>
              <w:t>Anticonvulsivant</w:t>
            </w:r>
          </w:p>
        </w:tc>
        <w:tc>
          <w:tcPr>
            <w:tcW w:w="888" w:type="pct"/>
            <w:hideMark/>
          </w:tcPr>
          <w:p w:rsidR="00565344" w:rsidRPr="006D21E8" w:rsidRDefault="00565344" w:rsidP="00656848">
            <w:pPr>
              <w:jc w:val="both"/>
              <w:rPr>
                <w:sz w:val="18"/>
                <w:szCs w:val="18"/>
              </w:rPr>
            </w:pPr>
            <w:r w:rsidRPr="006D21E8">
              <w:rPr>
                <w:sz w:val="18"/>
                <w:szCs w:val="18"/>
              </w:rPr>
              <w:t>28</w:t>
            </w:r>
          </w:p>
        </w:tc>
        <w:tc>
          <w:tcPr>
            <w:tcW w:w="1530" w:type="pct"/>
            <w:hideMark/>
          </w:tcPr>
          <w:p w:rsidR="00565344" w:rsidRPr="006D21E8" w:rsidRDefault="00565344" w:rsidP="00656848">
            <w:pPr>
              <w:jc w:val="both"/>
              <w:rPr>
                <w:sz w:val="18"/>
                <w:szCs w:val="18"/>
              </w:rPr>
            </w:pPr>
            <w:r w:rsidRPr="006D21E8">
              <w:rPr>
                <w:sz w:val="18"/>
                <w:szCs w:val="18"/>
              </w:rPr>
              <w:t>15,9</w:t>
            </w:r>
          </w:p>
        </w:tc>
      </w:tr>
      <w:tr w:rsidR="00565344" w:rsidRPr="006D21E8" w:rsidTr="00656848">
        <w:trPr>
          <w:trHeight w:val="94"/>
        </w:trPr>
        <w:tc>
          <w:tcPr>
            <w:tcW w:w="2582" w:type="pct"/>
            <w:hideMark/>
          </w:tcPr>
          <w:p w:rsidR="00565344" w:rsidRPr="006D21E8" w:rsidRDefault="00565344" w:rsidP="00656848">
            <w:pPr>
              <w:jc w:val="both"/>
              <w:rPr>
                <w:sz w:val="18"/>
                <w:szCs w:val="18"/>
              </w:rPr>
            </w:pPr>
            <w:r w:rsidRPr="006D21E8">
              <w:rPr>
                <w:sz w:val="18"/>
                <w:szCs w:val="18"/>
              </w:rPr>
              <w:t>Antihypertenseur</w:t>
            </w:r>
          </w:p>
        </w:tc>
        <w:tc>
          <w:tcPr>
            <w:tcW w:w="888" w:type="pct"/>
            <w:hideMark/>
          </w:tcPr>
          <w:p w:rsidR="00565344" w:rsidRPr="006D21E8" w:rsidRDefault="00565344" w:rsidP="00656848">
            <w:pPr>
              <w:jc w:val="both"/>
              <w:rPr>
                <w:sz w:val="18"/>
                <w:szCs w:val="18"/>
              </w:rPr>
            </w:pPr>
            <w:r w:rsidRPr="006D21E8">
              <w:rPr>
                <w:sz w:val="18"/>
                <w:szCs w:val="18"/>
              </w:rPr>
              <w:t>19</w:t>
            </w:r>
          </w:p>
        </w:tc>
        <w:tc>
          <w:tcPr>
            <w:tcW w:w="1530" w:type="pct"/>
            <w:hideMark/>
          </w:tcPr>
          <w:p w:rsidR="00565344" w:rsidRPr="006D21E8" w:rsidRDefault="00565344" w:rsidP="00656848">
            <w:pPr>
              <w:jc w:val="both"/>
              <w:rPr>
                <w:sz w:val="18"/>
                <w:szCs w:val="18"/>
              </w:rPr>
            </w:pPr>
            <w:r w:rsidRPr="006D21E8">
              <w:rPr>
                <w:sz w:val="18"/>
                <w:szCs w:val="18"/>
              </w:rPr>
              <w:t>10,8</w:t>
            </w:r>
          </w:p>
        </w:tc>
      </w:tr>
      <w:tr w:rsidR="00565344" w:rsidRPr="006D21E8" w:rsidTr="00656848">
        <w:trPr>
          <w:trHeight w:val="98"/>
        </w:trPr>
        <w:tc>
          <w:tcPr>
            <w:tcW w:w="1" w:type="pct"/>
            <w:gridSpan w:val="3"/>
            <w:hideMark/>
          </w:tcPr>
          <w:p w:rsidR="00565344" w:rsidRPr="006D21E8" w:rsidRDefault="00565344" w:rsidP="00656848">
            <w:pPr>
              <w:jc w:val="center"/>
              <w:rPr>
                <w:sz w:val="18"/>
                <w:szCs w:val="18"/>
              </w:rPr>
            </w:pPr>
            <w:r w:rsidRPr="006D21E8">
              <w:rPr>
                <w:b/>
                <w:bCs/>
                <w:sz w:val="18"/>
                <w:szCs w:val="18"/>
              </w:rPr>
              <w:t>Anti-hypertenseurs</w:t>
            </w:r>
          </w:p>
        </w:tc>
      </w:tr>
      <w:tr w:rsidR="00565344" w:rsidRPr="006D21E8" w:rsidTr="00656848">
        <w:trPr>
          <w:trHeight w:val="170"/>
        </w:trPr>
        <w:tc>
          <w:tcPr>
            <w:tcW w:w="2582" w:type="pct"/>
            <w:hideMark/>
          </w:tcPr>
          <w:p w:rsidR="00565344" w:rsidRPr="006D21E8" w:rsidRDefault="00565344" w:rsidP="00656848">
            <w:pPr>
              <w:jc w:val="both"/>
              <w:rPr>
                <w:sz w:val="18"/>
                <w:szCs w:val="18"/>
              </w:rPr>
            </w:pPr>
            <w:r w:rsidRPr="006D21E8">
              <w:rPr>
                <w:sz w:val="18"/>
                <w:szCs w:val="18"/>
              </w:rPr>
              <w:t>Nicardipine</w:t>
            </w:r>
          </w:p>
        </w:tc>
        <w:tc>
          <w:tcPr>
            <w:tcW w:w="888" w:type="pct"/>
            <w:hideMark/>
          </w:tcPr>
          <w:p w:rsidR="00565344" w:rsidRPr="006D21E8" w:rsidRDefault="00565344" w:rsidP="00656848">
            <w:pPr>
              <w:jc w:val="both"/>
              <w:rPr>
                <w:sz w:val="18"/>
                <w:szCs w:val="18"/>
              </w:rPr>
            </w:pPr>
            <w:r w:rsidRPr="006D21E8">
              <w:rPr>
                <w:sz w:val="18"/>
                <w:szCs w:val="18"/>
              </w:rPr>
              <w:t>156</w:t>
            </w:r>
          </w:p>
        </w:tc>
        <w:tc>
          <w:tcPr>
            <w:tcW w:w="1530" w:type="pct"/>
            <w:hideMark/>
          </w:tcPr>
          <w:p w:rsidR="00565344" w:rsidRPr="006D21E8" w:rsidRDefault="00565344" w:rsidP="00656848">
            <w:pPr>
              <w:jc w:val="both"/>
              <w:rPr>
                <w:sz w:val="18"/>
                <w:szCs w:val="18"/>
              </w:rPr>
            </w:pPr>
            <w:r w:rsidRPr="006D21E8">
              <w:rPr>
                <w:sz w:val="18"/>
                <w:szCs w:val="18"/>
              </w:rPr>
              <w:t>88,6</w:t>
            </w:r>
          </w:p>
        </w:tc>
      </w:tr>
      <w:tr w:rsidR="00565344" w:rsidRPr="006D21E8" w:rsidTr="00656848">
        <w:trPr>
          <w:trHeight w:val="170"/>
        </w:trPr>
        <w:tc>
          <w:tcPr>
            <w:tcW w:w="2582" w:type="pct"/>
            <w:hideMark/>
          </w:tcPr>
          <w:p w:rsidR="00565344" w:rsidRPr="006D21E8" w:rsidRDefault="00565344" w:rsidP="00656848">
            <w:pPr>
              <w:jc w:val="both"/>
              <w:rPr>
                <w:sz w:val="18"/>
                <w:szCs w:val="18"/>
              </w:rPr>
            </w:pPr>
            <w:r w:rsidRPr="006D21E8">
              <w:rPr>
                <w:sz w:val="18"/>
                <w:szCs w:val="18"/>
              </w:rPr>
              <w:t>Nifédipine</w:t>
            </w:r>
          </w:p>
        </w:tc>
        <w:tc>
          <w:tcPr>
            <w:tcW w:w="888" w:type="pct"/>
            <w:hideMark/>
          </w:tcPr>
          <w:p w:rsidR="00565344" w:rsidRPr="006D21E8" w:rsidRDefault="00565344" w:rsidP="00656848">
            <w:pPr>
              <w:jc w:val="both"/>
              <w:rPr>
                <w:sz w:val="18"/>
                <w:szCs w:val="18"/>
              </w:rPr>
            </w:pPr>
            <w:r w:rsidRPr="006D21E8">
              <w:rPr>
                <w:sz w:val="18"/>
                <w:szCs w:val="18"/>
              </w:rPr>
              <w:t>9</w:t>
            </w:r>
          </w:p>
        </w:tc>
        <w:tc>
          <w:tcPr>
            <w:tcW w:w="1530" w:type="pct"/>
            <w:hideMark/>
          </w:tcPr>
          <w:p w:rsidR="00565344" w:rsidRPr="006D21E8" w:rsidRDefault="00565344" w:rsidP="00656848">
            <w:pPr>
              <w:jc w:val="both"/>
              <w:rPr>
                <w:sz w:val="18"/>
                <w:szCs w:val="18"/>
              </w:rPr>
            </w:pPr>
            <w:r w:rsidRPr="006D21E8">
              <w:rPr>
                <w:sz w:val="18"/>
                <w:szCs w:val="18"/>
              </w:rPr>
              <w:t>5,1</w:t>
            </w:r>
          </w:p>
        </w:tc>
      </w:tr>
      <w:tr w:rsidR="00565344" w:rsidRPr="006D21E8" w:rsidTr="00656848">
        <w:trPr>
          <w:trHeight w:val="170"/>
        </w:trPr>
        <w:tc>
          <w:tcPr>
            <w:tcW w:w="2582" w:type="pct"/>
          </w:tcPr>
          <w:p w:rsidR="00565344" w:rsidRPr="006D21E8" w:rsidRDefault="00565344" w:rsidP="00656848">
            <w:pPr>
              <w:jc w:val="both"/>
              <w:rPr>
                <w:sz w:val="18"/>
                <w:szCs w:val="18"/>
              </w:rPr>
            </w:pPr>
            <w:r w:rsidRPr="006D21E8">
              <w:rPr>
                <w:sz w:val="18"/>
                <w:szCs w:val="18"/>
              </w:rPr>
              <w:t>Méthyl dopa</w:t>
            </w:r>
          </w:p>
        </w:tc>
        <w:tc>
          <w:tcPr>
            <w:tcW w:w="888" w:type="pct"/>
          </w:tcPr>
          <w:p w:rsidR="00565344" w:rsidRPr="006D21E8" w:rsidRDefault="00565344" w:rsidP="00656848">
            <w:pPr>
              <w:jc w:val="both"/>
              <w:rPr>
                <w:sz w:val="18"/>
                <w:szCs w:val="18"/>
              </w:rPr>
            </w:pPr>
            <w:r w:rsidRPr="006D21E8">
              <w:rPr>
                <w:sz w:val="18"/>
                <w:szCs w:val="18"/>
              </w:rPr>
              <w:t>7</w:t>
            </w:r>
          </w:p>
        </w:tc>
        <w:tc>
          <w:tcPr>
            <w:tcW w:w="1530" w:type="pct"/>
          </w:tcPr>
          <w:p w:rsidR="00565344" w:rsidRPr="006D21E8" w:rsidRDefault="00565344" w:rsidP="00656848">
            <w:pPr>
              <w:jc w:val="both"/>
              <w:rPr>
                <w:sz w:val="18"/>
                <w:szCs w:val="18"/>
              </w:rPr>
            </w:pPr>
            <w:r w:rsidRPr="006D21E8">
              <w:rPr>
                <w:sz w:val="18"/>
                <w:szCs w:val="18"/>
              </w:rPr>
              <w:t>4,0</w:t>
            </w:r>
          </w:p>
        </w:tc>
      </w:tr>
      <w:tr w:rsidR="00565344" w:rsidRPr="006D21E8" w:rsidTr="00656848">
        <w:trPr>
          <w:trHeight w:val="170"/>
        </w:trPr>
        <w:tc>
          <w:tcPr>
            <w:tcW w:w="2582" w:type="pct"/>
            <w:hideMark/>
          </w:tcPr>
          <w:p w:rsidR="00565344" w:rsidRPr="006D21E8" w:rsidRDefault="00565344" w:rsidP="00656848">
            <w:pPr>
              <w:jc w:val="both"/>
              <w:rPr>
                <w:sz w:val="18"/>
                <w:szCs w:val="18"/>
              </w:rPr>
            </w:pPr>
            <w:r w:rsidRPr="006D21E8">
              <w:rPr>
                <w:sz w:val="18"/>
                <w:szCs w:val="18"/>
              </w:rPr>
              <w:t>Furosémide</w:t>
            </w:r>
          </w:p>
        </w:tc>
        <w:tc>
          <w:tcPr>
            <w:tcW w:w="888" w:type="pct"/>
            <w:hideMark/>
          </w:tcPr>
          <w:p w:rsidR="00565344" w:rsidRPr="006D21E8" w:rsidRDefault="00565344" w:rsidP="00656848">
            <w:pPr>
              <w:jc w:val="both"/>
              <w:rPr>
                <w:sz w:val="18"/>
                <w:szCs w:val="18"/>
              </w:rPr>
            </w:pPr>
            <w:r w:rsidRPr="006D21E8">
              <w:rPr>
                <w:sz w:val="18"/>
                <w:szCs w:val="18"/>
              </w:rPr>
              <w:t>4</w:t>
            </w:r>
          </w:p>
        </w:tc>
        <w:tc>
          <w:tcPr>
            <w:tcW w:w="1530" w:type="pct"/>
            <w:hideMark/>
          </w:tcPr>
          <w:p w:rsidR="00565344" w:rsidRPr="006D21E8" w:rsidRDefault="00565344" w:rsidP="00656848">
            <w:pPr>
              <w:jc w:val="both"/>
              <w:rPr>
                <w:sz w:val="18"/>
                <w:szCs w:val="18"/>
              </w:rPr>
            </w:pPr>
            <w:r w:rsidRPr="006D21E8">
              <w:rPr>
                <w:sz w:val="18"/>
                <w:szCs w:val="18"/>
              </w:rPr>
              <w:t>2,3</w:t>
            </w:r>
          </w:p>
        </w:tc>
      </w:tr>
      <w:tr w:rsidR="00565344" w:rsidRPr="006D21E8" w:rsidTr="00656848">
        <w:trPr>
          <w:trHeight w:val="170"/>
        </w:trPr>
        <w:tc>
          <w:tcPr>
            <w:tcW w:w="1" w:type="pct"/>
            <w:gridSpan w:val="3"/>
            <w:hideMark/>
          </w:tcPr>
          <w:p w:rsidR="00565344" w:rsidRPr="006D21E8" w:rsidRDefault="00565344" w:rsidP="00656848">
            <w:pPr>
              <w:jc w:val="center"/>
              <w:rPr>
                <w:sz w:val="18"/>
                <w:szCs w:val="18"/>
              </w:rPr>
            </w:pPr>
            <w:r w:rsidRPr="006D21E8">
              <w:rPr>
                <w:b/>
                <w:bCs/>
                <w:sz w:val="18"/>
                <w:szCs w:val="18"/>
              </w:rPr>
              <w:t>Transfert en réanimation</w:t>
            </w:r>
          </w:p>
        </w:tc>
      </w:tr>
      <w:tr w:rsidR="00565344" w:rsidRPr="006D21E8" w:rsidTr="00656848">
        <w:trPr>
          <w:trHeight w:val="170"/>
        </w:trPr>
        <w:tc>
          <w:tcPr>
            <w:tcW w:w="2582" w:type="pct"/>
            <w:hideMark/>
          </w:tcPr>
          <w:p w:rsidR="00565344" w:rsidRPr="006D21E8" w:rsidRDefault="00565344" w:rsidP="00656848">
            <w:pPr>
              <w:jc w:val="both"/>
              <w:rPr>
                <w:sz w:val="18"/>
                <w:szCs w:val="18"/>
              </w:rPr>
            </w:pPr>
            <w:r w:rsidRPr="006D21E8">
              <w:rPr>
                <w:sz w:val="18"/>
                <w:szCs w:val="18"/>
              </w:rPr>
              <w:t>Non</w:t>
            </w:r>
          </w:p>
        </w:tc>
        <w:tc>
          <w:tcPr>
            <w:tcW w:w="888" w:type="pct"/>
            <w:hideMark/>
          </w:tcPr>
          <w:p w:rsidR="00565344" w:rsidRPr="006D21E8" w:rsidRDefault="00565344" w:rsidP="00656848">
            <w:pPr>
              <w:jc w:val="both"/>
              <w:rPr>
                <w:sz w:val="18"/>
                <w:szCs w:val="18"/>
              </w:rPr>
            </w:pPr>
            <w:r w:rsidRPr="006D21E8">
              <w:rPr>
                <w:sz w:val="18"/>
                <w:szCs w:val="18"/>
              </w:rPr>
              <w:t>99</w:t>
            </w:r>
          </w:p>
        </w:tc>
        <w:tc>
          <w:tcPr>
            <w:tcW w:w="1530" w:type="pct"/>
            <w:hideMark/>
          </w:tcPr>
          <w:p w:rsidR="00565344" w:rsidRPr="006D21E8" w:rsidRDefault="00565344" w:rsidP="00656848">
            <w:pPr>
              <w:jc w:val="both"/>
              <w:rPr>
                <w:sz w:val="18"/>
                <w:szCs w:val="18"/>
              </w:rPr>
            </w:pPr>
            <w:r w:rsidRPr="006D21E8">
              <w:rPr>
                <w:sz w:val="18"/>
                <w:szCs w:val="18"/>
              </w:rPr>
              <w:t>56,3</w:t>
            </w:r>
          </w:p>
        </w:tc>
      </w:tr>
      <w:tr w:rsidR="00565344" w:rsidRPr="006D21E8" w:rsidTr="00656848">
        <w:trPr>
          <w:trHeight w:val="170"/>
        </w:trPr>
        <w:tc>
          <w:tcPr>
            <w:tcW w:w="2582" w:type="pct"/>
            <w:hideMark/>
          </w:tcPr>
          <w:p w:rsidR="00565344" w:rsidRPr="006D21E8" w:rsidRDefault="00565344" w:rsidP="00656848">
            <w:pPr>
              <w:jc w:val="both"/>
              <w:rPr>
                <w:sz w:val="18"/>
                <w:szCs w:val="18"/>
              </w:rPr>
            </w:pPr>
            <w:r w:rsidRPr="006D21E8">
              <w:rPr>
                <w:sz w:val="18"/>
                <w:szCs w:val="18"/>
              </w:rPr>
              <w:t>Oui</w:t>
            </w:r>
          </w:p>
        </w:tc>
        <w:tc>
          <w:tcPr>
            <w:tcW w:w="888" w:type="pct"/>
            <w:hideMark/>
          </w:tcPr>
          <w:p w:rsidR="00565344" w:rsidRPr="006D21E8" w:rsidRDefault="00565344" w:rsidP="00656848">
            <w:pPr>
              <w:jc w:val="both"/>
              <w:rPr>
                <w:sz w:val="18"/>
                <w:szCs w:val="18"/>
              </w:rPr>
            </w:pPr>
            <w:r w:rsidRPr="006D21E8">
              <w:rPr>
                <w:sz w:val="18"/>
                <w:szCs w:val="18"/>
              </w:rPr>
              <w:t>77</w:t>
            </w:r>
          </w:p>
        </w:tc>
        <w:tc>
          <w:tcPr>
            <w:tcW w:w="1530" w:type="pct"/>
            <w:hideMark/>
          </w:tcPr>
          <w:p w:rsidR="00565344" w:rsidRPr="006D21E8" w:rsidRDefault="00565344" w:rsidP="00656848">
            <w:pPr>
              <w:jc w:val="both"/>
              <w:rPr>
                <w:sz w:val="18"/>
                <w:szCs w:val="18"/>
              </w:rPr>
            </w:pPr>
            <w:r w:rsidRPr="006D21E8">
              <w:rPr>
                <w:sz w:val="18"/>
                <w:szCs w:val="18"/>
              </w:rPr>
              <w:t>43,7</w:t>
            </w:r>
          </w:p>
        </w:tc>
      </w:tr>
      <w:tr w:rsidR="00565344" w:rsidRPr="006D21E8" w:rsidTr="00656848">
        <w:trPr>
          <w:trHeight w:val="170"/>
        </w:trPr>
        <w:tc>
          <w:tcPr>
            <w:tcW w:w="1" w:type="pct"/>
            <w:gridSpan w:val="3"/>
            <w:hideMark/>
          </w:tcPr>
          <w:p w:rsidR="00565344" w:rsidRPr="006D21E8" w:rsidRDefault="00565344" w:rsidP="00656848">
            <w:pPr>
              <w:jc w:val="center"/>
              <w:rPr>
                <w:sz w:val="18"/>
                <w:szCs w:val="18"/>
              </w:rPr>
            </w:pPr>
            <w:r w:rsidRPr="006D21E8">
              <w:rPr>
                <w:b/>
                <w:bCs/>
                <w:sz w:val="18"/>
                <w:szCs w:val="18"/>
              </w:rPr>
              <w:t>Durée de séjour en réanimation en jours</w:t>
            </w:r>
          </w:p>
        </w:tc>
      </w:tr>
      <w:tr w:rsidR="00565344" w:rsidRPr="006D21E8" w:rsidTr="00656848">
        <w:trPr>
          <w:trHeight w:val="170"/>
        </w:trPr>
        <w:tc>
          <w:tcPr>
            <w:tcW w:w="2582" w:type="pct"/>
            <w:hideMark/>
          </w:tcPr>
          <w:p w:rsidR="00565344" w:rsidRPr="006D21E8" w:rsidRDefault="00565344" w:rsidP="00656848">
            <w:pPr>
              <w:jc w:val="both"/>
              <w:rPr>
                <w:sz w:val="18"/>
                <w:szCs w:val="18"/>
              </w:rPr>
            </w:pPr>
            <w:r w:rsidRPr="006D21E8">
              <w:rPr>
                <w:sz w:val="18"/>
                <w:szCs w:val="18"/>
              </w:rPr>
              <w:t>1-3</w:t>
            </w:r>
          </w:p>
        </w:tc>
        <w:tc>
          <w:tcPr>
            <w:tcW w:w="888" w:type="pct"/>
            <w:hideMark/>
          </w:tcPr>
          <w:p w:rsidR="00565344" w:rsidRPr="006D21E8" w:rsidRDefault="00565344" w:rsidP="00656848">
            <w:pPr>
              <w:jc w:val="both"/>
              <w:rPr>
                <w:sz w:val="18"/>
                <w:szCs w:val="18"/>
              </w:rPr>
            </w:pPr>
            <w:r w:rsidRPr="006D21E8">
              <w:rPr>
                <w:sz w:val="18"/>
                <w:szCs w:val="18"/>
              </w:rPr>
              <w:t>64</w:t>
            </w:r>
          </w:p>
        </w:tc>
        <w:tc>
          <w:tcPr>
            <w:tcW w:w="1530" w:type="pct"/>
            <w:hideMark/>
          </w:tcPr>
          <w:p w:rsidR="00565344" w:rsidRPr="006D21E8" w:rsidRDefault="00565344" w:rsidP="00656848">
            <w:pPr>
              <w:jc w:val="both"/>
              <w:rPr>
                <w:sz w:val="18"/>
                <w:szCs w:val="18"/>
              </w:rPr>
            </w:pPr>
            <w:r w:rsidRPr="006D21E8">
              <w:rPr>
                <w:sz w:val="18"/>
                <w:szCs w:val="18"/>
              </w:rPr>
              <w:t>83,1</w:t>
            </w:r>
          </w:p>
        </w:tc>
      </w:tr>
      <w:tr w:rsidR="00565344" w:rsidRPr="006D21E8" w:rsidTr="00656848">
        <w:trPr>
          <w:trHeight w:val="170"/>
        </w:trPr>
        <w:tc>
          <w:tcPr>
            <w:tcW w:w="2582" w:type="pct"/>
            <w:hideMark/>
          </w:tcPr>
          <w:p w:rsidR="00565344" w:rsidRPr="006D21E8" w:rsidRDefault="00565344" w:rsidP="00656848">
            <w:pPr>
              <w:jc w:val="both"/>
              <w:rPr>
                <w:sz w:val="18"/>
                <w:szCs w:val="18"/>
              </w:rPr>
            </w:pPr>
            <w:r w:rsidRPr="006D21E8">
              <w:rPr>
                <w:sz w:val="18"/>
                <w:szCs w:val="18"/>
              </w:rPr>
              <w:t>4-7</w:t>
            </w:r>
          </w:p>
        </w:tc>
        <w:tc>
          <w:tcPr>
            <w:tcW w:w="888" w:type="pct"/>
            <w:hideMark/>
          </w:tcPr>
          <w:p w:rsidR="00565344" w:rsidRPr="006D21E8" w:rsidRDefault="00565344" w:rsidP="00656848">
            <w:pPr>
              <w:jc w:val="both"/>
              <w:rPr>
                <w:sz w:val="18"/>
                <w:szCs w:val="18"/>
              </w:rPr>
            </w:pPr>
            <w:r w:rsidRPr="006D21E8">
              <w:rPr>
                <w:sz w:val="18"/>
                <w:szCs w:val="18"/>
              </w:rPr>
              <w:t>11</w:t>
            </w:r>
          </w:p>
        </w:tc>
        <w:tc>
          <w:tcPr>
            <w:tcW w:w="1530" w:type="pct"/>
            <w:hideMark/>
          </w:tcPr>
          <w:p w:rsidR="00565344" w:rsidRPr="006D21E8" w:rsidRDefault="00565344" w:rsidP="00656848">
            <w:pPr>
              <w:jc w:val="both"/>
              <w:rPr>
                <w:sz w:val="18"/>
                <w:szCs w:val="18"/>
              </w:rPr>
            </w:pPr>
            <w:r w:rsidRPr="006D21E8">
              <w:rPr>
                <w:sz w:val="18"/>
                <w:szCs w:val="18"/>
              </w:rPr>
              <w:t>14,3</w:t>
            </w:r>
          </w:p>
        </w:tc>
      </w:tr>
      <w:tr w:rsidR="00565344" w:rsidRPr="006D21E8" w:rsidTr="00656848">
        <w:trPr>
          <w:trHeight w:val="170"/>
        </w:trPr>
        <w:tc>
          <w:tcPr>
            <w:tcW w:w="2582" w:type="pct"/>
            <w:hideMark/>
          </w:tcPr>
          <w:p w:rsidR="00565344" w:rsidRPr="006D21E8" w:rsidRDefault="00565344" w:rsidP="00656848">
            <w:pPr>
              <w:jc w:val="both"/>
              <w:rPr>
                <w:sz w:val="18"/>
                <w:szCs w:val="18"/>
              </w:rPr>
            </w:pPr>
            <w:r w:rsidRPr="006D21E8">
              <w:rPr>
                <w:sz w:val="18"/>
                <w:szCs w:val="18"/>
              </w:rPr>
              <w:t>≥ 8</w:t>
            </w:r>
          </w:p>
        </w:tc>
        <w:tc>
          <w:tcPr>
            <w:tcW w:w="888" w:type="pct"/>
            <w:hideMark/>
          </w:tcPr>
          <w:p w:rsidR="00565344" w:rsidRPr="006D21E8" w:rsidRDefault="00565344" w:rsidP="00656848">
            <w:pPr>
              <w:jc w:val="both"/>
              <w:rPr>
                <w:sz w:val="18"/>
                <w:szCs w:val="18"/>
              </w:rPr>
            </w:pPr>
            <w:r w:rsidRPr="006D21E8">
              <w:rPr>
                <w:sz w:val="18"/>
                <w:szCs w:val="18"/>
              </w:rPr>
              <w:t>2</w:t>
            </w:r>
          </w:p>
        </w:tc>
        <w:tc>
          <w:tcPr>
            <w:tcW w:w="1530" w:type="pct"/>
            <w:hideMark/>
          </w:tcPr>
          <w:p w:rsidR="00565344" w:rsidRPr="006D21E8" w:rsidRDefault="00565344" w:rsidP="00656848">
            <w:pPr>
              <w:jc w:val="both"/>
              <w:rPr>
                <w:sz w:val="18"/>
                <w:szCs w:val="18"/>
              </w:rPr>
            </w:pPr>
            <w:r w:rsidRPr="006D21E8">
              <w:rPr>
                <w:sz w:val="18"/>
                <w:szCs w:val="18"/>
              </w:rPr>
              <w:t>2,6</w:t>
            </w:r>
          </w:p>
        </w:tc>
      </w:tr>
      <w:tr w:rsidR="00565344" w:rsidRPr="006D21E8" w:rsidTr="00656848">
        <w:trPr>
          <w:trHeight w:val="165"/>
        </w:trPr>
        <w:tc>
          <w:tcPr>
            <w:tcW w:w="1" w:type="pct"/>
            <w:gridSpan w:val="3"/>
            <w:hideMark/>
          </w:tcPr>
          <w:p w:rsidR="00565344" w:rsidRPr="006D21E8" w:rsidRDefault="00565344" w:rsidP="00656848">
            <w:pPr>
              <w:jc w:val="center"/>
              <w:rPr>
                <w:sz w:val="18"/>
                <w:szCs w:val="18"/>
              </w:rPr>
            </w:pPr>
            <w:r w:rsidRPr="006D21E8">
              <w:rPr>
                <w:b/>
                <w:bCs/>
                <w:sz w:val="18"/>
                <w:szCs w:val="18"/>
              </w:rPr>
              <w:t>Durée d’hospitalisation en jours</w:t>
            </w:r>
          </w:p>
        </w:tc>
      </w:tr>
      <w:tr w:rsidR="00565344" w:rsidRPr="006D21E8" w:rsidTr="00656848">
        <w:trPr>
          <w:trHeight w:val="165"/>
        </w:trPr>
        <w:tc>
          <w:tcPr>
            <w:tcW w:w="2582" w:type="pct"/>
            <w:hideMark/>
          </w:tcPr>
          <w:p w:rsidR="00565344" w:rsidRPr="006D21E8" w:rsidRDefault="00565344" w:rsidP="00656848">
            <w:pPr>
              <w:jc w:val="both"/>
              <w:rPr>
                <w:sz w:val="18"/>
                <w:szCs w:val="18"/>
              </w:rPr>
            </w:pPr>
            <w:r w:rsidRPr="006D21E8">
              <w:rPr>
                <w:sz w:val="18"/>
                <w:szCs w:val="18"/>
              </w:rPr>
              <w:t>&lt; 3</w:t>
            </w:r>
          </w:p>
        </w:tc>
        <w:tc>
          <w:tcPr>
            <w:tcW w:w="888" w:type="pct"/>
            <w:hideMark/>
          </w:tcPr>
          <w:p w:rsidR="00565344" w:rsidRPr="006D21E8" w:rsidRDefault="00565344" w:rsidP="00656848">
            <w:pPr>
              <w:jc w:val="both"/>
              <w:rPr>
                <w:sz w:val="18"/>
                <w:szCs w:val="18"/>
              </w:rPr>
            </w:pPr>
            <w:r w:rsidRPr="006D21E8">
              <w:rPr>
                <w:sz w:val="18"/>
                <w:szCs w:val="18"/>
              </w:rPr>
              <w:t>4</w:t>
            </w:r>
          </w:p>
        </w:tc>
        <w:tc>
          <w:tcPr>
            <w:tcW w:w="1530" w:type="pct"/>
            <w:hideMark/>
          </w:tcPr>
          <w:p w:rsidR="00565344" w:rsidRPr="006D21E8" w:rsidRDefault="00565344" w:rsidP="00656848">
            <w:pPr>
              <w:jc w:val="both"/>
              <w:rPr>
                <w:sz w:val="18"/>
                <w:szCs w:val="18"/>
              </w:rPr>
            </w:pPr>
            <w:r w:rsidRPr="006D21E8">
              <w:rPr>
                <w:sz w:val="18"/>
                <w:szCs w:val="18"/>
              </w:rPr>
              <w:t>2,2</w:t>
            </w:r>
          </w:p>
        </w:tc>
      </w:tr>
      <w:tr w:rsidR="00565344" w:rsidRPr="006D21E8" w:rsidTr="00656848">
        <w:trPr>
          <w:trHeight w:val="165"/>
        </w:trPr>
        <w:tc>
          <w:tcPr>
            <w:tcW w:w="2582" w:type="pct"/>
            <w:hideMark/>
          </w:tcPr>
          <w:p w:rsidR="00565344" w:rsidRPr="006D21E8" w:rsidRDefault="00565344" w:rsidP="00656848">
            <w:pPr>
              <w:jc w:val="both"/>
              <w:rPr>
                <w:sz w:val="18"/>
                <w:szCs w:val="18"/>
              </w:rPr>
            </w:pPr>
            <w:r w:rsidRPr="006D21E8">
              <w:rPr>
                <w:sz w:val="18"/>
                <w:szCs w:val="18"/>
              </w:rPr>
              <w:t>3-7</w:t>
            </w:r>
          </w:p>
        </w:tc>
        <w:tc>
          <w:tcPr>
            <w:tcW w:w="888" w:type="pct"/>
            <w:hideMark/>
          </w:tcPr>
          <w:p w:rsidR="00565344" w:rsidRPr="006D21E8" w:rsidRDefault="00565344" w:rsidP="00656848">
            <w:pPr>
              <w:jc w:val="both"/>
              <w:rPr>
                <w:sz w:val="18"/>
                <w:szCs w:val="18"/>
              </w:rPr>
            </w:pPr>
            <w:r w:rsidRPr="006D21E8">
              <w:rPr>
                <w:sz w:val="18"/>
                <w:szCs w:val="18"/>
              </w:rPr>
              <w:t>155</w:t>
            </w:r>
          </w:p>
        </w:tc>
        <w:tc>
          <w:tcPr>
            <w:tcW w:w="1530" w:type="pct"/>
            <w:hideMark/>
          </w:tcPr>
          <w:p w:rsidR="00565344" w:rsidRPr="006D21E8" w:rsidRDefault="00565344" w:rsidP="00656848">
            <w:pPr>
              <w:jc w:val="both"/>
              <w:rPr>
                <w:sz w:val="18"/>
                <w:szCs w:val="18"/>
              </w:rPr>
            </w:pPr>
            <w:r w:rsidRPr="006D21E8">
              <w:rPr>
                <w:sz w:val="18"/>
                <w:szCs w:val="18"/>
              </w:rPr>
              <w:t>88,1</w:t>
            </w:r>
          </w:p>
        </w:tc>
      </w:tr>
      <w:tr w:rsidR="00565344" w:rsidRPr="006D21E8" w:rsidTr="00656848">
        <w:trPr>
          <w:trHeight w:val="165"/>
        </w:trPr>
        <w:tc>
          <w:tcPr>
            <w:tcW w:w="2582" w:type="pct"/>
            <w:hideMark/>
          </w:tcPr>
          <w:p w:rsidR="00565344" w:rsidRPr="006D21E8" w:rsidRDefault="00565344" w:rsidP="00656848">
            <w:pPr>
              <w:jc w:val="both"/>
              <w:rPr>
                <w:sz w:val="18"/>
                <w:szCs w:val="18"/>
              </w:rPr>
            </w:pPr>
            <w:r w:rsidRPr="006D21E8">
              <w:rPr>
                <w:sz w:val="18"/>
                <w:szCs w:val="18"/>
              </w:rPr>
              <w:t>8-15</w:t>
            </w:r>
          </w:p>
        </w:tc>
        <w:tc>
          <w:tcPr>
            <w:tcW w:w="888" w:type="pct"/>
            <w:hideMark/>
          </w:tcPr>
          <w:p w:rsidR="00565344" w:rsidRPr="006D21E8" w:rsidRDefault="00565344" w:rsidP="00656848">
            <w:pPr>
              <w:jc w:val="both"/>
              <w:rPr>
                <w:b/>
                <w:bCs/>
                <w:sz w:val="18"/>
                <w:szCs w:val="18"/>
              </w:rPr>
            </w:pPr>
            <w:r w:rsidRPr="006D21E8">
              <w:rPr>
                <w:b/>
                <w:bCs/>
                <w:sz w:val="18"/>
                <w:szCs w:val="18"/>
              </w:rPr>
              <w:t>17</w:t>
            </w:r>
          </w:p>
        </w:tc>
        <w:tc>
          <w:tcPr>
            <w:tcW w:w="1530" w:type="pct"/>
            <w:hideMark/>
          </w:tcPr>
          <w:p w:rsidR="00565344" w:rsidRPr="006D21E8" w:rsidRDefault="00565344" w:rsidP="00656848">
            <w:pPr>
              <w:jc w:val="both"/>
              <w:rPr>
                <w:b/>
                <w:bCs/>
                <w:sz w:val="18"/>
                <w:szCs w:val="18"/>
              </w:rPr>
            </w:pPr>
            <w:r w:rsidRPr="006D21E8">
              <w:rPr>
                <w:b/>
                <w:bCs/>
                <w:sz w:val="18"/>
                <w:szCs w:val="18"/>
              </w:rPr>
              <w:t>9,7</w:t>
            </w:r>
          </w:p>
        </w:tc>
      </w:tr>
    </w:tbl>
    <w:p w:rsidR="00565344" w:rsidRDefault="00565344" w:rsidP="00AB47FF">
      <w:pPr>
        <w:autoSpaceDE w:val="0"/>
        <w:autoSpaceDN w:val="0"/>
        <w:adjustRightInd w:val="0"/>
        <w:jc w:val="both"/>
        <w:rPr>
          <w:b/>
          <w:bCs/>
          <w:sz w:val="20"/>
          <w:szCs w:val="20"/>
        </w:rPr>
      </w:pPr>
    </w:p>
    <w:p w:rsidR="006C344C" w:rsidRPr="00AB47FF" w:rsidRDefault="006647B1" w:rsidP="00CF032F">
      <w:pPr>
        <w:autoSpaceDE w:val="0"/>
        <w:autoSpaceDN w:val="0"/>
        <w:adjustRightInd w:val="0"/>
        <w:spacing w:before="60" w:after="20"/>
        <w:jc w:val="both"/>
        <w:rPr>
          <w:b/>
          <w:bCs/>
          <w:sz w:val="20"/>
          <w:szCs w:val="20"/>
        </w:rPr>
      </w:pPr>
      <w:r>
        <w:rPr>
          <w:b/>
          <w:bCs/>
          <w:sz w:val="20"/>
          <w:szCs w:val="20"/>
        </w:rPr>
        <w:t>Complications</w:t>
      </w:r>
    </w:p>
    <w:p w:rsidR="00CE049C" w:rsidRPr="00AB47FF" w:rsidRDefault="005F46EF" w:rsidP="00AB47FF">
      <w:pPr>
        <w:jc w:val="both"/>
        <w:outlineLvl w:val="3"/>
        <w:rPr>
          <w:sz w:val="20"/>
          <w:szCs w:val="20"/>
        </w:rPr>
      </w:pPr>
      <w:r w:rsidRPr="00AB47FF">
        <w:rPr>
          <w:sz w:val="20"/>
          <w:szCs w:val="20"/>
        </w:rPr>
        <w:t>Les complications maternelles ont représenté</w:t>
      </w:r>
      <w:r w:rsidR="006C344C" w:rsidRPr="00AB47FF">
        <w:rPr>
          <w:b/>
          <w:bCs/>
          <w:sz w:val="20"/>
          <w:szCs w:val="20"/>
        </w:rPr>
        <w:t xml:space="preserve"> </w:t>
      </w:r>
      <w:r w:rsidRPr="00AB47FF">
        <w:rPr>
          <w:sz w:val="20"/>
          <w:szCs w:val="20"/>
        </w:rPr>
        <w:t>8,5% de cas. Ces complications maternelles et fœtales sont ré</w:t>
      </w:r>
      <w:r w:rsidR="00AB47FF" w:rsidRPr="00AB47FF">
        <w:rPr>
          <w:sz w:val="20"/>
          <w:szCs w:val="20"/>
        </w:rPr>
        <w:t xml:space="preserve">pertoriées dans le tableau </w:t>
      </w:r>
      <w:r w:rsidR="00D72F8B">
        <w:rPr>
          <w:sz w:val="20"/>
          <w:szCs w:val="20"/>
        </w:rPr>
        <w:t>4</w:t>
      </w:r>
      <w:r w:rsidR="00AB47FF" w:rsidRPr="00AB47FF">
        <w:rPr>
          <w:sz w:val="20"/>
          <w:szCs w:val="20"/>
        </w:rPr>
        <w:t>.</w:t>
      </w:r>
    </w:p>
    <w:p w:rsidR="00D52388" w:rsidRDefault="00CE049C" w:rsidP="00AB47FF">
      <w:pPr>
        <w:autoSpaceDE w:val="0"/>
        <w:autoSpaceDN w:val="0"/>
        <w:adjustRightInd w:val="0"/>
        <w:jc w:val="both"/>
        <w:rPr>
          <w:sz w:val="20"/>
          <w:szCs w:val="20"/>
        </w:rPr>
      </w:pPr>
      <w:r w:rsidRPr="00AB47FF">
        <w:rPr>
          <w:sz w:val="20"/>
          <w:szCs w:val="20"/>
        </w:rPr>
        <w:t>Les complications infectieuses (endométrite et suppuration pariétale) étaient les complications maternelles les</w:t>
      </w:r>
      <w:r w:rsidRPr="00AB47FF">
        <w:rPr>
          <w:b/>
          <w:bCs/>
          <w:sz w:val="20"/>
          <w:szCs w:val="20"/>
        </w:rPr>
        <w:t xml:space="preserve"> </w:t>
      </w:r>
      <w:r w:rsidRPr="00AB47FF">
        <w:rPr>
          <w:sz w:val="20"/>
          <w:szCs w:val="20"/>
        </w:rPr>
        <w:t>plus fréquentes avec 53,4% de cas. Les autres complications étaient</w:t>
      </w:r>
      <w:r w:rsidR="0041601B" w:rsidRPr="00AB47FF">
        <w:rPr>
          <w:sz w:val="20"/>
          <w:szCs w:val="20"/>
        </w:rPr>
        <w:t xml:space="preserve"> représentées l’insuffisance rénale aigue avec 20% de cas, l’hématome rétro-placentaire dans 13,3% de cas et l’hémorragie de la délivrance dans 13,3%. Nous avons enregistré 4 cas de décès maternels (2,3%) dont 50% suite à un état de mal éclamptique, 25%</w:t>
      </w:r>
      <w:r w:rsidR="002B4B79" w:rsidRPr="00AB47FF">
        <w:rPr>
          <w:sz w:val="20"/>
          <w:szCs w:val="20"/>
        </w:rPr>
        <w:t xml:space="preserve"> suite à une insuffisance </w:t>
      </w:r>
      <w:r w:rsidR="0041601B" w:rsidRPr="00AB47FF">
        <w:rPr>
          <w:sz w:val="20"/>
          <w:szCs w:val="20"/>
        </w:rPr>
        <w:t>rénale aigue</w:t>
      </w:r>
      <w:r w:rsidR="002B4B79" w:rsidRPr="00AB47FF">
        <w:rPr>
          <w:sz w:val="20"/>
          <w:szCs w:val="20"/>
        </w:rPr>
        <w:t xml:space="preserve"> et </w:t>
      </w:r>
      <w:r w:rsidR="0041601B" w:rsidRPr="00AB47FF">
        <w:rPr>
          <w:sz w:val="20"/>
          <w:szCs w:val="20"/>
        </w:rPr>
        <w:t xml:space="preserve">25% </w:t>
      </w:r>
      <w:r w:rsidR="002B4B79" w:rsidRPr="00AB47FF">
        <w:rPr>
          <w:sz w:val="20"/>
          <w:szCs w:val="20"/>
        </w:rPr>
        <w:t xml:space="preserve">suite à un œdème </w:t>
      </w:r>
      <w:r w:rsidR="00D72F8B" w:rsidRPr="00AB47FF">
        <w:rPr>
          <w:sz w:val="20"/>
          <w:szCs w:val="20"/>
        </w:rPr>
        <w:t xml:space="preserve">aigue </w:t>
      </w:r>
      <w:r w:rsidR="002B4B79" w:rsidRPr="00AB47FF">
        <w:rPr>
          <w:sz w:val="20"/>
          <w:szCs w:val="20"/>
        </w:rPr>
        <w:t>du poumon.</w:t>
      </w:r>
      <w:r w:rsidR="0057797E" w:rsidRPr="00AB47FF">
        <w:rPr>
          <w:sz w:val="20"/>
          <w:szCs w:val="20"/>
        </w:rPr>
        <w:t xml:space="preserve"> Les complications fœtales étaient dominées par la prématurité (29,5%) la souffrance néonatale (13,6%), l’hypotrophie (11,4%)</w:t>
      </w:r>
      <w:r w:rsidR="00D727C7" w:rsidRPr="00AB47FF">
        <w:rPr>
          <w:sz w:val="20"/>
          <w:szCs w:val="20"/>
        </w:rPr>
        <w:t xml:space="preserve"> et la mort fœtale (14,7%).</w:t>
      </w:r>
    </w:p>
    <w:p w:rsidR="00007121" w:rsidRPr="00AB47FF" w:rsidRDefault="00007121" w:rsidP="00AB47FF">
      <w:pPr>
        <w:autoSpaceDE w:val="0"/>
        <w:autoSpaceDN w:val="0"/>
        <w:adjustRightInd w:val="0"/>
        <w:jc w:val="both"/>
        <w:rPr>
          <w:b/>
          <w:bCs/>
          <w:sz w:val="20"/>
          <w:szCs w:val="20"/>
        </w:rPr>
      </w:pPr>
    </w:p>
    <w:tbl>
      <w:tblPr>
        <w:tblStyle w:val="Grilledutableau"/>
        <w:tblW w:w="0" w:type="auto"/>
        <w:tblLook w:val="0020"/>
      </w:tblPr>
      <w:tblGrid>
        <w:gridCol w:w="2266"/>
        <w:gridCol w:w="1037"/>
        <w:gridCol w:w="1519"/>
      </w:tblGrid>
      <w:tr w:rsidR="00007121" w:rsidRPr="006D21E8" w:rsidTr="001C5D6F">
        <w:trPr>
          <w:trHeight w:val="176"/>
        </w:trPr>
        <w:tc>
          <w:tcPr>
            <w:tcW w:w="0" w:type="auto"/>
            <w:gridSpan w:val="3"/>
            <w:hideMark/>
          </w:tcPr>
          <w:p w:rsidR="00007121" w:rsidRPr="006D21E8" w:rsidRDefault="00007121" w:rsidP="00D72F8B">
            <w:pPr>
              <w:autoSpaceDE w:val="0"/>
              <w:autoSpaceDN w:val="0"/>
              <w:adjustRightInd w:val="0"/>
              <w:jc w:val="both"/>
              <w:rPr>
                <w:sz w:val="18"/>
                <w:szCs w:val="20"/>
              </w:rPr>
            </w:pPr>
            <w:r w:rsidRPr="006D21E8">
              <w:rPr>
                <w:b/>
                <w:bCs/>
                <w:sz w:val="18"/>
                <w:szCs w:val="20"/>
              </w:rPr>
              <w:t xml:space="preserve">Tableau </w:t>
            </w:r>
            <w:r w:rsidR="00D72F8B">
              <w:rPr>
                <w:b/>
                <w:bCs/>
                <w:sz w:val="18"/>
                <w:szCs w:val="20"/>
              </w:rPr>
              <w:t>4</w:t>
            </w:r>
            <w:r w:rsidRPr="006D21E8">
              <w:rPr>
                <w:b/>
                <w:bCs/>
                <w:sz w:val="18"/>
                <w:szCs w:val="20"/>
              </w:rPr>
              <w:t xml:space="preserve"> :</w:t>
            </w:r>
            <w:r w:rsidRPr="006D21E8">
              <w:rPr>
                <w:sz w:val="18"/>
                <w:szCs w:val="20"/>
              </w:rPr>
              <w:t xml:space="preserve"> Répartition patientes en fonction des complications materno-fœtales.</w:t>
            </w:r>
          </w:p>
        </w:tc>
      </w:tr>
      <w:tr w:rsidR="000C0452" w:rsidRPr="006D21E8" w:rsidTr="001C5D6F">
        <w:trPr>
          <w:trHeight w:val="176"/>
        </w:trPr>
        <w:tc>
          <w:tcPr>
            <w:tcW w:w="0" w:type="auto"/>
            <w:hideMark/>
          </w:tcPr>
          <w:p w:rsidR="000C0452" w:rsidRPr="006D21E8" w:rsidRDefault="000C0452" w:rsidP="00AB47FF">
            <w:pPr>
              <w:jc w:val="both"/>
              <w:rPr>
                <w:b/>
                <w:bCs/>
                <w:sz w:val="18"/>
                <w:szCs w:val="20"/>
              </w:rPr>
            </w:pPr>
          </w:p>
        </w:tc>
        <w:tc>
          <w:tcPr>
            <w:tcW w:w="0" w:type="auto"/>
            <w:hideMark/>
          </w:tcPr>
          <w:p w:rsidR="000C0452" w:rsidRPr="006D21E8" w:rsidRDefault="000C0452" w:rsidP="00AB47FF">
            <w:pPr>
              <w:jc w:val="both"/>
              <w:rPr>
                <w:b/>
                <w:bCs/>
                <w:sz w:val="18"/>
                <w:szCs w:val="20"/>
              </w:rPr>
            </w:pPr>
            <w:r w:rsidRPr="006D21E8">
              <w:rPr>
                <w:b/>
                <w:bCs/>
                <w:sz w:val="18"/>
                <w:szCs w:val="20"/>
              </w:rPr>
              <w:t>Effectif</w:t>
            </w:r>
            <w:r w:rsidR="00D752E4" w:rsidRPr="006D21E8">
              <w:rPr>
                <w:b/>
                <w:bCs/>
                <w:sz w:val="18"/>
                <w:szCs w:val="20"/>
              </w:rPr>
              <w:t>s</w:t>
            </w:r>
          </w:p>
        </w:tc>
        <w:tc>
          <w:tcPr>
            <w:tcW w:w="0" w:type="auto"/>
            <w:hideMark/>
          </w:tcPr>
          <w:p w:rsidR="000C0452" w:rsidRPr="006D21E8" w:rsidRDefault="00D752E4" w:rsidP="00AB47FF">
            <w:pPr>
              <w:jc w:val="both"/>
              <w:rPr>
                <w:b/>
                <w:bCs/>
                <w:sz w:val="18"/>
                <w:szCs w:val="20"/>
              </w:rPr>
            </w:pPr>
            <w:r w:rsidRPr="006D21E8">
              <w:rPr>
                <w:b/>
                <w:bCs/>
                <w:sz w:val="18"/>
                <w:szCs w:val="20"/>
              </w:rPr>
              <w:t xml:space="preserve">Fréquence </w:t>
            </w:r>
            <w:r w:rsidR="000C0452" w:rsidRPr="006D21E8">
              <w:rPr>
                <w:b/>
                <w:bCs/>
                <w:sz w:val="18"/>
                <w:szCs w:val="20"/>
              </w:rPr>
              <w:t>(%)</w:t>
            </w:r>
          </w:p>
        </w:tc>
      </w:tr>
      <w:tr w:rsidR="00455331" w:rsidRPr="006D21E8" w:rsidTr="00656848">
        <w:trPr>
          <w:trHeight w:val="176"/>
        </w:trPr>
        <w:tc>
          <w:tcPr>
            <w:tcW w:w="0" w:type="auto"/>
            <w:gridSpan w:val="3"/>
            <w:hideMark/>
          </w:tcPr>
          <w:p w:rsidR="00455331" w:rsidRPr="006D21E8" w:rsidRDefault="00455331" w:rsidP="00455331">
            <w:pPr>
              <w:jc w:val="center"/>
              <w:rPr>
                <w:sz w:val="18"/>
                <w:szCs w:val="20"/>
              </w:rPr>
            </w:pPr>
            <w:r w:rsidRPr="006D21E8">
              <w:rPr>
                <w:b/>
                <w:bCs/>
                <w:sz w:val="18"/>
                <w:szCs w:val="20"/>
              </w:rPr>
              <w:t>Causes</w:t>
            </w:r>
          </w:p>
        </w:tc>
      </w:tr>
      <w:tr w:rsidR="000C0452" w:rsidRPr="006D21E8" w:rsidTr="001C5D6F">
        <w:trPr>
          <w:trHeight w:val="176"/>
        </w:trPr>
        <w:tc>
          <w:tcPr>
            <w:tcW w:w="0" w:type="auto"/>
            <w:hideMark/>
          </w:tcPr>
          <w:p w:rsidR="000C0452" w:rsidRPr="006D21E8" w:rsidRDefault="000C0452" w:rsidP="00AB47FF">
            <w:pPr>
              <w:jc w:val="both"/>
              <w:rPr>
                <w:sz w:val="18"/>
                <w:szCs w:val="20"/>
              </w:rPr>
            </w:pPr>
            <w:r w:rsidRPr="006D21E8">
              <w:rPr>
                <w:sz w:val="18"/>
                <w:szCs w:val="20"/>
              </w:rPr>
              <w:t>Infection</w:t>
            </w:r>
          </w:p>
        </w:tc>
        <w:tc>
          <w:tcPr>
            <w:tcW w:w="0" w:type="auto"/>
            <w:hideMark/>
          </w:tcPr>
          <w:p w:rsidR="000C0452" w:rsidRPr="006D21E8" w:rsidRDefault="000C0452" w:rsidP="00AB47FF">
            <w:pPr>
              <w:jc w:val="both"/>
              <w:rPr>
                <w:sz w:val="18"/>
                <w:szCs w:val="20"/>
              </w:rPr>
            </w:pPr>
            <w:r w:rsidRPr="006D21E8">
              <w:rPr>
                <w:sz w:val="18"/>
                <w:szCs w:val="20"/>
              </w:rPr>
              <w:t>8</w:t>
            </w:r>
          </w:p>
        </w:tc>
        <w:tc>
          <w:tcPr>
            <w:tcW w:w="0" w:type="auto"/>
            <w:hideMark/>
          </w:tcPr>
          <w:p w:rsidR="000C0452" w:rsidRPr="006D21E8" w:rsidRDefault="000C0452" w:rsidP="00AB47FF">
            <w:pPr>
              <w:jc w:val="both"/>
              <w:rPr>
                <w:sz w:val="18"/>
                <w:szCs w:val="20"/>
              </w:rPr>
            </w:pPr>
            <w:r w:rsidRPr="006D21E8">
              <w:rPr>
                <w:sz w:val="18"/>
                <w:szCs w:val="20"/>
              </w:rPr>
              <w:t>53,4</w:t>
            </w:r>
          </w:p>
        </w:tc>
      </w:tr>
      <w:tr w:rsidR="000C0452" w:rsidRPr="006D21E8" w:rsidTr="001C5D6F">
        <w:trPr>
          <w:trHeight w:val="176"/>
        </w:trPr>
        <w:tc>
          <w:tcPr>
            <w:tcW w:w="0" w:type="auto"/>
            <w:hideMark/>
          </w:tcPr>
          <w:p w:rsidR="000C0452" w:rsidRPr="006D21E8" w:rsidRDefault="000C0452" w:rsidP="00AB47FF">
            <w:pPr>
              <w:jc w:val="both"/>
              <w:rPr>
                <w:sz w:val="18"/>
                <w:szCs w:val="20"/>
              </w:rPr>
            </w:pPr>
            <w:r w:rsidRPr="006D21E8">
              <w:rPr>
                <w:sz w:val="18"/>
                <w:szCs w:val="20"/>
              </w:rPr>
              <w:t>IRA</w:t>
            </w:r>
          </w:p>
        </w:tc>
        <w:tc>
          <w:tcPr>
            <w:tcW w:w="0" w:type="auto"/>
            <w:hideMark/>
          </w:tcPr>
          <w:p w:rsidR="000C0452" w:rsidRPr="006D21E8" w:rsidRDefault="000C0452" w:rsidP="00AB47FF">
            <w:pPr>
              <w:jc w:val="both"/>
              <w:rPr>
                <w:sz w:val="18"/>
                <w:szCs w:val="20"/>
              </w:rPr>
            </w:pPr>
            <w:r w:rsidRPr="006D21E8">
              <w:rPr>
                <w:sz w:val="18"/>
                <w:szCs w:val="20"/>
              </w:rPr>
              <w:t>3</w:t>
            </w:r>
          </w:p>
        </w:tc>
        <w:tc>
          <w:tcPr>
            <w:tcW w:w="0" w:type="auto"/>
            <w:hideMark/>
          </w:tcPr>
          <w:p w:rsidR="000C0452" w:rsidRPr="006D21E8" w:rsidRDefault="000C0452" w:rsidP="00AB47FF">
            <w:pPr>
              <w:jc w:val="both"/>
              <w:rPr>
                <w:sz w:val="18"/>
                <w:szCs w:val="20"/>
              </w:rPr>
            </w:pPr>
            <w:r w:rsidRPr="006D21E8">
              <w:rPr>
                <w:sz w:val="18"/>
                <w:szCs w:val="20"/>
              </w:rPr>
              <w:t>20</w:t>
            </w:r>
          </w:p>
        </w:tc>
      </w:tr>
      <w:tr w:rsidR="00340A03" w:rsidRPr="006D21E8" w:rsidTr="001C5D6F">
        <w:trPr>
          <w:trHeight w:val="176"/>
        </w:trPr>
        <w:tc>
          <w:tcPr>
            <w:tcW w:w="0" w:type="auto"/>
          </w:tcPr>
          <w:p w:rsidR="00340A03" w:rsidRPr="006D21E8" w:rsidRDefault="00340A03" w:rsidP="00AB47FF">
            <w:pPr>
              <w:jc w:val="both"/>
              <w:rPr>
                <w:sz w:val="18"/>
                <w:szCs w:val="20"/>
              </w:rPr>
            </w:pPr>
            <w:r w:rsidRPr="006D21E8">
              <w:rPr>
                <w:sz w:val="18"/>
                <w:szCs w:val="20"/>
              </w:rPr>
              <w:t>Hémorragie de la délivrance</w:t>
            </w:r>
          </w:p>
        </w:tc>
        <w:tc>
          <w:tcPr>
            <w:tcW w:w="0" w:type="auto"/>
          </w:tcPr>
          <w:p w:rsidR="00340A03" w:rsidRPr="006D21E8" w:rsidRDefault="00340A03" w:rsidP="00AB47FF">
            <w:pPr>
              <w:jc w:val="both"/>
              <w:rPr>
                <w:sz w:val="18"/>
                <w:szCs w:val="20"/>
              </w:rPr>
            </w:pPr>
            <w:r w:rsidRPr="006D21E8">
              <w:rPr>
                <w:sz w:val="18"/>
                <w:szCs w:val="20"/>
              </w:rPr>
              <w:t>2</w:t>
            </w:r>
          </w:p>
        </w:tc>
        <w:tc>
          <w:tcPr>
            <w:tcW w:w="0" w:type="auto"/>
          </w:tcPr>
          <w:p w:rsidR="00340A03" w:rsidRPr="006D21E8" w:rsidRDefault="00340A03" w:rsidP="00AB47FF">
            <w:pPr>
              <w:jc w:val="both"/>
              <w:rPr>
                <w:sz w:val="18"/>
                <w:szCs w:val="20"/>
              </w:rPr>
            </w:pPr>
            <w:r w:rsidRPr="006D21E8">
              <w:rPr>
                <w:sz w:val="18"/>
                <w:szCs w:val="20"/>
              </w:rPr>
              <w:t>13,3</w:t>
            </w:r>
          </w:p>
        </w:tc>
      </w:tr>
      <w:tr w:rsidR="000C0452" w:rsidRPr="006D21E8" w:rsidTr="001C5D6F">
        <w:trPr>
          <w:trHeight w:val="176"/>
        </w:trPr>
        <w:tc>
          <w:tcPr>
            <w:tcW w:w="0" w:type="auto"/>
            <w:hideMark/>
          </w:tcPr>
          <w:p w:rsidR="000C0452" w:rsidRPr="006D21E8" w:rsidRDefault="000C0452" w:rsidP="00AB47FF">
            <w:pPr>
              <w:jc w:val="both"/>
              <w:rPr>
                <w:sz w:val="18"/>
                <w:szCs w:val="20"/>
              </w:rPr>
            </w:pPr>
            <w:r w:rsidRPr="006D21E8">
              <w:rPr>
                <w:sz w:val="18"/>
                <w:szCs w:val="20"/>
              </w:rPr>
              <w:t>HRP</w:t>
            </w:r>
          </w:p>
        </w:tc>
        <w:tc>
          <w:tcPr>
            <w:tcW w:w="0" w:type="auto"/>
            <w:hideMark/>
          </w:tcPr>
          <w:p w:rsidR="000C0452" w:rsidRPr="006D21E8" w:rsidRDefault="000C0452" w:rsidP="00AB47FF">
            <w:pPr>
              <w:jc w:val="both"/>
              <w:rPr>
                <w:sz w:val="18"/>
                <w:szCs w:val="20"/>
              </w:rPr>
            </w:pPr>
            <w:r w:rsidRPr="006D21E8">
              <w:rPr>
                <w:sz w:val="18"/>
                <w:szCs w:val="20"/>
              </w:rPr>
              <w:t>2</w:t>
            </w:r>
          </w:p>
        </w:tc>
        <w:tc>
          <w:tcPr>
            <w:tcW w:w="0" w:type="auto"/>
            <w:hideMark/>
          </w:tcPr>
          <w:p w:rsidR="000C0452" w:rsidRPr="006D21E8" w:rsidRDefault="000C0452" w:rsidP="00AB47FF">
            <w:pPr>
              <w:jc w:val="both"/>
              <w:rPr>
                <w:sz w:val="18"/>
                <w:szCs w:val="20"/>
              </w:rPr>
            </w:pPr>
            <w:r w:rsidRPr="006D21E8">
              <w:rPr>
                <w:sz w:val="18"/>
                <w:szCs w:val="20"/>
              </w:rPr>
              <w:t>13,3</w:t>
            </w:r>
          </w:p>
        </w:tc>
      </w:tr>
      <w:tr w:rsidR="00455331" w:rsidRPr="006D21E8" w:rsidTr="00656848">
        <w:trPr>
          <w:trHeight w:val="176"/>
        </w:trPr>
        <w:tc>
          <w:tcPr>
            <w:tcW w:w="0" w:type="auto"/>
            <w:gridSpan w:val="3"/>
            <w:hideMark/>
          </w:tcPr>
          <w:p w:rsidR="00455331" w:rsidRPr="006D21E8" w:rsidRDefault="00455331" w:rsidP="00455331">
            <w:pPr>
              <w:jc w:val="center"/>
              <w:rPr>
                <w:sz w:val="18"/>
                <w:szCs w:val="20"/>
              </w:rPr>
            </w:pPr>
            <w:r w:rsidRPr="006D21E8">
              <w:rPr>
                <w:b/>
                <w:bCs/>
                <w:sz w:val="18"/>
                <w:szCs w:val="20"/>
              </w:rPr>
              <w:t>Score d’Apgar</w:t>
            </w:r>
          </w:p>
        </w:tc>
      </w:tr>
      <w:tr w:rsidR="000C0452" w:rsidRPr="006D21E8" w:rsidTr="001C5D6F">
        <w:trPr>
          <w:trHeight w:val="176"/>
        </w:trPr>
        <w:tc>
          <w:tcPr>
            <w:tcW w:w="0" w:type="auto"/>
            <w:hideMark/>
          </w:tcPr>
          <w:p w:rsidR="000C0452" w:rsidRPr="006D21E8" w:rsidRDefault="000C0452" w:rsidP="00AB47FF">
            <w:pPr>
              <w:jc w:val="both"/>
              <w:rPr>
                <w:sz w:val="18"/>
                <w:szCs w:val="20"/>
              </w:rPr>
            </w:pPr>
            <w:r w:rsidRPr="006D21E8">
              <w:rPr>
                <w:sz w:val="18"/>
                <w:szCs w:val="20"/>
              </w:rPr>
              <w:t>0</w:t>
            </w:r>
          </w:p>
        </w:tc>
        <w:tc>
          <w:tcPr>
            <w:tcW w:w="0" w:type="auto"/>
            <w:hideMark/>
          </w:tcPr>
          <w:p w:rsidR="000C0452" w:rsidRPr="006D21E8" w:rsidRDefault="000C0452" w:rsidP="00AB47FF">
            <w:pPr>
              <w:jc w:val="both"/>
              <w:rPr>
                <w:sz w:val="18"/>
                <w:szCs w:val="20"/>
              </w:rPr>
            </w:pPr>
            <w:r w:rsidRPr="006D21E8">
              <w:rPr>
                <w:sz w:val="18"/>
                <w:szCs w:val="20"/>
              </w:rPr>
              <w:t>18</w:t>
            </w:r>
          </w:p>
        </w:tc>
        <w:tc>
          <w:tcPr>
            <w:tcW w:w="0" w:type="auto"/>
            <w:hideMark/>
          </w:tcPr>
          <w:p w:rsidR="000C0452" w:rsidRPr="006D21E8" w:rsidRDefault="000C0452" w:rsidP="00AB47FF">
            <w:pPr>
              <w:jc w:val="both"/>
              <w:rPr>
                <w:sz w:val="18"/>
                <w:szCs w:val="20"/>
              </w:rPr>
            </w:pPr>
            <w:r w:rsidRPr="006D21E8">
              <w:rPr>
                <w:sz w:val="18"/>
                <w:szCs w:val="20"/>
              </w:rPr>
              <w:t>13,6</w:t>
            </w:r>
          </w:p>
        </w:tc>
      </w:tr>
      <w:tr w:rsidR="000C0452" w:rsidRPr="006D21E8" w:rsidTr="001C5D6F">
        <w:trPr>
          <w:trHeight w:val="176"/>
        </w:trPr>
        <w:tc>
          <w:tcPr>
            <w:tcW w:w="0" w:type="auto"/>
            <w:hideMark/>
          </w:tcPr>
          <w:p w:rsidR="000C0452" w:rsidRPr="006D21E8" w:rsidRDefault="000C0452" w:rsidP="00AB47FF">
            <w:pPr>
              <w:jc w:val="both"/>
              <w:rPr>
                <w:sz w:val="18"/>
                <w:szCs w:val="20"/>
              </w:rPr>
            </w:pPr>
            <w:r w:rsidRPr="006D21E8">
              <w:rPr>
                <w:sz w:val="18"/>
                <w:szCs w:val="20"/>
              </w:rPr>
              <w:t>1 – 3</w:t>
            </w:r>
          </w:p>
        </w:tc>
        <w:tc>
          <w:tcPr>
            <w:tcW w:w="0" w:type="auto"/>
            <w:hideMark/>
          </w:tcPr>
          <w:p w:rsidR="000C0452" w:rsidRPr="006D21E8" w:rsidRDefault="000C0452" w:rsidP="00AB47FF">
            <w:pPr>
              <w:jc w:val="both"/>
              <w:rPr>
                <w:sz w:val="18"/>
                <w:szCs w:val="20"/>
              </w:rPr>
            </w:pPr>
            <w:r w:rsidRPr="006D21E8">
              <w:rPr>
                <w:sz w:val="18"/>
                <w:szCs w:val="20"/>
              </w:rPr>
              <w:t>6</w:t>
            </w:r>
          </w:p>
        </w:tc>
        <w:tc>
          <w:tcPr>
            <w:tcW w:w="0" w:type="auto"/>
            <w:hideMark/>
          </w:tcPr>
          <w:p w:rsidR="000C0452" w:rsidRPr="006D21E8" w:rsidRDefault="000C0452" w:rsidP="00AB47FF">
            <w:pPr>
              <w:jc w:val="both"/>
              <w:rPr>
                <w:sz w:val="18"/>
                <w:szCs w:val="20"/>
              </w:rPr>
            </w:pPr>
            <w:r w:rsidRPr="006D21E8">
              <w:rPr>
                <w:sz w:val="18"/>
                <w:szCs w:val="20"/>
              </w:rPr>
              <w:t>4,6</w:t>
            </w:r>
          </w:p>
        </w:tc>
      </w:tr>
      <w:tr w:rsidR="00340A03" w:rsidRPr="006D21E8" w:rsidTr="001C5D6F">
        <w:trPr>
          <w:trHeight w:val="176"/>
        </w:trPr>
        <w:tc>
          <w:tcPr>
            <w:tcW w:w="0" w:type="auto"/>
          </w:tcPr>
          <w:p w:rsidR="00340A03" w:rsidRPr="006D21E8" w:rsidRDefault="00340A03" w:rsidP="00AB47FF">
            <w:pPr>
              <w:jc w:val="both"/>
              <w:rPr>
                <w:sz w:val="18"/>
                <w:szCs w:val="20"/>
              </w:rPr>
            </w:pPr>
            <w:r w:rsidRPr="006D21E8">
              <w:rPr>
                <w:sz w:val="18"/>
                <w:szCs w:val="20"/>
              </w:rPr>
              <w:t>4 – 6</w:t>
            </w:r>
          </w:p>
        </w:tc>
        <w:tc>
          <w:tcPr>
            <w:tcW w:w="0" w:type="auto"/>
          </w:tcPr>
          <w:p w:rsidR="00340A03" w:rsidRPr="006D21E8" w:rsidRDefault="00340A03" w:rsidP="00AB47FF">
            <w:pPr>
              <w:jc w:val="both"/>
              <w:rPr>
                <w:sz w:val="18"/>
                <w:szCs w:val="20"/>
              </w:rPr>
            </w:pPr>
            <w:r w:rsidRPr="006D21E8">
              <w:rPr>
                <w:sz w:val="18"/>
                <w:szCs w:val="20"/>
              </w:rPr>
              <w:t>12</w:t>
            </w:r>
          </w:p>
        </w:tc>
        <w:tc>
          <w:tcPr>
            <w:tcW w:w="0" w:type="auto"/>
          </w:tcPr>
          <w:p w:rsidR="00340A03" w:rsidRPr="006D21E8" w:rsidRDefault="00340A03" w:rsidP="00AB47FF">
            <w:pPr>
              <w:jc w:val="both"/>
              <w:rPr>
                <w:sz w:val="18"/>
                <w:szCs w:val="20"/>
              </w:rPr>
            </w:pPr>
            <w:r w:rsidRPr="006D21E8">
              <w:rPr>
                <w:sz w:val="18"/>
                <w:szCs w:val="20"/>
              </w:rPr>
              <w:t>9,1</w:t>
            </w:r>
          </w:p>
        </w:tc>
      </w:tr>
      <w:tr w:rsidR="000C0452" w:rsidRPr="006D21E8" w:rsidTr="001C5D6F">
        <w:trPr>
          <w:trHeight w:val="176"/>
        </w:trPr>
        <w:tc>
          <w:tcPr>
            <w:tcW w:w="0" w:type="auto"/>
            <w:hideMark/>
          </w:tcPr>
          <w:p w:rsidR="000C0452" w:rsidRPr="006D21E8" w:rsidRDefault="000C0452" w:rsidP="00AB47FF">
            <w:pPr>
              <w:jc w:val="both"/>
              <w:rPr>
                <w:sz w:val="18"/>
                <w:szCs w:val="20"/>
              </w:rPr>
            </w:pPr>
            <w:r w:rsidRPr="006D21E8">
              <w:rPr>
                <w:sz w:val="18"/>
                <w:szCs w:val="20"/>
              </w:rPr>
              <w:t>≥ 7</w:t>
            </w:r>
          </w:p>
        </w:tc>
        <w:tc>
          <w:tcPr>
            <w:tcW w:w="0" w:type="auto"/>
            <w:hideMark/>
          </w:tcPr>
          <w:p w:rsidR="000C0452" w:rsidRPr="006D21E8" w:rsidRDefault="000C0452" w:rsidP="00AB47FF">
            <w:pPr>
              <w:jc w:val="both"/>
              <w:rPr>
                <w:sz w:val="18"/>
                <w:szCs w:val="20"/>
              </w:rPr>
            </w:pPr>
            <w:r w:rsidRPr="006D21E8">
              <w:rPr>
                <w:sz w:val="18"/>
                <w:szCs w:val="20"/>
              </w:rPr>
              <w:t>96</w:t>
            </w:r>
          </w:p>
        </w:tc>
        <w:tc>
          <w:tcPr>
            <w:tcW w:w="0" w:type="auto"/>
            <w:hideMark/>
          </w:tcPr>
          <w:p w:rsidR="000C0452" w:rsidRPr="006D21E8" w:rsidRDefault="000C0452" w:rsidP="00AB47FF">
            <w:pPr>
              <w:jc w:val="both"/>
              <w:rPr>
                <w:sz w:val="18"/>
                <w:szCs w:val="20"/>
              </w:rPr>
            </w:pPr>
            <w:r w:rsidRPr="006D21E8">
              <w:rPr>
                <w:sz w:val="18"/>
                <w:szCs w:val="20"/>
              </w:rPr>
              <w:t>72,7</w:t>
            </w:r>
          </w:p>
        </w:tc>
      </w:tr>
      <w:tr w:rsidR="00455331" w:rsidRPr="006D21E8" w:rsidTr="00656848">
        <w:trPr>
          <w:trHeight w:val="176"/>
        </w:trPr>
        <w:tc>
          <w:tcPr>
            <w:tcW w:w="0" w:type="auto"/>
            <w:gridSpan w:val="3"/>
            <w:hideMark/>
          </w:tcPr>
          <w:p w:rsidR="00455331" w:rsidRPr="006D21E8" w:rsidRDefault="00455331" w:rsidP="00455331">
            <w:pPr>
              <w:jc w:val="center"/>
              <w:rPr>
                <w:sz w:val="18"/>
                <w:szCs w:val="20"/>
              </w:rPr>
            </w:pPr>
            <w:r w:rsidRPr="006D21E8">
              <w:rPr>
                <w:b/>
                <w:bCs/>
                <w:sz w:val="18"/>
                <w:szCs w:val="20"/>
              </w:rPr>
              <w:t>État du nouveau-né</w:t>
            </w:r>
          </w:p>
        </w:tc>
      </w:tr>
      <w:tr w:rsidR="000C0452" w:rsidRPr="006D21E8" w:rsidTr="001C5D6F">
        <w:trPr>
          <w:trHeight w:val="176"/>
        </w:trPr>
        <w:tc>
          <w:tcPr>
            <w:tcW w:w="0" w:type="auto"/>
            <w:hideMark/>
          </w:tcPr>
          <w:p w:rsidR="000C0452" w:rsidRPr="006D21E8" w:rsidRDefault="000C0452" w:rsidP="00AB47FF">
            <w:pPr>
              <w:jc w:val="both"/>
              <w:rPr>
                <w:sz w:val="18"/>
                <w:szCs w:val="20"/>
              </w:rPr>
            </w:pPr>
            <w:r w:rsidRPr="006D21E8">
              <w:rPr>
                <w:sz w:val="18"/>
                <w:szCs w:val="20"/>
              </w:rPr>
              <w:t>Eutrophique</w:t>
            </w:r>
          </w:p>
        </w:tc>
        <w:tc>
          <w:tcPr>
            <w:tcW w:w="0" w:type="auto"/>
            <w:hideMark/>
          </w:tcPr>
          <w:p w:rsidR="000C0452" w:rsidRPr="006D21E8" w:rsidRDefault="000C0452" w:rsidP="00AB47FF">
            <w:pPr>
              <w:jc w:val="both"/>
              <w:rPr>
                <w:sz w:val="18"/>
                <w:szCs w:val="20"/>
              </w:rPr>
            </w:pPr>
            <w:r w:rsidRPr="006D21E8">
              <w:rPr>
                <w:sz w:val="18"/>
                <w:szCs w:val="20"/>
              </w:rPr>
              <w:t>78</w:t>
            </w:r>
          </w:p>
        </w:tc>
        <w:tc>
          <w:tcPr>
            <w:tcW w:w="0" w:type="auto"/>
            <w:hideMark/>
          </w:tcPr>
          <w:p w:rsidR="000C0452" w:rsidRPr="006D21E8" w:rsidRDefault="000C0452" w:rsidP="00AB47FF">
            <w:pPr>
              <w:jc w:val="both"/>
              <w:rPr>
                <w:sz w:val="18"/>
                <w:szCs w:val="20"/>
              </w:rPr>
            </w:pPr>
            <w:r w:rsidRPr="006D21E8">
              <w:rPr>
                <w:sz w:val="18"/>
                <w:szCs w:val="20"/>
              </w:rPr>
              <w:t>59,1</w:t>
            </w:r>
          </w:p>
        </w:tc>
      </w:tr>
      <w:tr w:rsidR="00D97D5C" w:rsidRPr="006D21E8" w:rsidTr="001C5D6F">
        <w:trPr>
          <w:trHeight w:val="176"/>
        </w:trPr>
        <w:tc>
          <w:tcPr>
            <w:tcW w:w="0" w:type="auto"/>
          </w:tcPr>
          <w:p w:rsidR="00D97D5C" w:rsidRPr="006D21E8" w:rsidRDefault="00D97D5C" w:rsidP="00AB47FF">
            <w:pPr>
              <w:jc w:val="both"/>
              <w:rPr>
                <w:sz w:val="18"/>
                <w:szCs w:val="20"/>
              </w:rPr>
            </w:pPr>
            <w:r w:rsidRPr="006D21E8">
              <w:rPr>
                <w:sz w:val="18"/>
                <w:szCs w:val="20"/>
              </w:rPr>
              <w:t>Prématuré</w:t>
            </w:r>
          </w:p>
        </w:tc>
        <w:tc>
          <w:tcPr>
            <w:tcW w:w="0" w:type="auto"/>
          </w:tcPr>
          <w:p w:rsidR="00D97D5C" w:rsidRPr="006D21E8" w:rsidRDefault="00D97D5C" w:rsidP="00AB47FF">
            <w:pPr>
              <w:jc w:val="both"/>
              <w:rPr>
                <w:sz w:val="18"/>
                <w:szCs w:val="20"/>
              </w:rPr>
            </w:pPr>
            <w:r w:rsidRPr="006D21E8">
              <w:rPr>
                <w:sz w:val="18"/>
                <w:szCs w:val="20"/>
              </w:rPr>
              <w:t>39</w:t>
            </w:r>
          </w:p>
        </w:tc>
        <w:tc>
          <w:tcPr>
            <w:tcW w:w="0" w:type="auto"/>
          </w:tcPr>
          <w:p w:rsidR="00D97D5C" w:rsidRPr="006D21E8" w:rsidRDefault="00D97D5C" w:rsidP="00AB47FF">
            <w:pPr>
              <w:jc w:val="both"/>
              <w:rPr>
                <w:sz w:val="18"/>
                <w:szCs w:val="20"/>
              </w:rPr>
            </w:pPr>
            <w:r w:rsidRPr="006D21E8">
              <w:rPr>
                <w:sz w:val="18"/>
                <w:szCs w:val="20"/>
              </w:rPr>
              <w:t>29,5</w:t>
            </w:r>
          </w:p>
        </w:tc>
      </w:tr>
      <w:tr w:rsidR="00D97D5C" w:rsidRPr="006D21E8" w:rsidTr="001C5D6F">
        <w:trPr>
          <w:trHeight w:val="176"/>
        </w:trPr>
        <w:tc>
          <w:tcPr>
            <w:tcW w:w="0" w:type="auto"/>
          </w:tcPr>
          <w:p w:rsidR="00D97D5C" w:rsidRPr="006D21E8" w:rsidRDefault="00D97D5C" w:rsidP="00AB47FF">
            <w:pPr>
              <w:jc w:val="both"/>
              <w:rPr>
                <w:sz w:val="18"/>
                <w:szCs w:val="20"/>
              </w:rPr>
            </w:pPr>
            <w:r w:rsidRPr="006D21E8">
              <w:rPr>
                <w:sz w:val="18"/>
                <w:szCs w:val="20"/>
              </w:rPr>
              <w:t>Hypotrophe</w:t>
            </w:r>
          </w:p>
        </w:tc>
        <w:tc>
          <w:tcPr>
            <w:tcW w:w="0" w:type="auto"/>
          </w:tcPr>
          <w:p w:rsidR="00D97D5C" w:rsidRPr="006D21E8" w:rsidRDefault="00D97D5C" w:rsidP="00AB47FF">
            <w:pPr>
              <w:jc w:val="both"/>
              <w:rPr>
                <w:sz w:val="18"/>
                <w:szCs w:val="20"/>
              </w:rPr>
            </w:pPr>
            <w:r w:rsidRPr="006D21E8">
              <w:rPr>
                <w:sz w:val="18"/>
                <w:szCs w:val="20"/>
              </w:rPr>
              <w:t>15</w:t>
            </w:r>
          </w:p>
        </w:tc>
        <w:tc>
          <w:tcPr>
            <w:tcW w:w="0" w:type="auto"/>
          </w:tcPr>
          <w:p w:rsidR="00D97D5C" w:rsidRPr="006D21E8" w:rsidRDefault="00D97D5C" w:rsidP="00AB47FF">
            <w:pPr>
              <w:jc w:val="both"/>
              <w:rPr>
                <w:sz w:val="18"/>
                <w:szCs w:val="20"/>
              </w:rPr>
            </w:pPr>
            <w:r w:rsidRPr="006D21E8">
              <w:rPr>
                <w:sz w:val="18"/>
                <w:szCs w:val="20"/>
              </w:rPr>
              <w:t>11,4</w:t>
            </w:r>
          </w:p>
        </w:tc>
      </w:tr>
      <w:tr w:rsidR="00455331" w:rsidRPr="006D21E8" w:rsidTr="00656848">
        <w:trPr>
          <w:trHeight w:val="176"/>
        </w:trPr>
        <w:tc>
          <w:tcPr>
            <w:tcW w:w="0" w:type="auto"/>
            <w:gridSpan w:val="3"/>
            <w:hideMark/>
          </w:tcPr>
          <w:p w:rsidR="00455331" w:rsidRPr="006D21E8" w:rsidRDefault="00455331" w:rsidP="00AB47FF">
            <w:pPr>
              <w:jc w:val="both"/>
              <w:rPr>
                <w:sz w:val="18"/>
                <w:szCs w:val="20"/>
              </w:rPr>
            </w:pPr>
            <w:r w:rsidRPr="006D21E8">
              <w:rPr>
                <w:b/>
                <w:bCs/>
                <w:sz w:val="18"/>
                <w:szCs w:val="20"/>
              </w:rPr>
              <w:t>Réanimé</w:t>
            </w:r>
          </w:p>
        </w:tc>
      </w:tr>
      <w:tr w:rsidR="00D97D5C" w:rsidRPr="006D21E8" w:rsidTr="001C5D6F">
        <w:trPr>
          <w:trHeight w:val="176"/>
        </w:trPr>
        <w:tc>
          <w:tcPr>
            <w:tcW w:w="0" w:type="auto"/>
            <w:hideMark/>
          </w:tcPr>
          <w:p w:rsidR="00D97D5C" w:rsidRPr="006D21E8" w:rsidRDefault="00D97D5C" w:rsidP="00AB47FF">
            <w:pPr>
              <w:jc w:val="both"/>
              <w:rPr>
                <w:sz w:val="18"/>
                <w:szCs w:val="20"/>
              </w:rPr>
            </w:pPr>
            <w:r w:rsidRPr="006D21E8">
              <w:rPr>
                <w:sz w:val="18"/>
                <w:szCs w:val="20"/>
              </w:rPr>
              <w:t>Non</w:t>
            </w:r>
          </w:p>
        </w:tc>
        <w:tc>
          <w:tcPr>
            <w:tcW w:w="0" w:type="auto"/>
            <w:hideMark/>
          </w:tcPr>
          <w:p w:rsidR="00D97D5C" w:rsidRPr="006D21E8" w:rsidRDefault="00D97D5C" w:rsidP="00AB47FF">
            <w:pPr>
              <w:jc w:val="both"/>
              <w:rPr>
                <w:sz w:val="18"/>
                <w:szCs w:val="20"/>
              </w:rPr>
            </w:pPr>
            <w:r w:rsidRPr="006D21E8">
              <w:rPr>
                <w:sz w:val="18"/>
                <w:szCs w:val="20"/>
              </w:rPr>
              <w:t>114</w:t>
            </w:r>
          </w:p>
        </w:tc>
        <w:tc>
          <w:tcPr>
            <w:tcW w:w="0" w:type="auto"/>
            <w:hideMark/>
          </w:tcPr>
          <w:p w:rsidR="00D97D5C" w:rsidRPr="006D21E8" w:rsidRDefault="00D97D5C" w:rsidP="00AB47FF">
            <w:pPr>
              <w:jc w:val="both"/>
              <w:rPr>
                <w:sz w:val="18"/>
                <w:szCs w:val="20"/>
              </w:rPr>
            </w:pPr>
            <w:r w:rsidRPr="006D21E8">
              <w:rPr>
                <w:sz w:val="18"/>
                <w:szCs w:val="20"/>
              </w:rPr>
              <w:t>86,4</w:t>
            </w:r>
          </w:p>
        </w:tc>
      </w:tr>
      <w:tr w:rsidR="00D97D5C" w:rsidRPr="006D21E8" w:rsidTr="001C5D6F">
        <w:trPr>
          <w:trHeight w:val="176"/>
        </w:trPr>
        <w:tc>
          <w:tcPr>
            <w:tcW w:w="0" w:type="auto"/>
            <w:hideMark/>
          </w:tcPr>
          <w:p w:rsidR="00D97D5C" w:rsidRPr="006D21E8" w:rsidRDefault="00D97D5C" w:rsidP="00AB47FF">
            <w:pPr>
              <w:jc w:val="both"/>
              <w:rPr>
                <w:sz w:val="18"/>
                <w:szCs w:val="20"/>
              </w:rPr>
            </w:pPr>
            <w:r w:rsidRPr="006D21E8">
              <w:rPr>
                <w:sz w:val="18"/>
                <w:szCs w:val="20"/>
              </w:rPr>
              <w:t>Oui</w:t>
            </w:r>
          </w:p>
        </w:tc>
        <w:tc>
          <w:tcPr>
            <w:tcW w:w="0" w:type="auto"/>
            <w:hideMark/>
          </w:tcPr>
          <w:p w:rsidR="00D97D5C" w:rsidRPr="006D21E8" w:rsidRDefault="00D97D5C" w:rsidP="00AB47FF">
            <w:pPr>
              <w:jc w:val="both"/>
              <w:rPr>
                <w:sz w:val="18"/>
                <w:szCs w:val="20"/>
              </w:rPr>
            </w:pPr>
            <w:r w:rsidRPr="006D21E8">
              <w:rPr>
                <w:sz w:val="18"/>
                <w:szCs w:val="20"/>
              </w:rPr>
              <w:t>18</w:t>
            </w:r>
          </w:p>
        </w:tc>
        <w:tc>
          <w:tcPr>
            <w:tcW w:w="0" w:type="auto"/>
            <w:hideMark/>
          </w:tcPr>
          <w:p w:rsidR="00D97D5C" w:rsidRPr="006D21E8" w:rsidRDefault="00D97D5C" w:rsidP="00AB47FF">
            <w:pPr>
              <w:jc w:val="both"/>
              <w:rPr>
                <w:sz w:val="18"/>
                <w:szCs w:val="20"/>
              </w:rPr>
            </w:pPr>
            <w:r w:rsidRPr="006D21E8">
              <w:rPr>
                <w:sz w:val="18"/>
                <w:szCs w:val="20"/>
              </w:rPr>
              <w:t>13,6</w:t>
            </w:r>
          </w:p>
        </w:tc>
      </w:tr>
      <w:tr w:rsidR="00455331" w:rsidRPr="006D21E8" w:rsidTr="00656848">
        <w:trPr>
          <w:trHeight w:val="176"/>
        </w:trPr>
        <w:tc>
          <w:tcPr>
            <w:tcW w:w="0" w:type="auto"/>
            <w:gridSpan w:val="3"/>
            <w:hideMark/>
          </w:tcPr>
          <w:p w:rsidR="00455331" w:rsidRPr="006D21E8" w:rsidRDefault="00455331" w:rsidP="00455331">
            <w:pPr>
              <w:jc w:val="center"/>
              <w:rPr>
                <w:sz w:val="18"/>
                <w:szCs w:val="20"/>
              </w:rPr>
            </w:pPr>
            <w:r w:rsidRPr="006D21E8">
              <w:rPr>
                <w:b/>
                <w:bCs/>
                <w:sz w:val="18"/>
                <w:szCs w:val="20"/>
              </w:rPr>
              <w:t>Pronostic vital du nouveau-né</w:t>
            </w:r>
          </w:p>
        </w:tc>
      </w:tr>
      <w:tr w:rsidR="00D97D5C" w:rsidRPr="006D21E8" w:rsidTr="001C5D6F">
        <w:trPr>
          <w:trHeight w:val="176"/>
        </w:trPr>
        <w:tc>
          <w:tcPr>
            <w:tcW w:w="0" w:type="auto"/>
            <w:hideMark/>
          </w:tcPr>
          <w:p w:rsidR="00D97D5C" w:rsidRPr="006D21E8" w:rsidRDefault="001A59C7" w:rsidP="00AB47FF">
            <w:pPr>
              <w:jc w:val="both"/>
              <w:rPr>
                <w:sz w:val="18"/>
                <w:szCs w:val="20"/>
              </w:rPr>
            </w:pPr>
            <w:r w:rsidRPr="006D21E8">
              <w:rPr>
                <w:sz w:val="18"/>
                <w:szCs w:val="20"/>
              </w:rPr>
              <w:t xml:space="preserve"> Décédé </w:t>
            </w:r>
            <w:r w:rsidR="00D97D5C" w:rsidRPr="006D21E8">
              <w:rPr>
                <w:sz w:val="18"/>
                <w:szCs w:val="20"/>
              </w:rPr>
              <w:t>après réanimation</w:t>
            </w:r>
          </w:p>
        </w:tc>
        <w:tc>
          <w:tcPr>
            <w:tcW w:w="0" w:type="auto"/>
            <w:hideMark/>
          </w:tcPr>
          <w:p w:rsidR="00D97D5C" w:rsidRPr="006D21E8" w:rsidRDefault="00D97D5C" w:rsidP="00AB47FF">
            <w:pPr>
              <w:jc w:val="both"/>
              <w:rPr>
                <w:sz w:val="18"/>
                <w:szCs w:val="20"/>
              </w:rPr>
            </w:pPr>
            <w:r w:rsidRPr="006D21E8">
              <w:rPr>
                <w:sz w:val="18"/>
                <w:szCs w:val="20"/>
              </w:rPr>
              <w:t>13</w:t>
            </w:r>
          </w:p>
        </w:tc>
        <w:tc>
          <w:tcPr>
            <w:tcW w:w="0" w:type="auto"/>
            <w:hideMark/>
          </w:tcPr>
          <w:p w:rsidR="00D97D5C" w:rsidRPr="006D21E8" w:rsidRDefault="00D97D5C" w:rsidP="00AB47FF">
            <w:pPr>
              <w:jc w:val="both"/>
              <w:rPr>
                <w:sz w:val="18"/>
                <w:szCs w:val="20"/>
              </w:rPr>
            </w:pPr>
            <w:r w:rsidRPr="006D21E8">
              <w:rPr>
                <w:sz w:val="18"/>
                <w:szCs w:val="20"/>
              </w:rPr>
              <w:t>7,4</w:t>
            </w:r>
          </w:p>
        </w:tc>
      </w:tr>
      <w:tr w:rsidR="003F2BF9" w:rsidRPr="006D21E8" w:rsidTr="001C5D6F">
        <w:trPr>
          <w:trHeight w:val="198"/>
        </w:trPr>
        <w:tc>
          <w:tcPr>
            <w:tcW w:w="0" w:type="auto"/>
          </w:tcPr>
          <w:p w:rsidR="003F2BF9" w:rsidRPr="006D21E8" w:rsidRDefault="003F2BF9" w:rsidP="00AB47FF">
            <w:pPr>
              <w:jc w:val="both"/>
              <w:rPr>
                <w:sz w:val="18"/>
                <w:szCs w:val="20"/>
              </w:rPr>
            </w:pPr>
            <w:r w:rsidRPr="006D21E8">
              <w:rPr>
                <w:sz w:val="18"/>
                <w:szCs w:val="20"/>
              </w:rPr>
              <w:t>Mort-né frais</w:t>
            </w:r>
          </w:p>
        </w:tc>
        <w:tc>
          <w:tcPr>
            <w:tcW w:w="0" w:type="auto"/>
          </w:tcPr>
          <w:p w:rsidR="003F2BF9" w:rsidRPr="006D21E8" w:rsidRDefault="003F2BF9" w:rsidP="00AB47FF">
            <w:pPr>
              <w:jc w:val="both"/>
              <w:rPr>
                <w:sz w:val="18"/>
                <w:szCs w:val="20"/>
              </w:rPr>
            </w:pPr>
            <w:r w:rsidRPr="006D21E8">
              <w:rPr>
                <w:sz w:val="18"/>
                <w:szCs w:val="20"/>
              </w:rPr>
              <w:t>17</w:t>
            </w:r>
          </w:p>
        </w:tc>
        <w:tc>
          <w:tcPr>
            <w:tcW w:w="0" w:type="auto"/>
          </w:tcPr>
          <w:p w:rsidR="003F2BF9" w:rsidRPr="006D21E8" w:rsidRDefault="003F2BF9" w:rsidP="00AB47FF">
            <w:pPr>
              <w:jc w:val="both"/>
              <w:rPr>
                <w:sz w:val="18"/>
                <w:szCs w:val="20"/>
              </w:rPr>
            </w:pPr>
            <w:r w:rsidRPr="006D21E8">
              <w:rPr>
                <w:sz w:val="18"/>
                <w:szCs w:val="20"/>
              </w:rPr>
              <w:t>9,6</w:t>
            </w:r>
          </w:p>
        </w:tc>
      </w:tr>
      <w:tr w:rsidR="00D97D5C" w:rsidRPr="006D21E8" w:rsidTr="001C5D6F">
        <w:trPr>
          <w:trHeight w:val="176"/>
        </w:trPr>
        <w:tc>
          <w:tcPr>
            <w:tcW w:w="0" w:type="auto"/>
            <w:hideMark/>
          </w:tcPr>
          <w:p w:rsidR="00D97D5C" w:rsidRPr="006D21E8" w:rsidRDefault="00D97D5C" w:rsidP="00AB47FF">
            <w:pPr>
              <w:jc w:val="both"/>
              <w:rPr>
                <w:sz w:val="18"/>
                <w:szCs w:val="20"/>
              </w:rPr>
            </w:pPr>
            <w:r w:rsidRPr="006D21E8">
              <w:rPr>
                <w:sz w:val="18"/>
                <w:szCs w:val="20"/>
              </w:rPr>
              <w:t>Mort-né macéré</w:t>
            </w:r>
          </w:p>
        </w:tc>
        <w:tc>
          <w:tcPr>
            <w:tcW w:w="0" w:type="auto"/>
            <w:hideMark/>
          </w:tcPr>
          <w:p w:rsidR="00D97D5C" w:rsidRPr="006D21E8" w:rsidRDefault="003F2BF9" w:rsidP="00AB47FF">
            <w:pPr>
              <w:jc w:val="both"/>
              <w:rPr>
                <w:sz w:val="18"/>
                <w:szCs w:val="20"/>
              </w:rPr>
            </w:pPr>
            <w:r w:rsidRPr="006D21E8">
              <w:rPr>
                <w:sz w:val="18"/>
                <w:szCs w:val="20"/>
              </w:rPr>
              <w:t>4</w:t>
            </w:r>
          </w:p>
        </w:tc>
        <w:tc>
          <w:tcPr>
            <w:tcW w:w="0" w:type="auto"/>
            <w:hideMark/>
          </w:tcPr>
          <w:p w:rsidR="00D97D5C" w:rsidRPr="006D21E8" w:rsidRDefault="00D97D5C" w:rsidP="00AB47FF">
            <w:pPr>
              <w:jc w:val="both"/>
              <w:rPr>
                <w:sz w:val="18"/>
                <w:szCs w:val="20"/>
              </w:rPr>
            </w:pPr>
            <w:r w:rsidRPr="006D21E8">
              <w:rPr>
                <w:sz w:val="18"/>
                <w:szCs w:val="20"/>
              </w:rPr>
              <w:t>2,3</w:t>
            </w:r>
          </w:p>
        </w:tc>
      </w:tr>
      <w:tr w:rsidR="00D97D5C" w:rsidRPr="006D21E8" w:rsidTr="001C5D6F">
        <w:trPr>
          <w:trHeight w:val="176"/>
        </w:trPr>
        <w:tc>
          <w:tcPr>
            <w:tcW w:w="0" w:type="auto"/>
            <w:hideMark/>
          </w:tcPr>
          <w:p w:rsidR="00D97D5C" w:rsidRPr="006D21E8" w:rsidRDefault="00D97D5C" w:rsidP="00AB47FF">
            <w:pPr>
              <w:jc w:val="both"/>
              <w:rPr>
                <w:sz w:val="18"/>
                <w:szCs w:val="20"/>
              </w:rPr>
            </w:pPr>
            <w:r w:rsidRPr="006D21E8">
              <w:rPr>
                <w:sz w:val="18"/>
                <w:szCs w:val="20"/>
              </w:rPr>
              <w:t>Vivants</w:t>
            </w:r>
          </w:p>
        </w:tc>
        <w:tc>
          <w:tcPr>
            <w:tcW w:w="0" w:type="auto"/>
            <w:hideMark/>
          </w:tcPr>
          <w:p w:rsidR="00D97D5C" w:rsidRPr="006D21E8" w:rsidRDefault="00D97D5C" w:rsidP="00AB47FF">
            <w:pPr>
              <w:jc w:val="both"/>
              <w:rPr>
                <w:sz w:val="18"/>
                <w:szCs w:val="20"/>
              </w:rPr>
            </w:pPr>
            <w:r w:rsidRPr="006D21E8">
              <w:rPr>
                <w:sz w:val="18"/>
                <w:szCs w:val="20"/>
              </w:rPr>
              <w:t>142</w:t>
            </w:r>
          </w:p>
        </w:tc>
        <w:tc>
          <w:tcPr>
            <w:tcW w:w="0" w:type="auto"/>
            <w:hideMark/>
          </w:tcPr>
          <w:p w:rsidR="00D97D5C" w:rsidRPr="006D21E8" w:rsidRDefault="00D97D5C" w:rsidP="00AB47FF">
            <w:pPr>
              <w:jc w:val="both"/>
              <w:rPr>
                <w:sz w:val="18"/>
                <w:szCs w:val="20"/>
              </w:rPr>
            </w:pPr>
            <w:r w:rsidRPr="006D21E8">
              <w:rPr>
                <w:sz w:val="18"/>
                <w:szCs w:val="20"/>
              </w:rPr>
              <w:t>80,7</w:t>
            </w:r>
          </w:p>
        </w:tc>
      </w:tr>
      <w:tr w:rsidR="00326CA8" w:rsidRPr="006D21E8" w:rsidTr="00656848">
        <w:trPr>
          <w:trHeight w:val="176"/>
        </w:trPr>
        <w:tc>
          <w:tcPr>
            <w:tcW w:w="0" w:type="auto"/>
            <w:gridSpan w:val="3"/>
          </w:tcPr>
          <w:p w:rsidR="00326CA8" w:rsidRPr="006D21E8" w:rsidRDefault="00326CA8" w:rsidP="00326CA8">
            <w:pPr>
              <w:jc w:val="center"/>
              <w:rPr>
                <w:sz w:val="18"/>
                <w:szCs w:val="20"/>
              </w:rPr>
            </w:pPr>
            <w:r w:rsidRPr="006D21E8">
              <w:rPr>
                <w:b/>
                <w:bCs/>
                <w:sz w:val="18"/>
                <w:szCs w:val="20"/>
              </w:rPr>
              <w:t>Pronostic maternel</w:t>
            </w:r>
          </w:p>
        </w:tc>
      </w:tr>
      <w:tr w:rsidR="00D97D5C" w:rsidRPr="006D21E8" w:rsidTr="001C5D6F">
        <w:trPr>
          <w:trHeight w:val="176"/>
        </w:trPr>
        <w:tc>
          <w:tcPr>
            <w:tcW w:w="0" w:type="auto"/>
          </w:tcPr>
          <w:p w:rsidR="00D97D5C" w:rsidRPr="006D21E8" w:rsidRDefault="00D97D5C" w:rsidP="00AB47FF">
            <w:pPr>
              <w:jc w:val="both"/>
              <w:rPr>
                <w:sz w:val="18"/>
                <w:szCs w:val="20"/>
              </w:rPr>
            </w:pPr>
            <w:r w:rsidRPr="006D21E8">
              <w:rPr>
                <w:sz w:val="18"/>
                <w:szCs w:val="20"/>
              </w:rPr>
              <w:t>Vivant</w:t>
            </w:r>
          </w:p>
        </w:tc>
        <w:tc>
          <w:tcPr>
            <w:tcW w:w="0" w:type="auto"/>
          </w:tcPr>
          <w:p w:rsidR="00D97D5C" w:rsidRPr="006D21E8" w:rsidRDefault="00D97D5C" w:rsidP="00AB47FF">
            <w:pPr>
              <w:jc w:val="both"/>
              <w:rPr>
                <w:sz w:val="18"/>
                <w:szCs w:val="20"/>
              </w:rPr>
            </w:pPr>
            <w:r w:rsidRPr="006D21E8">
              <w:rPr>
                <w:sz w:val="18"/>
                <w:szCs w:val="20"/>
              </w:rPr>
              <w:t>172</w:t>
            </w:r>
          </w:p>
        </w:tc>
        <w:tc>
          <w:tcPr>
            <w:tcW w:w="0" w:type="auto"/>
          </w:tcPr>
          <w:p w:rsidR="00D97D5C" w:rsidRPr="006D21E8" w:rsidRDefault="00D97D5C" w:rsidP="00AB47FF">
            <w:pPr>
              <w:jc w:val="both"/>
              <w:rPr>
                <w:sz w:val="18"/>
                <w:szCs w:val="20"/>
              </w:rPr>
            </w:pPr>
            <w:r w:rsidRPr="006D21E8">
              <w:rPr>
                <w:sz w:val="18"/>
                <w:szCs w:val="20"/>
              </w:rPr>
              <w:t>97,7</w:t>
            </w:r>
          </w:p>
        </w:tc>
      </w:tr>
      <w:tr w:rsidR="00D97D5C" w:rsidRPr="006D21E8" w:rsidTr="001C5D6F">
        <w:trPr>
          <w:trHeight w:val="176"/>
        </w:trPr>
        <w:tc>
          <w:tcPr>
            <w:tcW w:w="0" w:type="auto"/>
          </w:tcPr>
          <w:p w:rsidR="00D97D5C" w:rsidRPr="006D21E8" w:rsidRDefault="001A59C7" w:rsidP="00AB47FF">
            <w:pPr>
              <w:jc w:val="both"/>
              <w:rPr>
                <w:sz w:val="18"/>
                <w:szCs w:val="20"/>
              </w:rPr>
            </w:pPr>
            <w:r w:rsidRPr="006D21E8">
              <w:rPr>
                <w:sz w:val="18"/>
                <w:szCs w:val="20"/>
              </w:rPr>
              <w:t xml:space="preserve">Décédée </w:t>
            </w:r>
          </w:p>
        </w:tc>
        <w:tc>
          <w:tcPr>
            <w:tcW w:w="0" w:type="auto"/>
          </w:tcPr>
          <w:p w:rsidR="00D97D5C" w:rsidRPr="006D21E8" w:rsidRDefault="00D97D5C" w:rsidP="00AB47FF">
            <w:pPr>
              <w:jc w:val="both"/>
              <w:rPr>
                <w:sz w:val="18"/>
                <w:szCs w:val="20"/>
              </w:rPr>
            </w:pPr>
            <w:r w:rsidRPr="006D21E8">
              <w:rPr>
                <w:sz w:val="18"/>
                <w:szCs w:val="20"/>
              </w:rPr>
              <w:t>4</w:t>
            </w:r>
          </w:p>
        </w:tc>
        <w:tc>
          <w:tcPr>
            <w:tcW w:w="0" w:type="auto"/>
          </w:tcPr>
          <w:p w:rsidR="00D97D5C" w:rsidRPr="006D21E8" w:rsidRDefault="00D97D5C" w:rsidP="00AB47FF">
            <w:pPr>
              <w:jc w:val="both"/>
              <w:rPr>
                <w:sz w:val="18"/>
                <w:szCs w:val="20"/>
              </w:rPr>
            </w:pPr>
            <w:r w:rsidRPr="006D21E8">
              <w:rPr>
                <w:sz w:val="18"/>
                <w:szCs w:val="20"/>
              </w:rPr>
              <w:t>2,3</w:t>
            </w:r>
          </w:p>
        </w:tc>
      </w:tr>
    </w:tbl>
    <w:p w:rsidR="00FF2921" w:rsidRPr="00AB47FF" w:rsidRDefault="00FF2921" w:rsidP="00AB47FF">
      <w:pPr>
        <w:jc w:val="both"/>
        <w:rPr>
          <w:b/>
          <w:bCs/>
          <w:sz w:val="20"/>
          <w:szCs w:val="20"/>
        </w:rPr>
      </w:pPr>
    </w:p>
    <w:p w:rsidR="00F22DC0" w:rsidRDefault="00241188" w:rsidP="00AB47FF">
      <w:pPr>
        <w:autoSpaceDE w:val="0"/>
        <w:autoSpaceDN w:val="0"/>
        <w:adjustRightInd w:val="0"/>
        <w:jc w:val="both"/>
        <w:rPr>
          <w:color w:val="000000"/>
          <w:sz w:val="20"/>
          <w:szCs w:val="20"/>
        </w:rPr>
      </w:pPr>
      <w:r w:rsidRPr="00AB47FF">
        <w:rPr>
          <w:color w:val="000000"/>
          <w:sz w:val="20"/>
          <w:szCs w:val="20"/>
        </w:rPr>
        <w:t xml:space="preserve">Les tableau </w:t>
      </w:r>
      <w:r w:rsidR="00D72F8B">
        <w:rPr>
          <w:color w:val="000000"/>
          <w:sz w:val="20"/>
          <w:szCs w:val="20"/>
        </w:rPr>
        <w:t>5</w:t>
      </w:r>
      <w:r w:rsidRPr="00AB47FF">
        <w:rPr>
          <w:color w:val="000000"/>
          <w:sz w:val="20"/>
          <w:szCs w:val="20"/>
        </w:rPr>
        <w:t>,</w:t>
      </w:r>
      <w:r w:rsidR="00753AD3" w:rsidRPr="00AB47FF">
        <w:rPr>
          <w:color w:val="000000"/>
          <w:sz w:val="20"/>
          <w:szCs w:val="20"/>
        </w:rPr>
        <w:t xml:space="preserve"> </w:t>
      </w:r>
      <w:r w:rsidR="00D72F8B">
        <w:rPr>
          <w:color w:val="000000"/>
          <w:sz w:val="20"/>
          <w:szCs w:val="20"/>
        </w:rPr>
        <w:t>6</w:t>
      </w:r>
      <w:r w:rsidRPr="00AB47FF">
        <w:rPr>
          <w:color w:val="000000"/>
          <w:sz w:val="20"/>
          <w:szCs w:val="20"/>
        </w:rPr>
        <w:t xml:space="preserve"> et </w:t>
      </w:r>
      <w:r w:rsidR="00D72F8B">
        <w:rPr>
          <w:color w:val="000000"/>
          <w:sz w:val="20"/>
          <w:szCs w:val="20"/>
        </w:rPr>
        <w:t>7</w:t>
      </w:r>
      <w:r w:rsidRPr="00AB47FF">
        <w:rPr>
          <w:color w:val="000000"/>
          <w:sz w:val="20"/>
          <w:szCs w:val="20"/>
        </w:rPr>
        <w:t xml:space="preserve"> nous montre la recherche d’une relation statistiques entre certains variables</w:t>
      </w:r>
      <w:r w:rsidR="00EC09A1" w:rsidRPr="00AB47FF">
        <w:rPr>
          <w:color w:val="000000"/>
          <w:sz w:val="20"/>
          <w:szCs w:val="20"/>
        </w:rPr>
        <w:t xml:space="preserve"> d’études.</w:t>
      </w:r>
    </w:p>
    <w:p w:rsidR="00007121" w:rsidRDefault="00007121" w:rsidP="00AB47FF">
      <w:pPr>
        <w:autoSpaceDE w:val="0"/>
        <w:autoSpaceDN w:val="0"/>
        <w:adjustRightInd w:val="0"/>
        <w:jc w:val="both"/>
        <w:rPr>
          <w:b/>
          <w:bCs/>
          <w:color w:val="000000"/>
          <w:sz w:val="20"/>
          <w:szCs w:val="20"/>
        </w:rPr>
      </w:pPr>
    </w:p>
    <w:p w:rsidR="004D7D21" w:rsidRDefault="004D7D21" w:rsidP="00AB47FF">
      <w:pPr>
        <w:autoSpaceDE w:val="0"/>
        <w:autoSpaceDN w:val="0"/>
        <w:adjustRightInd w:val="0"/>
        <w:jc w:val="both"/>
        <w:rPr>
          <w:b/>
          <w:bCs/>
          <w:color w:val="000000"/>
          <w:sz w:val="20"/>
          <w:szCs w:val="20"/>
        </w:rPr>
      </w:pPr>
    </w:p>
    <w:p w:rsidR="00CB21E7" w:rsidRDefault="00CB21E7" w:rsidP="00AB47FF">
      <w:pPr>
        <w:autoSpaceDE w:val="0"/>
        <w:autoSpaceDN w:val="0"/>
        <w:adjustRightInd w:val="0"/>
        <w:jc w:val="both"/>
        <w:rPr>
          <w:b/>
          <w:bCs/>
          <w:color w:val="000000"/>
          <w:sz w:val="20"/>
          <w:szCs w:val="20"/>
        </w:rPr>
        <w:sectPr w:rsidR="00CB21E7" w:rsidSect="00CF032F">
          <w:type w:val="continuous"/>
          <w:pgSz w:w="11906" w:h="16838" w:code="9"/>
          <w:pgMar w:top="1134" w:right="851" w:bottom="1418" w:left="1134" w:header="708" w:footer="708" w:gutter="0"/>
          <w:cols w:num="2" w:space="708"/>
          <w:docGrid w:linePitch="360"/>
        </w:sectPr>
      </w:pPr>
    </w:p>
    <w:p w:rsidR="004D7D21" w:rsidRDefault="004D7D21" w:rsidP="00AB47FF">
      <w:pPr>
        <w:autoSpaceDE w:val="0"/>
        <w:autoSpaceDN w:val="0"/>
        <w:adjustRightInd w:val="0"/>
        <w:jc w:val="both"/>
        <w:rPr>
          <w:b/>
          <w:bCs/>
          <w:color w:val="000000"/>
          <w:sz w:val="20"/>
          <w:szCs w:val="20"/>
        </w:rPr>
      </w:pPr>
    </w:p>
    <w:p w:rsidR="00CB21E7" w:rsidRPr="00AB47FF" w:rsidRDefault="00CB21E7" w:rsidP="00AB47FF">
      <w:pPr>
        <w:autoSpaceDE w:val="0"/>
        <w:autoSpaceDN w:val="0"/>
        <w:adjustRightInd w:val="0"/>
        <w:jc w:val="both"/>
        <w:rPr>
          <w:b/>
          <w:bCs/>
          <w:color w:val="000000"/>
          <w:sz w:val="20"/>
          <w:szCs w:val="20"/>
        </w:rPr>
      </w:pPr>
    </w:p>
    <w:tbl>
      <w:tblPr>
        <w:tblStyle w:val="Grilledutableau"/>
        <w:tblW w:w="0" w:type="auto"/>
        <w:tblLook w:val="0020"/>
      </w:tblPr>
      <w:tblGrid>
        <w:gridCol w:w="2510"/>
        <w:gridCol w:w="2114"/>
        <w:gridCol w:w="1899"/>
        <w:gridCol w:w="1671"/>
        <w:gridCol w:w="960"/>
        <w:gridCol w:w="983"/>
      </w:tblGrid>
      <w:tr w:rsidR="00007121" w:rsidRPr="00007121" w:rsidTr="001C5D6F">
        <w:trPr>
          <w:trHeight w:val="394"/>
        </w:trPr>
        <w:tc>
          <w:tcPr>
            <w:tcW w:w="0" w:type="auto"/>
            <w:gridSpan w:val="6"/>
          </w:tcPr>
          <w:p w:rsidR="00007121" w:rsidRPr="00007121" w:rsidRDefault="00007121" w:rsidP="00D72F8B">
            <w:pPr>
              <w:autoSpaceDE w:val="0"/>
              <w:autoSpaceDN w:val="0"/>
              <w:adjustRightInd w:val="0"/>
              <w:jc w:val="both"/>
              <w:rPr>
                <w:b/>
                <w:color w:val="000000"/>
                <w:sz w:val="18"/>
                <w:szCs w:val="20"/>
              </w:rPr>
            </w:pPr>
            <w:r w:rsidRPr="00007121">
              <w:rPr>
                <w:b/>
                <w:bCs/>
                <w:color w:val="000000"/>
                <w:sz w:val="18"/>
                <w:szCs w:val="20"/>
              </w:rPr>
              <w:t xml:space="preserve">Tableau </w:t>
            </w:r>
            <w:r w:rsidR="00D72F8B">
              <w:rPr>
                <w:b/>
                <w:bCs/>
                <w:color w:val="000000"/>
                <w:sz w:val="18"/>
                <w:szCs w:val="20"/>
              </w:rPr>
              <w:t>5</w:t>
            </w:r>
            <w:r w:rsidRPr="00007121">
              <w:rPr>
                <w:b/>
                <w:bCs/>
                <w:color w:val="000000"/>
                <w:sz w:val="18"/>
                <w:szCs w:val="20"/>
              </w:rPr>
              <w:t xml:space="preserve"> :</w:t>
            </w:r>
            <w:r w:rsidRPr="00007121">
              <w:rPr>
                <w:color w:val="000000"/>
                <w:sz w:val="18"/>
                <w:szCs w:val="20"/>
              </w:rPr>
              <w:t xml:space="preserve"> Répartition des patientes selon la relation entre le Glasgow maternel et le score d’Apgar </w:t>
            </w:r>
            <w:r w:rsidRPr="00007121">
              <w:rPr>
                <w:sz w:val="18"/>
                <w:szCs w:val="20"/>
              </w:rPr>
              <w:t>à l’hôpital de deuxième référence de Ségou au Mali de 2010 à 2012</w:t>
            </w:r>
          </w:p>
        </w:tc>
      </w:tr>
      <w:tr w:rsidR="001C5D6F" w:rsidRPr="00007121" w:rsidTr="001C5D6F">
        <w:trPr>
          <w:trHeight w:val="58"/>
        </w:trPr>
        <w:tc>
          <w:tcPr>
            <w:tcW w:w="1078" w:type="dxa"/>
            <w:vMerge w:val="restart"/>
          </w:tcPr>
          <w:p w:rsidR="00675FCB" w:rsidRPr="00007121" w:rsidRDefault="00675FCB" w:rsidP="00AB47FF">
            <w:pPr>
              <w:autoSpaceDE w:val="0"/>
              <w:autoSpaceDN w:val="0"/>
              <w:adjustRightInd w:val="0"/>
              <w:jc w:val="both"/>
              <w:rPr>
                <w:b/>
                <w:color w:val="000000"/>
                <w:sz w:val="18"/>
                <w:szCs w:val="20"/>
              </w:rPr>
            </w:pPr>
            <w:r w:rsidRPr="00007121">
              <w:rPr>
                <w:b/>
                <w:color w:val="000000"/>
                <w:sz w:val="18"/>
                <w:szCs w:val="20"/>
              </w:rPr>
              <w:t>Score de Glasgow</w:t>
            </w:r>
          </w:p>
        </w:tc>
        <w:tc>
          <w:tcPr>
            <w:tcW w:w="3744" w:type="dxa"/>
            <w:gridSpan w:val="5"/>
          </w:tcPr>
          <w:p w:rsidR="00675FCB" w:rsidRPr="00007121" w:rsidRDefault="00675FCB" w:rsidP="006D21E8">
            <w:pPr>
              <w:autoSpaceDE w:val="0"/>
              <w:autoSpaceDN w:val="0"/>
              <w:adjustRightInd w:val="0"/>
              <w:jc w:val="center"/>
              <w:rPr>
                <w:b/>
                <w:color w:val="000000"/>
                <w:sz w:val="18"/>
                <w:szCs w:val="20"/>
              </w:rPr>
            </w:pPr>
            <w:r w:rsidRPr="00007121">
              <w:rPr>
                <w:b/>
                <w:color w:val="000000"/>
                <w:sz w:val="18"/>
                <w:szCs w:val="20"/>
              </w:rPr>
              <w:t>Score d’Apgar</w:t>
            </w:r>
          </w:p>
        </w:tc>
      </w:tr>
      <w:tr w:rsidR="001C5D6F" w:rsidRPr="00007121" w:rsidTr="001C5D6F">
        <w:trPr>
          <w:trHeight w:val="239"/>
        </w:trPr>
        <w:tc>
          <w:tcPr>
            <w:tcW w:w="1078" w:type="dxa"/>
            <w:vMerge/>
            <w:hideMark/>
          </w:tcPr>
          <w:p w:rsidR="00675FCB" w:rsidRPr="00007121" w:rsidRDefault="00675FCB" w:rsidP="00AB47FF">
            <w:pPr>
              <w:autoSpaceDE w:val="0"/>
              <w:autoSpaceDN w:val="0"/>
              <w:adjustRightInd w:val="0"/>
              <w:jc w:val="both"/>
              <w:rPr>
                <w:b/>
                <w:color w:val="000000"/>
                <w:sz w:val="18"/>
                <w:szCs w:val="20"/>
              </w:rPr>
            </w:pPr>
          </w:p>
        </w:tc>
        <w:tc>
          <w:tcPr>
            <w:tcW w:w="908" w:type="dxa"/>
            <w:hideMark/>
          </w:tcPr>
          <w:p w:rsidR="00675FCB" w:rsidRPr="00007121" w:rsidRDefault="00675FCB" w:rsidP="00AB47FF">
            <w:pPr>
              <w:autoSpaceDE w:val="0"/>
              <w:autoSpaceDN w:val="0"/>
              <w:adjustRightInd w:val="0"/>
              <w:jc w:val="both"/>
              <w:rPr>
                <w:b/>
                <w:color w:val="000000"/>
                <w:sz w:val="18"/>
                <w:szCs w:val="20"/>
              </w:rPr>
            </w:pPr>
            <w:r w:rsidRPr="00007121">
              <w:rPr>
                <w:b/>
                <w:color w:val="000000"/>
                <w:sz w:val="18"/>
                <w:szCs w:val="20"/>
              </w:rPr>
              <w:t>0</w:t>
            </w:r>
          </w:p>
        </w:tc>
        <w:tc>
          <w:tcPr>
            <w:tcW w:w="816" w:type="dxa"/>
            <w:hideMark/>
          </w:tcPr>
          <w:p w:rsidR="00675FCB" w:rsidRPr="00007121" w:rsidRDefault="00675FCB" w:rsidP="00AB47FF">
            <w:pPr>
              <w:autoSpaceDE w:val="0"/>
              <w:autoSpaceDN w:val="0"/>
              <w:adjustRightInd w:val="0"/>
              <w:jc w:val="both"/>
              <w:rPr>
                <w:b/>
                <w:color w:val="000000"/>
                <w:sz w:val="18"/>
                <w:szCs w:val="20"/>
              </w:rPr>
            </w:pPr>
            <w:r w:rsidRPr="00007121">
              <w:rPr>
                <w:b/>
                <w:color w:val="000000"/>
                <w:sz w:val="18"/>
                <w:szCs w:val="20"/>
              </w:rPr>
              <w:t>1 – 3</w:t>
            </w:r>
          </w:p>
        </w:tc>
        <w:tc>
          <w:tcPr>
            <w:tcW w:w="718" w:type="dxa"/>
            <w:hideMark/>
          </w:tcPr>
          <w:p w:rsidR="00675FCB" w:rsidRPr="00007121" w:rsidRDefault="00675FCB" w:rsidP="00AB47FF">
            <w:pPr>
              <w:autoSpaceDE w:val="0"/>
              <w:autoSpaceDN w:val="0"/>
              <w:adjustRightInd w:val="0"/>
              <w:jc w:val="both"/>
              <w:rPr>
                <w:b/>
                <w:color w:val="000000"/>
                <w:sz w:val="18"/>
                <w:szCs w:val="20"/>
              </w:rPr>
            </w:pPr>
            <w:r w:rsidRPr="00007121">
              <w:rPr>
                <w:b/>
                <w:color w:val="000000"/>
                <w:sz w:val="18"/>
                <w:szCs w:val="20"/>
              </w:rPr>
              <w:t xml:space="preserve">4 </w:t>
            </w:r>
            <w:r w:rsidR="004C7EC8" w:rsidRPr="00007121">
              <w:rPr>
                <w:b/>
                <w:color w:val="000000"/>
                <w:sz w:val="18"/>
                <w:szCs w:val="20"/>
              </w:rPr>
              <w:t>–</w:t>
            </w:r>
            <w:r w:rsidRPr="00007121">
              <w:rPr>
                <w:b/>
                <w:color w:val="000000"/>
                <w:sz w:val="18"/>
                <w:szCs w:val="20"/>
              </w:rPr>
              <w:t xml:space="preserve"> 6</w:t>
            </w:r>
          </w:p>
        </w:tc>
        <w:tc>
          <w:tcPr>
            <w:tcW w:w="0" w:type="auto"/>
            <w:hideMark/>
          </w:tcPr>
          <w:p w:rsidR="00675FCB" w:rsidRPr="00007121" w:rsidRDefault="00675FCB" w:rsidP="00AB47FF">
            <w:pPr>
              <w:autoSpaceDE w:val="0"/>
              <w:autoSpaceDN w:val="0"/>
              <w:adjustRightInd w:val="0"/>
              <w:jc w:val="both"/>
              <w:rPr>
                <w:b/>
                <w:color w:val="000000"/>
                <w:sz w:val="18"/>
                <w:szCs w:val="20"/>
              </w:rPr>
            </w:pPr>
            <w:r w:rsidRPr="00007121">
              <w:rPr>
                <w:b/>
                <w:bCs/>
                <w:sz w:val="18"/>
                <w:szCs w:val="20"/>
              </w:rPr>
              <w:t>≥ 7</w:t>
            </w:r>
          </w:p>
        </w:tc>
        <w:tc>
          <w:tcPr>
            <w:tcW w:w="0" w:type="auto"/>
            <w:hideMark/>
          </w:tcPr>
          <w:p w:rsidR="00675FCB" w:rsidRPr="00007121" w:rsidRDefault="00675FCB" w:rsidP="00AB47FF">
            <w:pPr>
              <w:autoSpaceDE w:val="0"/>
              <w:autoSpaceDN w:val="0"/>
              <w:adjustRightInd w:val="0"/>
              <w:jc w:val="both"/>
              <w:rPr>
                <w:b/>
                <w:color w:val="000000"/>
                <w:sz w:val="18"/>
                <w:szCs w:val="20"/>
              </w:rPr>
            </w:pPr>
            <w:r w:rsidRPr="00007121">
              <w:rPr>
                <w:b/>
                <w:color w:val="000000"/>
                <w:sz w:val="18"/>
                <w:szCs w:val="20"/>
              </w:rPr>
              <w:t>Total</w:t>
            </w:r>
          </w:p>
        </w:tc>
      </w:tr>
      <w:tr w:rsidR="001C5D6F" w:rsidRPr="00007121" w:rsidTr="003A4087">
        <w:trPr>
          <w:trHeight w:val="80"/>
        </w:trPr>
        <w:tc>
          <w:tcPr>
            <w:tcW w:w="1078" w:type="dxa"/>
          </w:tcPr>
          <w:p w:rsidR="000C0452" w:rsidRPr="00007121" w:rsidRDefault="000C0452" w:rsidP="006D21E8">
            <w:pPr>
              <w:autoSpaceDE w:val="0"/>
              <w:autoSpaceDN w:val="0"/>
              <w:adjustRightInd w:val="0"/>
              <w:jc w:val="both"/>
              <w:rPr>
                <w:b/>
                <w:color w:val="000000"/>
                <w:sz w:val="18"/>
                <w:szCs w:val="20"/>
              </w:rPr>
            </w:pPr>
            <w:r w:rsidRPr="00007121">
              <w:rPr>
                <w:b/>
                <w:color w:val="000000"/>
                <w:sz w:val="18"/>
                <w:szCs w:val="20"/>
              </w:rPr>
              <w:t>13 -15</w:t>
            </w:r>
          </w:p>
        </w:tc>
        <w:tc>
          <w:tcPr>
            <w:tcW w:w="908" w:type="dxa"/>
          </w:tcPr>
          <w:p w:rsidR="000C0452" w:rsidRPr="00007121" w:rsidRDefault="000C0452" w:rsidP="006D21E8">
            <w:pPr>
              <w:autoSpaceDE w:val="0"/>
              <w:autoSpaceDN w:val="0"/>
              <w:adjustRightInd w:val="0"/>
              <w:jc w:val="both"/>
              <w:rPr>
                <w:color w:val="000000"/>
                <w:sz w:val="18"/>
                <w:szCs w:val="20"/>
              </w:rPr>
            </w:pPr>
            <w:r w:rsidRPr="00007121">
              <w:rPr>
                <w:color w:val="000000"/>
                <w:sz w:val="18"/>
                <w:szCs w:val="20"/>
              </w:rPr>
              <w:t>2</w:t>
            </w:r>
            <w:r w:rsidR="00675FCB" w:rsidRPr="00007121">
              <w:rPr>
                <w:color w:val="000000"/>
                <w:sz w:val="18"/>
                <w:szCs w:val="20"/>
              </w:rPr>
              <w:t xml:space="preserve"> </w:t>
            </w:r>
            <w:r w:rsidRPr="00007121">
              <w:rPr>
                <w:color w:val="000000"/>
                <w:sz w:val="18"/>
                <w:szCs w:val="20"/>
              </w:rPr>
              <w:t>(11,1)</w:t>
            </w:r>
          </w:p>
        </w:tc>
        <w:tc>
          <w:tcPr>
            <w:tcW w:w="816" w:type="dxa"/>
          </w:tcPr>
          <w:p w:rsidR="000C0452" w:rsidRPr="00007121" w:rsidRDefault="000C0452" w:rsidP="006D21E8">
            <w:pPr>
              <w:autoSpaceDE w:val="0"/>
              <w:autoSpaceDN w:val="0"/>
              <w:adjustRightInd w:val="0"/>
              <w:jc w:val="both"/>
              <w:rPr>
                <w:color w:val="000000"/>
                <w:sz w:val="18"/>
                <w:szCs w:val="20"/>
              </w:rPr>
            </w:pPr>
            <w:r w:rsidRPr="00007121">
              <w:rPr>
                <w:color w:val="000000"/>
                <w:sz w:val="18"/>
                <w:szCs w:val="20"/>
              </w:rPr>
              <w:t>0</w:t>
            </w:r>
            <w:r w:rsidR="00675FCB" w:rsidRPr="00007121">
              <w:rPr>
                <w:color w:val="000000"/>
                <w:sz w:val="18"/>
                <w:szCs w:val="20"/>
              </w:rPr>
              <w:t xml:space="preserve"> </w:t>
            </w:r>
            <w:r w:rsidRPr="00007121">
              <w:rPr>
                <w:color w:val="000000"/>
                <w:sz w:val="18"/>
                <w:szCs w:val="20"/>
              </w:rPr>
              <w:t>(0)</w:t>
            </w:r>
          </w:p>
        </w:tc>
        <w:tc>
          <w:tcPr>
            <w:tcW w:w="718" w:type="dxa"/>
          </w:tcPr>
          <w:p w:rsidR="000C0452" w:rsidRPr="00007121" w:rsidRDefault="000C0452" w:rsidP="006D21E8">
            <w:pPr>
              <w:autoSpaceDE w:val="0"/>
              <w:autoSpaceDN w:val="0"/>
              <w:adjustRightInd w:val="0"/>
              <w:jc w:val="both"/>
              <w:rPr>
                <w:color w:val="000000"/>
                <w:sz w:val="18"/>
                <w:szCs w:val="20"/>
              </w:rPr>
            </w:pPr>
            <w:r w:rsidRPr="00007121">
              <w:rPr>
                <w:color w:val="000000"/>
                <w:sz w:val="18"/>
                <w:szCs w:val="20"/>
              </w:rPr>
              <w:t>2</w:t>
            </w:r>
            <w:r w:rsidR="00675FCB" w:rsidRPr="00007121">
              <w:rPr>
                <w:color w:val="000000"/>
                <w:sz w:val="18"/>
                <w:szCs w:val="20"/>
              </w:rPr>
              <w:t xml:space="preserve"> </w:t>
            </w:r>
            <w:r w:rsidRPr="00007121">
              <w:rPr>
                <w:color w:val="000000"/>
                <w:sz w:val="18"/>
                <w:szCs w:val="20"/>
              </w:rPr>
              <w:t>(16,6)</w:t>
            </w:r>
          </w:p>
        </w:tc>
        <w:tc>
          <w:tcPr>
            <w:tcW w:w="0" w:type="auto"/>
          </w:tcPr>
          <w:p w:rsidR="000C0452" w:rsidRPr="00007121" w:rsidRDefault="000C0452" w:rsidP="006D21E8">
            <w:pPr>
              <w:autoSpaceDE w:val="0"/>
              <w:autoSpaceDN w:val="0"/>
              <w:adjustRightInd w:val="0"/>
              <w:jc w:val="both"/>
              <w:rPr>
                <w:color w:val="000000"/>
                <w:sz w:val="18"/>
                <w:szCs w:val="20"/>
              </w:rPr>
            </w:pPr>
            <w:r w:rsidRPr="00007121">
              <w:rPr>
                <w:color w:val="000000"/>
                <w:sz w:val="18"/>
                <w:szCs w:val="20"/>
              </w:rPr>
              <w:t>8</w:t>
            </w:r>
            <w:r w:rsidR="00675FCB" w:rsidRPr="00007121">
              <w:rPr>
                <w:color w:val="000000"/>
                <w:sz w:val="18"/>
                <w:szCs w:val="20"/>
              </w:rPr>
              <w:t xml:space="preserve"> </w:t>
            </w:r>
            <w:r w:rsidRPr="00007121">
              <w:rPr>
                <w:color w:val="000000"/>
                <w:sz w:val="18"/>
                <w:szCs w:val="20"/>
              </w:rPr>
              <w:t>(8,3)</w:t>
            </w:r>
          </w:p>
        </w:tc>
        <w:tc>
          <w:tcPr>
            <w:tcW w:w="0" w:type="auto"/>
          </w:tcPr>
          <w:p w:rsidR="000C0452" w:rsidRPr="00007121" w:rsidRDefault="000C0452" w:rsidP="006D21E8">
            <w:pPr>
              <w:autoSpaceDE w:val="0"/>
              <w:autoSpaceDN w:val="0"/>
              <w:adjustRightInd w:val="0"/>
              <w:jc w:val="both"/>
              <w:rPr>
                <w:color w:val="000000"/>
                <w:sz w:val="18"/>
                <w:szCs w:val="20"/>
              </w:rPr>
            </w:pPr>
            <w:r w:rsidRPr="00007121">
              <w:rPr>
                <w:color w:val="000000"/>
                <w:sz w:val="18"/>
                <w:szCs w:val="20"/>
              </w:rPr>
              <w:t>12</w:t>
            </w:r>
            <w:r w:rsidR="00675FCB" w:rsidRPr="00007121">
              <w:rPr>
                <w:color w:val="000000"/>
                <w:sz w:val="18"/>
                <w:szCs w:val="20"/>
              </w:rPr>
              <w:t xml:space="preserve"> </w:t>
            </w:r>
            <w:r w:rsidRPr="00007121">
              <w:rPr>
                <w:color w:val="000000"/>
                <w:sz w:val="18"/>
                <w:szCs w:val="20"/>
              </w:rPr>
              <w:t>(9,1)</w:t>
            </w:r>
          </w:p>
        </w:tc>
      </w:tr>
      <w:tr w:rsidR="001C5D6F" w:rsidRPr="00007121" w:rsidTr="001C5D6F">
        <w:trPr>
          <w:trHeight w:val="239"/>
        </w:trPr>
        <w:tc>
          <w:tcPr>
            <w:tcW w:w="1078" w:type="dxa"/>
            <w:hideMark/>
          </w:tcPr>
          <w:p w:rsidR="006D21E8" w:rsidRPr="00007121" w:rsidRDefault="006D21E8" w:rsidP="006D21E8">
            <w:pPr>
              <w:autoSpaceDE w:val="0"/>
              <w:autoSpaceDN w:val="0"/>
              <w:adjustRightInd w:val="0"/>
              <w:jc w:val="both"/>
              <w:rPr>
                <w:b/>
                <w:color w:val="000000"/>
                <w:sz w:val="18"/>
                <w:szCs w:val="20"/>
              </w:rPr>
            </w:pPr>
            <w:r w:rsidRPr="00007121">
              <w:rPr>
                <w:b/>
                <w:color w:val="000000"/>
                <w:sz w:val="18"/>
                <w:szCs w:val="20"/>
              </w:rPr>
              <w:t>9 - 12</w:t>
            </w:r>
          </w:p>
        </w:tc>
        <w:tc>
          <w:tcPr>
            <w:tcW w:w="908" w:type="dxa"/>
            <w:hideMark/>
          </w:tcPr>
          <w:p w:rsidR="006D21E8" w:rsidRPr="00007121" w:rsidRDefault="006D21E8" w:rsidP="006D21E8">
            <w:pPr>
              <w:autoSpaceDE w:val="0"/>
              <w:autoSpaceDN w:val="0"/>
              <w:adjustRightInd w:val="0"/>
              <w:jc w:val="both"/>
              <w:rPr>
                <w:color w:val="000000"/>
                <w:sz w:val="18"/>
                <w:szCs w:val="20"/>
              </w:rPr>
            </w:pPr>
            <w:r w:rsidRPr="00007121">
              <w:rPr>
                <w:color w:val="000000"/>
                <w:sz w:val="18"/>
                <w:szCs w:val="20"/>
              </w:rPr>
              <w:t>13 (72,2)</w:t>
            </w:r>
          </w:p>
        </w:tc>
        <w:tc>
          <w:tcPr>
            <w:tcW w:w="816" w:type="dxa"/>
            <w:hideMark/>
          </w:tcPr>
          <w:p w:rsidR="006D21E8" w:rsidRPr="00007121" w:rsidRDefault="006D21E8" w:rsidP="006D21E8">
            <w:pPr>
              <w:autoSpaceDE w:val="0"/>
              <w:autoSpaceDN w:val="0"/>
              <w:adjustRightInd w:val="0"/>
              <w:jc w:val="both"/>
              <w:rPr>
                <w:color w:val="000000"/>
                <w:sz w:val="18"/>
                <w:szCs w:val="20"/>
              </w:rPr>
            </w:pPr>
            <w:r w:rsidRPr="00007121">
              <w:rPr>
                <w:color w:val="000000"/>
                <w:sz w:val="18"/>
                <w:szCs w:val="20"/>
              </w:rPr>
              <w:t>6 (100)</w:t>
            </w:r>
          </w:p>
        </w:tc>
        <w:tc>
          <w:tcPr>
            <w:tcW w:w="718" w:type="dxa"/>
            <w:hideMark/>
          </w:tcPr>
          <w:p w:rsidR="006D21E8" w:rsidRPr="00007121" w:rsidRDefault="006D21E8" w:rsidP="006D21E8">
            <w:pPr>
              <w:autoSpaceDE w:val="0"/>
              <w:autoSpaceDN w:val="0"/>
              <w:adjustRightInd w:val="0"/>
              <w:jc w:val="both"/>
              <w:rPr>
                <w:color w:val="000000"/>
                <w:sz w:val="18"/>
                <w:szCs w:val="20"/>
              </w:rPr>
            </w:pPr>
            <w:r w:rsidRPr="00007121">
              <w:rPr>
                <w:color w:val="000000"/>
                <w:sz w:val="18"/>
                <w:szCs w:val="20"/>
              </w:rPr>
              <w:t>5 (41,7)</w:t>
            </w:r>
          </w:p>
        </w:tc>
        <w:tc>
          <w:tcPr>
            <w:tcW w:w="0" w:type="auto"/>
            <w:hideMark/>
          </w:tcPr>
          <w:p w:rsidR="006D21E8" w:rsidRPr="00007121" w:rsidRDefault="006D21E8" w:rsidP="006D21E8">
            <w:pPr>
              <w:autoSpaceDE w:val="0"/>
              <w:autoSpaceDN w:val="0"/>
              <w:adjustRightInd w:val="0"/>
              <w:jc w:val="both"/>
              <w:rPr>
                <w:color w:val="000000"/>
                <w:sz w:val="18"/>
                <w:szCs w:val="20"/>
              </w:rPr>
            </w:pPr>
            <w:r w:rsidRPr="00007121">
              <w:rPr>
                <w:color w:val="000000"/>
                <w:sz w:val="18"/>
                <w:szCs w:val="20"/>
              </w:rPr>
              <w:t>73 (76)</w:t>
            </w:r>
          </w:p>
        </w:tc>
        <w:tc>
          <w:tcPr>
            <w:tcW w:w="0" w:type="auto"/>
            <w:hideMark/>
          </w:tcPr>
          <w:p w:rsidR="006D21E8" w:rsidRPr="00007121" w:rsidRDefault="006D21E8" w:rsidP="006D21E8">
            <w:pPr>
              <w:autoSpaceDE w:val="0"/>
              <w:autoSpaceDN w:val="0"/>
              <w:adjustRightInd w:val="0"/>
              <w:jc w:val="both"/>
              <w:rPr>
                <w:color w:val="000000"/>
                <w:sz w:val="18"/>
                <w:szCs w:val="20"/>
              </w:rPr>
            </w:pPr>
            <w:r w:rsidRPr="00007121">
              <w:rPr>
                <w:color w:val="000000"/>
                <w:sz w:val="18"/>
                <w:szCs w:val="20"/>
              </w:rPr>
              <w:t>97 (73,5)</w:t>
            </w:r>
          </w:p>
        </w:tc>
      </w:tr>
      <w:tr w:rsidR="001C5D6F" w:rsidRPr="00007121" w:rsidTr="001C5D6F">
        <w:trPr>
          <w:trHeight w:val="239"/>
        </w:trPr>
        <w:tc>
          <w:tcPr>
            <w:tcW w:w="1078" w:type="dxa"/>
            <w:hideMark/>
          </w:tcPr>
          <w:p w:rsidR="006D21E8" w:rsidRPr="00007121" w:rsidRDefault="006D21E8" w:rsidP="00656848">
            <w:pPr>
              <w:autoSpaceDE w:val="0"/>
              <w:autoSpaceDN w:val="0"/>
              <w:adjustRightInd w:val="0"/>
              <w:jc w:val="both"/>
              <w:rPr>
                <w:b/>
                <w:color w:val="000000"/>
                <w:sz w:val="18"/>
                <w:szCs w:val="20"/>
              </w:rPr>
            </w:pPr>
            <w:r w:rsidRPr="00007121">
              <w:rPr>
                <w:b/>
                <w:color w:val="000000"/>
                <w:sz w:val="18"/>
                <w:szCs w:val="20"/>
              </w:rPr>
              <w:t>3 – 8</w:t>
            </w:r>
          </w:p>
        </w:tc>
        <w:tc>
          <w:tcPr>
            <w:tcW w:w="908" w:type="dxa"/>
            <w:hideMark/>
          </w:tcPr>
          <w:p w:rsidR="006D21E8" w:rsidRPr="00007121" w:rsidRDefault="006D21E8" w:rsidP="00656848">
            <w:pPr>
              <w:autoSpaceDE w:val="0"/>
              <w:autoSpaceDN w:val="0"/>
              <w:adjustRightInd w:val="0"/>
              <w:jc w:val="both"/>
              <w:rPr>
                <w:color w:val="000000"/>
                <w:sz w:val="18"/>
                <w:szCs w:val="20"/>
              </w:rPr>
            </w:pPr>
            <w:r w:rsidRPr="00007121">
              <w:rPr>
                <w:color w:val="000000"/>
                <w:sz w:val="18"/>
                <w:szCs w:val="20"/>
              </w:rPr>
              <w:t>3(16,7)</w:t>
            </w:r>
          </w:p>
        </w:tc>
        <w:tc>
          <w:tcPr>
            <w:tcW w:w="816" w:type="dxa"/>
            <w:hideMark/>
          </w:tcPr>
          <w:p w:rsidR="006D21E8" w:rsidRPr="00007121" w:rsidRDefault="006D21E8" w:rsidP="00656848">
            <w:pPr>
              <w:autoSpaceDE w:val="0"/>
              <w:autoSpaceDN w:val="0"/>
              <w:adjustRightInd w:val="0"/>
              <w:jc w:val="both"/>
              <w:rPr>
                <w:color w:val="000000"/>
                <w:sz w:val="18"/>
                <w:szCs w:val="20"/>
              </w:rPr>
            </w:pPr>
            <w:r w:rsidRPr="00007121">
              <w:rPr>
                <w:color w:val="000000"/>
                <w:sz w:val="18"/>
                <w:szCs w:val="20"/>
              </w:rPr>
              <w:t>0 (0)</w:t>
            </w:r>
          </w:p>
        </w:tc>
        <w:tc>
          <w:tcPr>
            <w:tcW w:w="718" w:type="dxa"/>
            <w:hideMark/>
          </w:tcPr>
          <w:p w:rsidR="006D21E8" w:rsidRPr="00007121" w:rsidRDefault="006D21E8" w:rsidP="00656848">
            <w:pPr>
              <w:autoSpaceDE w:val="0"/>
              <w:autoSpaceDN w:val="0"/>
              <w:adjustRightInd w:val="0"/>
              <w:jc w:val="both"/>
              <w:rPr>
                <w:color w:val="000000"/>
                <w:sz w:val="18"/>
                <w:szCs w:val="20"/>
              </w:rPr>
            </w:pPr>
            <w:r w:rsidRPr="00007121">
              <w:rPr>
                <w:color w:val="000000"/>
                <w:sz w:val="18"/>
                <w:szCs w:val="20"/>
              </w:rPr>
              <w:t>5 (41,7)</w:t>
            </w:r>
          </w:p>
        </w:tc>
        <w:tc>
          <w:tcPr>
            <w:tcW w:w="0" w:type="auto"/>
            <w:hideMark/>
          </w:tcPr>
          <w:p w:rsidR="006D21E8" w:rsidRPr="00007121" w:rsidRDefault="006D21E8" w:rsidP="00656848">
            <w:pPr>
              <w:autoSpaceDE w:val="0"/>
              <w:autoSpaceDN w:val="0"/>
              <w:adjustRightInd w:val="0"/>
              <w:jc w:val="both"/>
              <w:rPr>
                <w:color w:val="000000"/>
                <w:sz w:val="18"/>
                <w:szCs w:val="20"/>
              </w:rPr>
            </w:pPr>
            <w:r w:rsidRPr="00007121">
              <w:rPr>
                <w:color w:val="000000"/>
                <w:sz w:val="18"/>
                <w:szCs w:val="20"/>
              </w:rPr>
              <w:t>15 (15,7)</w:t>
            </w:r>
          </w:p>
        </w:tc>
        <w:tc>
          <w:tcPr>
            <w:tcW w:w="0" w:type="auto"/>
            <w:hideMark/>
          </w:tcPr>
          <w:p w:rsidR="006D21E8" w:rsidRPr="00007121" w:rsidRDefault="006D21E8" w:rsidP="00656848">
            <w:pPr>
              <w:autoSpaceDE w:val="0"/>
              <w:autoSpaceDN w:val="0"/>
              <w:adjustRightInd w:val="0"/>
              <w:jc w:val="both"/>
              <w:rPr>
                <w:color w:val="000000"/>
                <w:sz w:val="18"/>
                <w:szCs w:val="20"/>
              </w:rPr>
            </w:pPr>
            <w:r w:rsidRPr="00007121">
              <w:rPr>
                <w:color w:val="000000"/>
                <w:sz w:val="18"/>
                <w:szCs w:val="20"/>
              </w:rPr>
              <w:t>23 (17,4)</w:t>
            </w:r>
          </w:p>
        </w:tc>
      </w:tr>
      <w:tr w:rsidR="001C5D6F" w:rsidRPr="00007121" w:rsidTr="001C5D6F">
        <w:trPr>
          <w:trHeight w:val="239"/>
        </w:trPr>
        <w:tc>
          <w:tcPr>
            <w:tcW w:w="1078" w:type="dxa"/>
            <w:hideMark/>
          </w:tcPr>
          <w:p w:rsidR="000C0452" w:rsidRPr="00007121" w:rsidRDefault="000C0452" w:rsidP="00AB47FF">
            <w:pPr>
              <w:autoSpaceDE w:val="0"/>
              <w:autoSpaceDN w:val="0"/>
              <w:adjustRightInd w:val="0"/>
              <w:jc w:val="both"/>
              <w:rPr>
                <w:b/>
                <w:color w:val="000000"/>
                <w:sz w:val="18"/>
                <w:szCs w:val="20"/>
              </w:rPr>
            </w:pPr>
            <w:r w:rsidRPr="00007121">
              <w:rPr>
                <w:b/>
                <w:color w:val="000000"/>
                <w:sz w:val="18"/>
                <w:szCs w:val="20"/>
              </w:rPr>
              <w:t>Total</w:t>
            </w:r>
          </w:p>
        </w:tc>
        <w:tc>
          <w:tcPr>
            <w:tcW w:w="908" w:type="dxa"/>
            <w:hideMark/>
          </w:tcPr>
          <w:p w:rsidR="000C0452" w:rsidRPr="00007121" w:rsidRDefault="000C0452" w:rsidP="00AB47FF">
            <w:pPr>
              <w:autoSpaceDE w:val="0"/>
              <w:autoSpaceDN w:val="0"/>
              <w:adjustRightInd w:val="0"/>
              <w:jc w:val="both"/>
              <w:rPr>
                <w:color w:val="000000"/>
                <w:sz w:val="18"/>
                <w:szCs w:val="20"/>
              </w:rPr>
            </w:pPr>
            <w:r w:rsidRPr="00007121">
              <w:rPr>
                <w:color w:val="000000"/>
                <w:sz w:val="18"/>
                <w:szCs w:val="20"/>
              </w:rPr>
              <w:t>18</w:t>
            </w:r>
            <w:r w:rsidR="00675FCB" w:rsidRPr="00007121">
              <w:rPr>
                <w:color w:val="000000"/>
                <w:sz w:val="18"/>
                <w:szCs w:val="20"/>
              </w:rPr>
              <w:t xml:space="preserve"> </w:t>
            </w:r>
            <w:r w:rsidRPr="00007121">
              <w:rPr>
                <w:color w:val="000000"/>
                <w:sz w:val="18"/>
                <w:szCs w:val="20"/>
              </w:rPr>
              <w:t>(100)</w:t>
            </w:r>
          </w:p>
        </w:tc>
        <w:tc>
          <w:tcPr>
            <w:tcW w:w="816" w:type="dxa"/>
            <w:hideMark/>
          </w:tcPr>
          <w:p w:rsidR="000C0452" w:rsidRPr="00007121" w:rsidRDefault="000C0452" w:rsidP="00AB47FF">
            <w:pPr>
              <w:autoSpaceDE w:val="0"/>
              <w:autoSpaceDN w:val="0"/>
              <w:adjustRightInd w:val="0"/>
              <w:jc w:val="both"/>
              <w:rPr>
                <w:color w:val="000000"/>
                <w:sz w:val="18"/>
                <w:szCs w:val="20"/>
              </w:rPr>
            </w:pPr>
            <w:r w:rsidRPr="00007121">
              <w:rPr>
                <w:color w:val="000000"/>
                <w:sz w:val="18"/>
                <w:szCs w:val="20"/>
              </w:rPr>
              <w:t>6</w:t>
            </w:r>
            <w:r w:rsidR="00675FCB" w:rsidRPr="00007121">
              <w:rPr>
                <w:color w:val="000000"/>
                <w:sz w:val="18"/>
                <w:szCs w:val="20"/>
              </w:rPr>
              <w:t xml:space="preserve"> </w:t>
            </w:r>
            <w:r w:rsidRPr="00007121">
              <w:rPr>
                <w:color w:val="000000"/>
                <w:sz w:val="18"/>
                <w:szCs w:val="20"/>
              </w:rPr>
              <w:t>(100)</w:t>
            </w:r>
          </w:p>
        </w:tc>
        <w:tc>
          <w:tcPr>
            <w:tcW w:w="718" w:type="dxa"/>
            <w:hideMark/>
          </w:tcPr>
          <w:p w:rsidR="000C0452" w:rsidRPr="00007121" w:rsidRDefault="000C0452" w:rsidP="00AB47FF">
            <w:pPr>
              <w:autoSpaceDE w:val="0"/>
              <w:autoSpaceDN w:val="0"/>
              <w:adjustRightInd w:val="0"/>
              <w:jc w:val="both"/>
              <w:rPr>
                <w:color w:val="000000"/>
                <w:sz w:val="18"/>
                <w:szCs w:val="20"/>
              </w:rPr>
            </w:pPr>
            <w:r w:rsidRPr="00007121">
              <w:rPr>
                <w:color w:val="000000"/>
                <w:sz w:val="18"/>
                <w:szCs w:val="20"/>
              </w:rPr>
              <w:t>12</w:t>
            </w:r>
            <w:r w:rsidR="00675FCB" w:rsidRPr="00007121">
              <w:rPr>
                <w:color w:val="000000"/>
                <w:sz w:val="18"/>
                <w:szCs w:val="20"/>
              </w:rPr>
              <w:t xml:space="preserve"> </w:t>
            </w:r>
            <w:r w:rsidRPr="00007121">
              <w:rPr>
                <w:color w:val="000000"/>
                <w:sz w:val="18"/>
                <w:szCs w:val="20"/>
              </w:rPr>
              <w:t>(100)</w:t>
            </w:r>
          </w:p>
        </w:tc>
        <w:tc>
          <w:tcPr>
            <w:tcW w:w="0" w:type="auto"/>
            <w:hideMark/>
          </w:tcPr>
          <w:p w:rsidR="000C0452" w:rsidRPr="00007121" w:rsidRDefault="000C0452" w:rsidP="00AB47FF">
            <w:pPr>
              <w:autoSpaceDE w:val="0"/>
              <w:autoSpaceDN w:val="0"/>
              <w:adjustRightInd w:val="0"/>
              <w:jc w:val="both"/>
              <w:rPr>
                <w:color w:val="000000"/>
                <w:sz w:val="18"/>
                <w:szCs w:val="20"/>
              </w:rPr>
            </w:pPr>
            <w:r w:rsidRPr="00007121">
              <w:rPr>
                <w:color w:val="000000"/>
                <w:sz w:val="18"/>
                <w:szCs w:val="20"/>
              </w:rPr>
              <w:t>96</w:t>
            </w:r>
            <w:r w:rsidR="00675FCB" w:rsidRPr="00007121">
              <w:rPr>
                <w:color w:val="000000"/>
                <w:sz w:val="18"/>
                <w:szCs w:val="20"/>
              </w:rPr>
              <w:t xml:space="preserve"> </w:t>
            </w:r>
            <w:r w:rsidRPr="00007121">
              <w:rPr>
                <w:color w:val="000000"/>
                <w:sz w:val="18"/>
                <w:szCs w:val="20"/>
              </w:rPr>
              <w:t>(100)</w:t>
            </w:r>
          </w:p>
        </w:tc>
        <w:tc>
          <w:tcPr>
            <w:tcW w:w="0" w:type="auto"/>
            <w:hideMark/>
          </w:tcPr>
          <w:p w:rsidR="000C0452" w:rsidRPr="00007121" w:rsidRDefault="000C0452" w:rsidP="00AB47FF">
            <w:pPr>
              <w:autoSpaceDE w:val="0"/>
              <w:autoSpaceDN w:val="0"/>
              <w:adjustRightInd w:val="0"/>
              <w:jc w:val="both"/>
              <w:rPr>
                <w:color w:val="000000"/>
                <w:sz w:val="18"/>
                <w:szCs w:val="20"/>
              </w:rPr>
            </w:pPr>
            <w:r w:rsidRPr="00007121">
              <w:rPr>
                <w:color w:val="000000"/>
                <w:sz w:val="18"/>
                <w:szCs w:val="20"/>
              </w:rPr>
              <w:t>132</w:t>
            </w:r>
            <w:r w:rsidR="00675FCB" w:rsidRPr="00007121">
              <w:rPr>
                <w:color w:val="000000"/>
                <w:sz w:val="18"/>
                <w:szCs w:val="20"/>
              </w:rPr>
              <w:t xml:space="preserve"> </w:t>
            </w:r>
            <w:r w:rsidRPr="00007121">
              <w:rPr>
                <w:color w:val="000000"/>
                <w:sz w:val="18"/>
                <w:szCs w:val="20"/>
              </w:rPr>
              <w:t>(100)</w:t>
            </w:r>
          </w:p>
        </w:tc>
      </w:tr>
      <w:tr w:rsidR="00007121" w:rsidRPr="006D21E8" w:rsidTr="001C5D6F">
        <w:trPr>
          <w:trHeight w:val="239"/>
        </w:trPr>
        <w:tc>
          <w:tcPr>
            <w:tcW w:w="0" w:type="auto"/>
            <w:gridSpan w:val="6"/>
            <w:hideMark/>
          </w:tcPr>
          <w:p w:rsidR="00007121" w:rsidRPr="006D21E8" w:rsidRDefault="00007121" w:rsidP="00007121">
            <w:pPr>
              <w:autoSpaceDE w:val="0"/>
              <w:autoSpaceDN w:val="0"/>
              <w:adjustRightInd w:val="0"/>
              <w:rPr>
                <w:sz w:val="16"/>
                <w:szCs w:val="18"/>
              </w:rPr>
            </w:pPr>
            <w:r w:rsidRPr="006D21E8">
              <w:rPr>
                <w:sz w:val="16"/>
                <w:szCs w:val="18"/>
              </w:rPr>
              <w:t>Khi2 = 9,0382 ; ddl = 6 et  p = 0,1714</w:t>
            </w:r>
          </w:p>
        </w:tc>
      </w:tr>
    </w:tbl>
    <w:p w:rsidR="00007121" w:rsidRDefault="00007121" w:rsidP="00AB47FF">
      <w:pPr>
        <w:autoSpaceDE w:val="0"/>
        <w:autoSpaceDN w:val="0"/>
        <w:adjustRightInd w:val="0"/>
        <w:jc w:val="center"/>
        <w:rPr>
          <w:b/>
          <w:sz w:val="20"/>
          <w:szCs w:val="20"/>
        </w:rPr>
      </w:pPr>
    </w:p>
    <w:p w:rsidR="00007121" w:rsidRPr="00AB47FF" w:rsidRDefault="00007121" w:rsidP="00AB47FF">
      <w:pPr>
        <w:autoSpaceDE w:val="0"/>
        <w:autoSpaceDN w:val="0"/>
        <w:adjustRightInd w:val="0"/>
        <w:jc w:val="center"/>
        <w:rPr>
          <w:b/>
          <w:sz w:val="20"/>
          <w:szCs w:val="20"/>
        </w:rPr>
      </w:pPr>
    </w:p>
    <w:tbl>
      <w:tblPr>
        <w:tblStyle w:val="Grilledutableau"/>
        <w:tblW w:w="0" w:type="auto"/>
        <w:tblLook w:val="0020"/>
      </w:tblPr>
      <w:tblGrid>
        <w:gridCol w:w="2369"/>
        <w:gridCol w:w="1302"/>
        <w:gridCol w:w="1801"/>
        <w:gridCol w:w="1991"/>
        <w:gridCol w:w="1337"/>
        <w:gridCol w:w="1337"/>
      </w:tblGrid>
      <w:tr w:rsidR="00007121" w:rsidRPr="00007121" w:rsidTr="001C5D6F">
        <w:trPr>
          <w:trHeight w:val="277"/>
        </w:trPr>
        <w:tc>
          <w:tcPr>
            <w:tcW w:w="0" w:type="auto"/>
            <w:gridSpan w:val="6"/>
          </w:tcPr>
          <w:p w:rsidR="00007121" w:rsidRPr="00007121" w:rsidRDefault="00007121" w:rsidP="00D72F8B">
            <w:pPr>
              <w:autoSpaceDE w:val="0"/>
              <w:autoSpaceDN w:val="0"/>
              <w:adjustRightInd w:val="0"/>
              <w:jc w:val="both"/>
              <w:rPr>
                <w:sz w:val="18"/>
                <w:szCs w:val="20"/>
              </w:rPr>
            </w:pPr>
            <w:r w:rsidRPr="00007121">
              <w:rPr>
                <w:b/>
                <w:bCs/>
                <w:color w:val="000000"/>
                <w:sz w:val="18"/>
                <w:szCs w:val="20"/>
              </w:rPr>
              <w:t>Tableau </w:t>
            </w:r>
            <w:r w:rsidR="00D72F8B">
              <w:rPr>
                <w:b/>
                <w:bCs/>
                <w:color w:val="000000"/>
                <w:sz w:val="18"/>
                <w:szCs w:val="20"/>
              </w:rPr>
              <w:t>6</w:t>
            </w:r>
            <w:r w:rsidRPr="00007121">
              <w:rPr>
                <w:b/>
                <w:bCs/>
                <w:color w:val="000000"/>
                <w:sz w:val="18"/>
                <w:szCs w:val="20"/>
              </w:rPr>
              <w:t xml:space="preserve"> :</w:t>
            </w:r>
            <w:r w:rsidRPr="00007121">
              <w:rPr>
                <w:color w:val="000000"/>
                <w:sz w:val="18"/>
                <w:szCs w:val="20"/>
              </w:rPr>
              <w:t xml:space="preserve"> Répartition des patientes selon la relation entre la </w:t>
            </w:r>
            <w:r w:rsidRPr="00007121">
              <w:rPr>
                <w:bCs/>
                <w:color w:val="000000"/>
                <w:sz w:val="18"/>
                <w:szCs w:val="20"/>
              </w:rPr>
              <w:t>période de survenue de la crise et le pronostic fœtal </w:t>
            </w:r>
            <w:r w:rsidRPr="00007121">
              <w:rPr>
                <w:sz w:val="18"/>
                <w:szCs w:val="20"/>
              </w:rPr>
              <w:t>à l’hôpital de deuxième référence de Ségou au Mali de 2010 à 2012.</w:t>
            </w:r>
          </w:p>
        </w:tc>
      </w:tr>
      <w:tr w:rsidR="00F244A2" w:rsidRPr="00007121" w:rsidTr="001C5D6F">
        <w:trPr>
          <w:trHeight w:val="277"/>
        </w:trPr>
        <w:tc>
          <w:tcPr>
            <w:tcW w:w="0" w:type="auto"/>
            <w:vMerge w:val="restart"/>
          </w:tcPr>
          <w:p w:rsidR="00F244A2" w:rsidRPr="00007121" w:rsidRDefault="00F244A2" w:rsidP="00AB47FF">
            <w:pPr>
              <w:autoSpaceDE w:val="0"/>
              <w:autoSpaceDN w:val="0"/>
              <w:adjustRightInd w:val="0"/>
              <w:jc w:val="both"/>
              <w:rPr>
                <w:b/>
                <w:color w:val="000000"/>
                <w:sz w:val="18"/>
                <w:szCs w:val="20"/>
              </w:rPr>
            </w:pPr>
            <w:r w:rsidRPr="00007121">
              <w:rPr>
                <w:b/>
                <w:color w:val="000000"/>
                <w:sz w:val="18"/>
                <w:szCs w:val="20"/>
              </w:rPr>
              <w:t xml:space="preserve">Survenue de la crise </w:t>
            </w:r>
          </w:p>
        </w:tc>
        <w:tc>
          <w:tcPr>
            <w:tcW w:w="0" w:type="auto"/>
            <w:gridSpan w:val="5"/>
          </w:tcPr>
          <w:p w:rsidR="00F244A2" w:rsidRPr="00007121" w:rsidRDefault="00F244A2" w:rsidP="00AB47FF">
            <w:pPr>
              <w:autoSpaceDE w:val="0"/>
              <w:autoSpaceDN w:val="0"/>
              <w:adjustRightInd w:val="0"/>
              <w:jc w:val="both"/>
              <w:rPr>
                <w:b/>
                <w:color w:val="000000"/>
                <w:sz w:val="18"/>
                <w:szCs w:val="20"/>
              </w:rPr>
            </w:pPr>
            <w:r w:rsidRPr="00007121">
              <w:rPr>
                <w:b/>
                <w:color w:val="000000"/>
                <w:sz w:val="18"/>
                <w:szCs w:val="20"/>
              </w:rPr>
              <w:t>Pronostic vital Nouveau-né</w:t>
            </w:r>
          </w:p>
        </w:tc>
      </w:tr>
      <w:tr w:rsidR="001C5D6F" w:rsidRPr="00007121" w:rsidTr="004D7D21">
        <w:trPr>
          <w:trHeight w:val="132"/>
        </w:trPr>
        <w:tc>
          <w:tcPr>
            <w:tcW w:w="0" w:type="auto"/>
            <w:vMerge/>
            <w:hideMark/>
          </w:tcPr>
          <w:p w:rsidR="00F244A2" w:rsidRPr="00007121" w:rsidRDefault="00F244A2" w:rsidP="00AB47FF">
            <w:pPr>
              <w:autoSpaceDE w:val="0"/>
              <w:autoSpaceDN w:val="0"/>
              <w:adjustRightInd w:val="0"/>
              <w:jc w:val="both"/>
              <w:rPr>
                <w:b/>
                <w:color w:val="000000"/>
                <w:sz w:val="18"/>
                <w:szCs w:val="20"/>
              </w:rPr>
            </w:pPr>
          </w:p>
        </w:tc>
        <w:tc>
          <w:tcPr>
            <w:tcW w:w="0" w:type="auto"/>
            <w:hideMark/>
          </w:tcPr>
          <w:p w:rsidR="00F244A2" w:rsidRPr="00007121" w:rsidRDefault="00F244A2" w:rsidP="00AB47FF">
            <w:pPr>
              <w:autoSpaceDE w:val="0"/>
              <w:autoSpaceDN w:val="0"/>
              <w:adjustRightInd w:val="0"/>
              <w:jc w:val="both"/>
              <w:rPr>
                <w:b/>
                <w:color w:val="000000"/>
                <w:sz w:val="18"/>
                <w:szCs w:val="20"/>
              </w:rPr>
            </w:pPr>
            <w:r w:rsidRPr="00007121">
              <w:rPr>
                <w:b/>
                <w:color w:val="000000"/>
                <w:sz w:val="18"/>
                <w:szCs w:val="20"/>
              </w:rPr>
              <w:t>Décédé</w:t>
            </w:r>
          </w:p>
        </w:tc>
        <w:tc>
          <w:tcPr>
            <w:tcW w:w="0" w:type="auto"/>
            <w:hideMark/>
          </w:tcPr>
          <w:p w:rsidR="00F244A2" w:rsidRPr="00007121" w:rsidRDefault="00F244A2" w:rsidP="00AB47FF">
            <w:pPr>
              <w:autoSpaceDE w:val="0"/>
              <w:autoSpaceDN w:val="0"/>
              <w:adjustRightInd w:val="0"/>
              <w:jc w:val="both"/>
              <w:rPr>
                <w:b/>
                <w:color w:val="000000"/>
                <w:sz w:val="18"/>
                <w:szCs w:val="20"/>
              </w:rPr>
            </w:pPr>
            <w:r w:rsidRPr="00007121">
              <w:rPr>
                <w:b/>
                <w:color w:val="000000"/>
                <w:sz w:val="18"/>
                <w:szCs w:val="20"/>
              </w:rPr>
              <w:t>Mort-né Frais</w:t>
            </w:r>
          </w:p>
        </w:tc>
        <w:tc>
          <w:tcPr>
            <w:tcW w:w="0" w:type="auto"/>
            <w:hideMark/>
          </w:tcPr>
          <w:p w:rsidR="00F244A2" w:rsidRPr="00007121" w:rsidRDefault="00F244A2" w:rsidP="00AB47FF">
            <w:pPr>
              <w:autoSpaceDE w:val="0"/>
              <w:autoSpaceDN w:val="0"/>
              <w:adjustRightInd w:val="0"/>
              <w:jc w:val="both"/>
              <w:rPr>
                <w:b/>
                <w:color w:val="000000"/>
                <w:sz w:val="18"/>
                <w:szCs w:val="20"/>
              </w:rPr>
            </w:pPr>
            <w:r w:rsidRPr="00007121">
              <w:rPr>
                <w:b/>
                <w:color w:val="000000"/>
                <w:sz w:val="18"/>
                <w:szCs w:val="20"/>
              </w:rPr>
              <w:t>Mort-né Macéré</w:t>
            </w:r>
          </w:p>
        </w:tc>
        <w:tc>
          <w:tcPr>
            <w:tcW w:w="0" w:type="auto"/>
            <w:hideMark/>
          </w:tcPr>
          <w:p w:rsidR="00F244A2" w:rsidRPr="00007121" w:rsidRDefault="00F244A2" w:rsidP="00AB47FF">
            <w:pPr>
              <w:autoSpaceDE w:val="0"/>
              <w:autoSpaceDN w:val="0"/>
              <w:adjustRightInd w:val="0"/>
              <w:jc w:val="both"/>
              <w:rPr>
                <w:b/>
                <w:color w:val="000000"/>
                <w:sz w:val="18"/>
                <w:szCs w:val="20"/>
              </w:rPr>
            </w:pPr>
            <w:r w:rsidRPr="00007121">
              <w:rPr>
                <w:b/>
                <w:bCs/>
                <w:sz w:val="18"/>
                <w:szCs w:val="20"/>
              </w:rPr>
              <w:t>Vivant</w:t>
            </w:r>
          </w:p>
        </w:tc>
        <w:tc>
          <w:tcPr>
            <w:tcW w:w="0" w:type="auto"/>
            <w:hideMark/>
          </w:tcPr>
          <w:p w:rsidR="00F244A2" w:rsidRPr="00007121" w:rsidRDefault="00F244A2" w:rsidP="00AB47FF">
            <w:pPr>
              <w:autoSpaceDE w:val="0"/>
              <w:autoSpaceDN w:val="0"/>
              <w:adjustRightInd w:val="0"/>
              <w:jc w:val="both"/>
              <w:rPr>
                <w:b/>
                <w:color w:val="000000"/>
                <w:sz w:val="18"/>
                <w:szCs w:val="20"/>
              </w:rPr>
            </w:pPr>
            <w:r w:rsidRPr="00007121">
              <w:rPr>
                <w:b/>
                <w:color w:val="000000"/>
                <w:sz w:val="18"/>
                <w:szCs w:val="20"/>
              </w:rPr>
              <w:t>Total</w:t>
            </w:r>
          </w:p>
        </w:tc>
      </w:tr>
      <w:tr w:rsidR="004D7D21" w:rsidRPr="00007121" w:rsidTr="004D7D21">
        <w:trPr>
          <w:trHeight w:val="224"/>
        </w:trPr>
        <w:tc>
          <w:tcPr>
            <w:tcW w:w="0" w:type="auto"/>
          </w:tcPr>
          <w:p w:rsidR="000C0452" w:rsidRPr="004D7D21" w:rsidRDefault="000C0452" w:rsidP="004D7D21">
            <w:pPr>
              <w:autoSpaceDE w:val="0"/>
              <w:autoSpaceDN w:val="0"/>
              <w:adjustRightInd w:val="0"/>
              <w:jc w:val="both"/>
              <w:rPr>
                <w:bCs/>
                <w:color w:val="000000"/>
                <w:sz w:val="18"/>
                <w:szCs w:val="20"/>
              </w:rPr>
            </w:pPr>
            <w:r w:rsidRPr="00007121">
              <w:rPr>
                <w:bCs/>
                <w:color w:val="000000"/>
                <w:sz w:val="18"/>
                <w:szCs w:val="20"/>
              </w:rPr>
              <w:t>Anté-partum</w:t>
            </w:r>
          </w:p>
        </w:tc>
        <w:tc>
          <w:tcPr>
            <w:tcW w:w="0" w:type="auto"/>
          </w:tcPr>
          <w:p w:rsidR="000C0452" w:rsidRPr="00007121" w:rsidRDefault="000C0452" w:rsidP="004D7D21">
            <w:pPr>
              <w:autoSpaceDE w:val="0"/>
              <w:autoSpaceDN w:val="0"/>
              <w:adjustRightInd w:val="0"/>
              <w:jc w:val="both"/>
              <w:rPr>
                <w:color w:val="000000"/>
                <w:sz w:val="18"/>
                <w:szCs w:val="20"/>
              </w:rPr>
            </w:pPr>
            <w:r w:rsidRPr="00007121">
              <w:rPr>
                <w:color w:val="000000"/>
                <w:sz w:val="18"/>
                <w:szCs w:val="20"/>
              </w:rPr>
              <w:t>10</w:t>
            </w:r>
            <w:r w:rsidR="00F244A2" w:rsidRPr="00007121">
              <w:rPr>
                <w:color w:val="000000"/>
                <w:sz w:val="18"/>
                <w:szCs w:val="20"/>
              </w:rPr>
              <w:t xml:space="preserve"> </w:t>
            </w:r>
            <w:r w:rsidRPr="00007121">
              <w:rPr>
                <w:color w:val="000000"/>
                <w:sz w:val="18"/>
                <w:szCs w:val="20"/>
              </w:rPr>
              <w:t>(76,9)</w:t>
            </w:r>
          </w:p>
        </w:tc>
        <w:tc>
          <w:tcPr>
            <w:tcW w:w="0" w:type="auto"/>
          </w:tcPr>
          <w:p w:rsidR="000C0452" w:rsidRPr="00007121" w:rsidRDefault="000C0452" w:rsidP="004D7D21">
            <w:pPr>
              <w:autoSpaceDE w:val="0"/>
              <w:autoSpaceDN w:val="0"/>
              <w:adjustRightInd w:val="0"/>
              <w:jc w:val="both"/>
              <w:rPr>
                <w:color w:val="000000"/>
                <w:sz w:val="18"/>
                <w:szCs w:val="20"/>
              </w:rPr>
            </w:pPr>
            <w:r w:rsidRPr="00007121">
              <w:rPr>
                <w:color w:val="000000"/>
                <w:sz w:val="18"/>
                <w:szCs w:val="20"/>
              </w:rPr>
              <w:t>11(64,7)</w:t>
            </w:r>
          </w:p>
        </w:tc>
        <w:tc>
          <w:tcPr>
            <w:tcW w:w="0" w:type="auto"/>
          </w:tcPr>
          <w:p w:rsidR="000C0452" w:rsidRPr="00007121" w:rsidRDefault="000C0452" w:rsidP="004D7D21">
            <w:pPr>
              <w:autoSpaceDE w:val="0"/>
              <w:autoSpaceDN w:val="0"/>
              <w:adjustRightInd w:val="0"/>
              <w:jc w:val="both"/>
              <w:rPr>
                <w:color w:val="000000"/>
                <w:sz w:val="18"/>
                <w:szCs w:val="20"/>
              </w:rPr>
            </w:pPr>
            <w:r w:rsidRPr="00007121">
              <w:rPr>
                <w:color w:val="000000"/>
                <w:sz w:val="18"/>
                <w:szCs w:val="20"/>
              </w:rPr>
              <w:t>2(50)</w:t>
            </w:r>
          </w:p>
        </w:tc>
        <w:tc>
          <w:tcPr>
            <w:tcW w:w="0" w:type="auto"/>
          </w:tcPr>
          <w:p w:rsidR="000C0452" w:rsidRPr="00007121" w:rsidRDefault="000C0452" w:rsidP="004D7D21">
            <w:pPr>
              <w:autoSpaceDE w:val="0"/>
              <w:autoSpaceDN w:val="0"/>
              <w:adjustRightInd w:val="0"/>
              <w:jc w:val="both"/>
              <w:rPr>
                <w:color w:val="000000"/>
                <w:sz w:val="18"/>
                <w:szCs w:val="20"/>
              </w:rPr>
            </w:pPr>
            <w:r w:rsidRPr="00007121">
              <w:rPr>
                <w:color w:val="000000"/>
                <w:sz w:val="18"/>
                <w:szCs w:val="20"/>
              </w:rPr>
              <w:t>50(35,2)</w:t>
            </w:r>
          </w:p>
        </w:tc>
        <w:tc>
          <w:tcPr>
            <w:tcW w:w="0" w:type="auto"/>
          </w:tcPr>
          <w:p w:rsidR="000C0452" w:rsidRPr="00007121" w:rsidRDefault="000C0452" w:rsidP="004D7D21">
            <w:pPr>
              <w:autoSpaceDE w:val="0"/>
              <w:autoSpaceDN w:val="0"/>
              <w:adjustRightInd w:val="0"/>
              <w:jc w:val="both"/>
              <w:rPr>
                <w:color w:val="000000"/>
                <w:sz w:val="18"/>
                <w:szCs w:val="20"/>
              </w:rPr>
            </w:pPr>
            <w:r w:rsidRPr="00007121">
              <w:rPr>
                <w:color w:val="000000"/>
                <w:sz w:val="18"/>
                <w:szCs w:val="20"/>
              </w:rPr>
              <w:t>73(41,5)</w:t>
            </w:r>
          </w:p>
        </w:tc>
      </w:tr>
      <w:tr w:rsidR="004D7D21" w:rsidRPr="00007121" w:rsidTr="00656848">
        <w:trPr>
          <w:trHeight w:val="70"/>
        </w:trPr>
        <w:tc>
          <w:tcPr>
            <w:tcW w:w="0" w:type="auto"/>
            <w:hideMark/>
          </w:tcPr>
          <w:p w:rsidR="004D7D21" w:rsidRPr="004D7D21" w:rsidRDefault="004D7D21" w:rsidP="00656848">
            <w:pPr>
              <w:autoSpaceDE w:val="0"/>
              <w:autoSpaceDN w:val="0"/>
              <w:adjustRightInd w:val="0"/>
              <w:jc w:val="both"/>
              <w:rPr>
                <w:bCs/>
                <w:color w:val="000000"/>
                <w:sz w:val="18"/>
                <w:szCs w:val="20"/>
              </w:rPr>
            </w:pPr>
            <w:r w:rsidRPr="00007121">
              <w:rPr>
                <w:bCs/>
                <w:color w:val="000000"/>
                <w:sz w:val="18"/>
                <w:szCs w:val="20"/>
              </w:rPr>
              <w:t>Per-partum</w:t>
            </w:r>
          </w:p>
        </w:tc>
        <w:tc>
          <w:tcPr>
            <w:tcW w:w="0" w:type="auto"/>
            <w:hideMark/>
          </w:tcPr>
          <w:p w:rsidR="004D7D21" w:rsidRPr="00007121" w:rsidRDefault="004D7D21" w:rsidP="004D7D21">
            <w:pPr>
              <w:autoSpaceDE w:val="0"/>
              <w:autoSpaceDN w:val="0"/>
              <w:adjustRightInd w:val="0"/>
              <w:jc w:val="both"/>
              <w:rPr>
                <w:color w:val="000000"/>
                <w:sz w:val="18"/>
                <w:szCs w:val="20"/>
              </w:rPr>
            </w:pPr>
            <w:r w:rsidRPr="00007121">
              <w:rPr>
                <w:color w:val="000000"/>
                <w:sz w:val="18"/>
                <w:szCs w:val="20"/>
              </w:rPr>
              <w:t>3 (23,1)</w:t>
            </w:r>
          </w:p>
        </w:tc>
        <w:tc>
          <w:tcPr>
            <w:tcW w:w="0" w:type="auto"/>
            <w:hideMark/>
          </w:tcPr>
          <w:p w:rsidR="004D7D21" w:rsidRPr="00007121" w:rsidRDefault="004D7D21" w:rsidP="004D7D21">
            <w:pPr>
              <w:autoSpaceDE w:val="0"/>
              <w:autoSpaceDN w:val="0"/>
              <w:adjustRightInd w:val="0"/>
              <w:jc w:val="both"/>
              <w:rPr>
                <w:color w:val="000000"/>
                <w:sz w:val="18"/>
                <w:szCs w:val="20"/>
              </w:rPr>
            </w:pPr>
            <w:r w:rsidRPr="00007121">
              <w:rPr>
                <w:color w:val="000000"/>
                <w:sz w:val="18"/>
                <w:szCs w:val="20"/>
              </w:rPr>
              <w:t>5(29,4)</w:t>
            </w:r>
          </w:p>
        </w:tc>
        <w:tc>
          <w:tcPr>
            <w:tcW w:w="0" w:type="auto"/>
            <w:hideMark/>
          </w:tcPr>
          <w:p w:rsidR="004D7D21" w:rsidRPr="00007121" w:rsidRDefault="004D7D21" w:rsidP="004D7D21">
            <w:pPr>
              <w:autoSpaceDE w:val="0"/>
              <w:autoSpaceDN w:val="0"/>
              <w:adjustRightInd w:val="0"/>
              <w:jc w:val="both"/>
              <w:rPr>
                <w:color w:val="000000"/>
                <w:sz w:val="18"/>
                <w:szCs w:val="20"/>
              </w:rPr>
            </w:pPr>
            <w:r w:rsidRPr="00007121">
              <w:rPr>
                <w:color w:val="000000"/>
                <w:sz w:val="18"/>
                <w:szCs w:val="20"/>
              </w:rPr>
              <w:t>0(0)</w:t>
            </w:r>
          </w:p>
        </w:tc>
        <w:tc>
          <w:tcPr>
            <w:tcW w:w="0" w:type="auto"/>
            <w:hideMark/>
          </w:tcPr>
          <w:p w:rsidR="004D7D21" w:rsidRPr="00007121" w:rsidRDefault="004D7D21" w:rsidP="004D7D21">
            <w:pPr>
              <w:autoSpaceDE w:val="0"/>
              <w:autoSpaceDN w:val="0"/>
              <w:adjustRightInd w:val="0"/>
              <w:jc w:val="both"/>
              <w:rPr>
                <w:color w:val="000000"/>
                <w:sz w:val="18"/>
                <w:szCs w:val="20"/>
              </w:rPr>
            </w:pPr>
            <w:r w:rsidRPr="00007121">
              <w:rPr>
                <w:color w:val="000000"/>
                <w:sz w:val="18"/>
                <w:szCs w:val="20"/>
              </w:rPr>
              <w:t>49(34,5)</w:t>
            </w:r>
          </w:p>
        </w:tc>
        <w:tc>
          <w:tcPr>
            <w:tcW w:w="0" w:type="auto"/>
            <w:hideMark/>
          </w:tcPr>
          <w:p w:rsidR="004D7D21" w:rsidRPr="00007121" w:rsidRDefault="004D7D21" w:rsidP="004D7D21">
            <w:pPr>
              <w:autoSpaceDE w:val="0"/>
              <w:autoSpaceDN w:val="0"/>
              <w:adjustRightInd w:val="0"/>
              <w:jc w:val="both"/>
              <w:rPr>
                <w:color w:val="000000"/>
                <w:sz w:val="18"/>
                <w:szCs w:val="20"/>
              </w:rPr>
            </w:pPr>
            <w:r w:rsidRPr="00007121">
              <w:rPr>
                <w:color w:val="000000"/>
                <w:sz w:val="18"/>
                <w:szCs w:val="20"/>
              </w:rPr>
              <w:t>57(32,4)</w:t>
            </w:r>
          </w:p>
        </w:tc>
      </w:tr>
      <w:tr w:rsidR="004D7D21" w:rsidRPr="00007121" w:rsidTr="001C5D6F">
        <w:trPr>
          <w:trHeight w:val="70"/>
        </w:trPr>
        <w:tc>
          <w:tcPr>
            <w:tcW w:w="0" w:type="auto"/>
            <w:hideMark/>
          </w:tcPr>
          <w:p w:rsidR="004D7D21" w:rsidRPr="00007121" w:rsidRDefault="004D7D21" w:rsidP="00AB47FF">
            <w:pPr>
              <w:autoSpaceDE w:val="0"/>
              <w:autoSpaceDN w:val="0"/>
              <w:adjustRightInd w:val="0"/>
              <w:jc w:val="both"/>
              <w:rPr>
                <w:b/>
                <w:color w:val="000000"/>
                <w:sz w:val="18"/>
                <w:szCs w:val="20"/>
              </w:rPr>
            </w:pPr>
            <w:r w:rsidRPr="00007121">
              <w:rPr>
                <w:bCs/>
                <w:color w:val="000000"/>
                <w:sz w:val="18"/>
                <w:szCs w:val="20"/>
              </w:rPr>
              <w:t>Post-partum</w:t>
            </w:r>
          </w:p>
        </w:tc>
        <w:tc>
          <w:tcPr>
            <w:tcW w:w="0" w:type="auto"/>
            <w:hideMark/>
          </w:tcPr>
          <w:p w:rsidR="004D7D21" w:rsidRPr="00007121" w:rsidRDefault="004D7D21" w:rsidP="004D7D21">
            <w:pPr>
              <w:autoSpaceDE w:val="0"/>
              <w:autoSpaceDN w:val="0"/>
              <w:adjustRightInd w:val="0"/>
              <w:jc w:val="both"/>
              <w:rPr>
                <w:color w:val="000000"/>
                <w:sz w:val="18"/>
                <w:szCs w:val="20"/>
              </w:rPr>
            </w:pPr>
            <w:r w:rsidRPr="00007121">
              <w:rPr>
                <w:color w:val="000000"/>
                <w:sz w:val="18"/>
                <w:szCs w:val="20"/>
              </w:rPr>
              <w:t>0 (0)</w:t>
            </w:r>
          </w:p>
        </w:tc>
        <w:tc>
          <w:tcPr>
            <w:tcW w:w="0" w:type="auto"/>
            <w:hideMark/>
          </w:tcPr>
          <w:p w:rsidR="004D7D21" w:rsidRPr="00007121" w:rsidRDefault="004D7D21" w:rsidP="00AB47FF">
            <w:pPr>
              <w:autoSpaceDE w:val="0"/>
              <w:autoSpaceDN w:val="0"/>
              <w:adjustRightInd w:val="0"/>
              <w:jc w:val="both"/>
              <w:rPr>
                <w:color w:val="000000"/>
                <w:sz w:val="18"/>
                <w:szCs w:val="20"/>
              </w:rPr>
            </w:pPr>
            <w:r w:rsidRPr="00007121">
              <w:rPr>
                <w:color w:val="000000"/>
                <w:sz w:val="18"/>
                <w:szCs w:val="20"/>
              </w:rPr>
              <w:t>1(5,9)</w:t>
            </w:r>
          </w:p>
        </w:tc>
        <w:tc>
          <w:tcPr>
            <w:tcW w:w="0" w:type="auto"/>
            <w:hideMark/>
          </w:tcPr>
          <w:p w:rsidR="004D7D21" w:rsidRPr="00007121" w:rsidRDefault="004D7D21" w:rsidP="00AB47FF">
            <w:pPr>
              <w:autoSpaceDE w:val="0"/>
              <w:autoSpaceDN w:val="0"/>
              <w:adjustRightInd w:val="0"/>
              <w:jc w:val="both"/>
              <w:rPr>
                <w:color w:val="000000"/>
                <w:sz w:val="18"/>
                <w:szCs w:val="20"/>
              </w:rPr>
            </w:pPr>
            <w:r w:rsidRPr="00007121">
              <w:rPr>
                <w:color w:val="000000"/>
                <w:sz w:val="18"/>
                <w:szCs w:val="20"/>
              </w:rPr>
              <w:t>2(50)</w:t>
            </w:r>
          </w:p>
        </w:tc>
        <w:tc>
          <w:tcPr>
            <w:tcW w:w="0" w:type="auto"/>
            <w:hideMark/>
          </w:tcPr>
          <w:p w:rsidR="004D7D21" w:rsidRPr="00007121" w:rsidRDefault="004D7D21" w:rsidP="00AB47FF">
            <w:pPr>
              <w:autoSpaceDE w:val="0"/>
              <w:autoSpaceDN w:val="0"/>
              <w:adjustRightInd w:val="0"/>
              <w:jc w:val="both"/>
              <w:rPr>
                <w:color w:val="000000"/>
                <w:sz w:val="18"/>
                <w:szCs w:val="20"/>
              </w:rPr>
            </w:pPr>
            <w:r w:rsidRPr="00007121">
              <w:rPr>
                <w:color w:val="000000"/>
                <w:sz w:val="18"/>
                <w:szCs w:val="20"/>
              </w:rPr>
              <w:t>43(30,3)</w:t>
            </w:r>
          </w:p>
        </w:tc>
        <w:tc>
          <w:tcPr>
            <w:tcW w:w="0" w:type="auto"/>
            <w:hideMark/>
          </w:tcPr>
          <w:p w:rsidR="004D7D21" w:rsidRPr="00007121" w:rsidRDefault="004D7D21" w:rsidP="00AB47FF">
            <w:pPr>
              <w:autoSpaceDE w:val="0"/>
              <w:autoSpaceDN w:val="0"/>
              <w:adjustRightInd w:val="0"/>
              <w:jc w:val="both"/>
              <w:rPr>
                <w:color w:val="000000"/>
                <w:sz w:val="18"/>
                <w:szCs w:val="20"/>
              </w:rPr>
            </w:pPr>
            <w:r w:rsidRPr="00007121">
              <w:rPr>
                <w:color w:val="000000"/>
                <w:sz w:val="18"/>
                <w:szCs w:val="20"/>
              </w:rPr>
              <w:t>46(26,1)</w:t>
            </w:r>
          </w:p>
        </w:tc>
      </w:tr>
      <w:tr w:rsidR="001C5D6F" w:rsidRPr="00007121" w:rsidTr="001C5D6F">
        <w:trPr>
          <w:trHeight w:val="70"/>
        </w:trPr>
        <w:tc>
          <w:tcPr>
            <w:tcW w:w="0" w:type="auto"/>
            <w:hideMark/>
          </w:tcPr>
          <w:p w:rsidR="000C0452" w:rsidRPr="00007121" w:rsidRDefault="000C0452" w:rsidP="00AB47FF">
            <w:pPr>
              <w:autoSpaceDE w:val="0"/>
              <w:autoSpaceDN w:val="0"/>
              <w:adjustRightInd w:val="0"/>
              <w:jc w:val="both"/>
              <w:rPr>
                <w:b/>
                <w:color w:val="000000"/>
                <w:sz w:val="18"/>
                <w:szCs w:val="20"/>
              </w:rPr>
            </w:pPr>
            <w:r w:rsidRPr="00007121">
              <w:rPr>
                <w:b/>
                <w:color w:val="000000"/>
                <w:sz w:val="18"/>
                <w:szCs w:val="20"/>
              </w:rPr>
              <w:t>Total</w:t>
            </w:r>
          </w:p>
        </w:tc>
        <w:tc>
          <w:tcPr>
            <w:tcW w:w="0" w:type="auto"/>
            <w:hideMark/>
          </w:tcPr>
          <w:p w:rsidR="000C0452" w:rsidRPr="00007121" w:rsidRDefault="000C0452" w:rsidP="00AB47FF">
            <w:pPr>
              <w:autoSpaceDE w:val="0"/>
              <w:autoSpaceDN w:val="0"/>
              <w:adjustRightInd w:val="0"/>
              <w:jc w:val="both"/>
              <w:rPr>
                <w:color w:val="000000"/>
                <w:sz w:val="18"/>
                <w:szCs w:val="20"/>
              </w:rPr>
            </w:pPr>
            <w:r w:rsidRPr="00007121">
              <w:rPr>
                <w:color w:val="000000"/>
                <w:sz w:val="18"/>
                <w:szCs w:val="20"/>
              </w:rPr>
              <w:t>13(100)</w:t>
            </w:r>
          </w:p>
        </w:tc>
        <w:tc>
          <w:tcPr>
            <w:tcW w:w="0" w:type="auto"/>
            <w:hideMark/>
          </w:tcPr>
          <w:p w:rsidR="000C0452" w:rsidRPr="00007121" w:rsidRDefault="000C0452" w:rsidP="00AB47FF">
            <w:pPr>
              <w:autoSpaceDE w:val="0"/>
              <w:autoSpaceDN w:val="0"/>
              <w:adjustRightInd w:val="0"/>
              <w:jc w:val="both"/>
              <w:rPr>
                <w:color w:val="000000"/>
                <w:sz w:val="18"/>
                <w:szCs w:val="20"/>
              </w:rPr>
            </w:pPr>
            <w:r w:rsidRPr="00007121">
              <w:rPr>
                <w:color w:val="000000"/>
                <w:sz w:val="18"/>
                <w:szCs w:val="20"/>
              </w:rPr>
              <w:t>17(100)</w:t>
            </w:r>
          </w:p>
        </w:tc>
        <w:tc>
          <w:tcPr>
            <w:tcW w:w="0" w:type="auto"/>
            <w:hideMark/>
          </w:tcPr>
          <w:p w:rsidR="000C0452" w:rsidRPr="00007121" w:rsidRDefault="000C0452" w:rsidP="00AB47FF">
            <w:pPr>
              <w:autoSpaceDE w:val="0"/>
              <w:autoSpaceDN w:val="0"/>
              <w:adjustRightInd w:val="0"/>
              <w:jc w:val="both"/>
              <w:rPr>
                <w:color w:val="000000"/>
                <w:sz w:val="18"/>
                <w:szCs w:val="20"/>
              </w:rPr>
            </w:pPr>
            <w:r w:rsidRPr="00007121">
              <w:rPr>
                <w:color w:val="000000"/>
                <w:sz w:val="18"/>
                <w:szCs w:val="20"/>
              </w:rPr>
              <w:t>4(100)</w:t>
            </w:r>
          </w:p>
        </w:tc>
        <w:tc>
          <w:tcPr>
            <w:tcW w:w="0" w:type="auto"/>
            <w:hideMark/>
          </w:tcPr>
          <w:p w:rsidR="000C0452" w:rsidRPr="00007121" w:rsidRDefault="000C0452" w:rsidP="00AB47FF">
            <w:pPr>
              <w:autoSpaceDE w:val="0"/>
              <w:autoSpaceDN w:val="0"/>
              <w:adjustRightInd w:val="0"/>
              <w:jc w:val="both"/>
              <w:rPr>
                <w:color w:val="000000"/>
                <w:sz w:val="18"/>
                <w:szCs w:val="20"/>
              </w:rPr>
            </w:pPr>
            <w:r w:rsidRPr="00007121">
              <w:rPr>
                <w:color w:val="000000"/>
                <w:sz w:val="18"/>
                <w:szCs w:val="20"/>
              </w:rPr>
              <w:t>142(100)</w:t>
            </w:r>
          </w:p>
        </w:tc>
        <w:tc>
          <w:tcPr>
            <w:tcW w:w="0" w:type="auto"/>
            <w:hideMark/>
          </w:tcPr>
          <w:p w:rsidR="000C0452" w:rsidRPr="00007121" w:rsidRDefault="000C0452" w:rsidP="00AB47FF">
            <w:pPr>
              <w:autoSpaceDE w:val="0"/>
              <w:autoSpaceDN w:val="0"/>
              <w:adjustRightInd w:val="0"/>
              <w:jc w:val="both"/>
              <w:rPr>
                <w:color w:val="000000"/>
                <w:sz w:val="18"/>
                <w:szCs w:val="20"/>
              </w:rPr>
            </w:pPr>
            <w:r w:rsidRPr="00007121">
              <w:rPr>
                <w:color w:val="000000"/>
                <w:sz w:val="18"/>
                <w:szCs w:val="20"/>
              </w:rPr>
              <w:t>176(100)</w:t>
            </w:r>
          </w:p>
        </w:tc>
      </w:tr>
      <w:tr w:rsidR="00007121" w:rsidRPr="007043AA" w:rsidTr="001C5D6F">
        <w:trPr>
          <w:trHeight w:val="70"/>
        </w:trPr>
        <w:tc>
          <w:tcPr>
            <w:tcW w:w="0" w:type="auto"/>
            <w:gridSpan w:val="6"/>
            <w:hideMark/>
          </w:tcPr>
          <w:p w:rsidR="00007121" w:rsidRPr="007043AA" w:rsidRDefault="00007121" w:rsidP="007043AA">
            <w:pPr>
              <w:rPr>
                <w:bCs/>
                <w:sz w:val="16"/>
                <w:szCs w:val="20"/>
              </w:rPr>
            </w:pPr>
            <w:r w:rsidRPr="007043AA">
              <w:rPr>
                <w:bCs/>
                <w:sz w:val="16"/>
                <w:szCs w:val="20"/>
              </w:rPr>
              <w:t>Khi2=17,3217 ;      ddl=6    et  P=0,0082</w:t>
            </w:r>
          </w:p>
        </w:tc>
      </w:tr>
    </w:tbl>
    <w:p w:rsidR="00EC09A1" w:rsidRPr="00AB47FF" w:rsidRDefault="00EC09A1" w:rsidP="00AB47FF">
      <w:pPr>
        <w:autoSpaceDE w:val="0"/>
        <w:autoSpaceDN w:val="0"/>
        <w:adjustRightInd w:val="0"/>
        <w:jc w:val="both"/>
        <w:rPr>
          <w:b/>
          <w:bCs/>
          <w:color w:val="000000"/>
          <w:sz w:val="20"/>
          <w:szCs w:val="20"/>
        </w:rPr>
      </w:pPr>
    </w:p>
    <w:tbl>
      <w:tblPr>
        <w:tblStyle w:val="Grilledutableau"/>
        <w:tblW w:w="0" w:type="auto"/>
        <w:tblLook w:val="0020"/>
      </w:tblPr>
      <w:tblGrid>
        <w:gridCol w:w="3489"/>
        <w:gridCol w:w="1618"/>
        <w:gridCol w:w="1618"/>
        <w:gridCol w:w="1706"/>
        <w:gridCol w:w="1706"/>
      </w:tblGrid>
      <w:tr w:rsidR="00007121" w:rsidRPr="00007121" w:rsidTr="001C5D6F">
        <w:trPr>
          <w:trHeight w:val="434"/>
        </w:trPr>
        <w:tc>
          <w:tcPr>
            <w:tcW w:w="0" w:type="auto"/>
            <w:gridSpan w:val="5"/>
          </w:tcPr>
          <w:p w:rsidR="00007121" w:rsidRPr="00007121" w:rsidRDefault="00007121" w:rsidP="00D72F8B">
            <w:pPr>
              <w:autoSpaceDE w:val="0"/>
              <w:autoSpaceDN w:val="0"/>
              <w:adjustRightInd w:val="0"/>
              <w:jc w:val="both"/>
              <w:rPr>
                <w:b/>
                <w:color w:val="000000"/>
                <w:sz w:val="18"/>
                <w:szCs w:val="20"/>
              </w:rPr>
            </w:pPr>
            <w:r w:rsidRPr="00007121">
              <w:rPr>
                <w:b/>
                <w:bCs/>
                <w:color w:val="000000"/>
                <w:sz w:val="18"/>
                <w:szCs w:val="20"/>
              </w:rPr>
              <w:t>Tableau </w:t>
            </w:r>
            <w:r w:rsidR="00D72F8B">
              <w:rPr>
                <w:b/>
                <w:bCs/>
                <w:color w:val="000000"/>
                <w:sz w:val="18"/>
                <w:szCs w:val="20"/>
              </w:rPr>
              <w:t>7</w:t>
            </w:r>
            <w:r w:rsidRPr="00007121">
              <w:rPr>
                <w:b/>
                <w:bCs/>
                <w:color w:val="000000"/>
                <w:sz w:val="18"/>
                <w:szCs w:val="20"/>
              </w:rPr>
              <w:t xml:space="preserve"> </w:t>
            </w:r>
            <w:r w:rsidRPr="00007121">
              <w:rPr>
                <w:color w:val="000000"/>
                <w:sz w:val="18"/>
                <w:szCs w:val="20"/>
              </w:rPr>
              <w:t>: Répartition des patientes selon la relation entre la voie d’accouchement et le score de Glasgow </w:t>
            </w:r>
            <w:r w:rsidRPr="00007121">
              <w:rPr>
                <w:sz w:val="18"/>
                <w:szCs w:val="20"/>
              </w:rPr>
              <w:t>à l’hôpital de deuxième référence de Ségou au Mali de 2010 à 2012.</w:t>
            </w:r>
          </w:p>
        </w:tc>
      </w:tr>
      <w:tr w:rsidR="00E14783" w:rsidRPr="00007121" w:rsidTr="001C5D6F">
        <w:trPr>
          <w:trHeight w:val="122"/>
        </w:trPr>
        <w:tc>
          <w:tcPr>
            <w:tcW w:w="0" w:type="auto"/>
            <w:vMerge w:val="restart"/>
          </w:tcPr>
          <w:p w:rsidR="00E14783" w:rsidRPr="00007121" w:rsidRDefault="00E14783" w:rsidP="00AB47FF">
            <w:pPr>
              <w:autoSpaceDE w:val="0"/>
              <w:autoSpaceDN w:val="0"/>
              <w:adjustRightInd w:val="0"/>
              <w:jc w:val="both"/>
              <w:rPr>
                <w:color w:val="000000"/>
                <w:sz w:val="18"/>
                <w:szCs w:val="20"/>
              </w:rPr>
            </w:pPr>
            <w:r w:rsidRPr="00007121">
              <w:rPr>
                <w:b/>
                <w:color w:val="000000"/>
                <w:sz w:val="18"/>
                <w:szCs w:val="20"/>
              </w:rPr>
              <w:t>Voie d’accouchement</w:t>
            </w:r>
            <w:r w:rsidRPr="00007121">
              <w:rPr>
                <w:color w:val="000000"/>
                <w:sz w:val="18"/>
                <w:szCs w:val="20"/>
              </w:rPr>
              <w:t xml:space="preserve"> </w:t>
            </w:r>
          </w:p>
        </w:tc>
        <w:tc>
          <w:tcPr>
            <w:tcW w:w="0" w:type="auto"/>
            <w:gridSpan w:val="4"/>
          </w:tcPr>
          <w:p w:rsidR="00E14783" w:rsidRPr="00007121" w:rsidRDefault="00E14783" w:rsidP="00007121">
            <w:pPr>
              <w:autoSpaceDE w:val="0"/>
              <w:autoSpaceDN w:val="0"/>
              <w:adjustRightInd w:val="0"/>
              <w:jc w:val="center"/>
              <w:rPr>
                <w:b/>
                <w:color w:val="000000"/>
                <w:sz w:val="18"/>
                <w:szCs w:val="20"/>
              </w:rPr>
            </w:pPr>
            <w:r w:rsidRPr="00007121">
              <w:rPr>
                <w:b/>
                <w:color w:val="000000"/>
                <w:sz w:val="18"/>
                <w:szCs w:val="20"/>
              </w:rPr>
              <w:t>Score de Glasgow</w:t>
            </w:r>
          </w:p>
        </w:tc>
      </w:tr>
      <w:tr w:rsidR="00E14783" w:rsidRPr="00007121" w:rsidTr="001C5D6F">
        <w:trPr>
          <w:trHeight w:val="87"/>
        </w:trPr>
        <w:tc>
          <w:tcPr>
            <w:tcW w:w="0" w:type="auto"/>
            <w:vMerge/>
          </w:tcPr>
          <w:p w:rsidR="00E14783" w:rsidRPr="00007121" w:rsidRDefault="00E14783" w:rsidP="00AB47FF">
            <w:pPr>
              <w:autoSpaceDE w:val="0"/>
              <w:autoSpaceDN w:val="0"/>
              <w:adjustRightInd w:val="0"/>
              <w:jc w:val="both"/>
              <w:rPr>
                <w:color w:val="000000"/>
                <w:sz w:val="18"/>
                <w:szCs w:val="20"/>
              </w:rPr>
            </w:pPr>
          </w:p>
        </w:tc>
        <w:tc>
          <w:tcPr>
            <w:tcW w:w="0" w:type="auto"/>
          </w:tcPr>
          <w:p w:rsidR="00E14783" w:rsidRPr="00007121" w:rsidRDefault="00E14783" w:rsidP="00AB47FF">
            <w:pPr>
              <w:autoSpaceDE w:val="0"/>
              <w:autoSpaceDN w:val="0"/>
              <w:adjustRightInd w:val="0"/>
              <w:jc w:val="both"/>
              <w:rPr>
                <w:color w:val="000000"/>
                <w:sz w:val="18"/>
                <w:szCs w:val="20"/>
              </w:rPr>
            </w:pPr>
            <w:r w:rsidRPr="00007121">
              <w:rPr>
                <w:b/>
                <w:bCs/>
                <w:sz w:val="18"/>
                <w:szCs w:val="20"/>
              </w:rPr>
              <w:t>13 – 15</w:t>
            </w:r>
          </w:p>
        </w:tc>
        <w:tc>
          <w:tcPr>
            <w:tcW w:w="0" w:type="auto"/>
          </w:tcPr>
          <w:p w:rsidR="00E14783" w:rsidRPr="00007121" w:rsidRDefault="00E14783" w:rsidP="00AB47FF">
            <w:pPr>
              <w:autoSpaceDE w:val="0"/>
              <w:autoSpaceDN w:val="0"/>
              <w:adjustRightInd w:val="0"/>
              <w:jc w:val="both"/>
              <w:rPr>
                <w:color w:val="000000"/>
                <w:sz w:val="18"/>
                <w:szCs w:val="20"/>
              </w:rPr>
            </w:pPr>
            <w:r w:rsidRPr="00007121">
              <w:rPr>
                <w:b/>
                <w:bCs/>
                <w:sz w:val="18"/>
                <w:szCs w:val="20"/>
              </w:rPr>
              <w:t>3 – 8</w:t>
            </w:r>
          </w:p>
        </w:tc>
        <w:tc>
          <w:tcPr>
            <w:tcW w:w="0" w:type="auto"/>
          </w:tcPr>
          <w:p w:rsidR="00E14783" w:rsidRPr="00007121" w:rsidRDefault="00E14783" w:rsidP="00AB47FF">
            <w:pPr>
              <w:autoSpaceDE w:val="0"/>
              <w:autoSpaceDN w:val="0"/>
              <w:adjustRightInd w:val="0"/>
              <w:jc w:val="both"/>
              <w:rPr>
                <w:color w:val="000000"/>
                <w:sz w:val="18"/>
                <w:szCs w:val="20"/>
              </w:rPr>
            </w:pPr>
            <w:r w:rsidRPr="00007121">
              <w:rPr>
                <w:b/>
                <w:bCs/>
                <w:sz w:val="18"/>
                <w:szCs w:val="20"/>
              </w:rPr>
              <w:t>9 – 12</w:t>
            </w:r>
          </w:p>
        </w:tc>
        <w:tc>
          <w:tcPr>
            <w:tcW w:w="0" w:type="auto"/>
          </w:tcPr>
          <w:p w:rsidR="00E14783" w:rsidRPr="00007121" w:rsidRDefault="00E14783" w:rsidP="00AB47FF">
            <w:pPr>
              <w:autoSpaceDE w:val="0"/>
              <w:autoSpaceDN w:val="0"/>
              <w:adjustRightInd w:val="0"/>
              <w:jc w:val="both"/>
              <w:rPr>
                <w:b/>
                <w:color w:val="000000"/>
                <w:sz w:val="18"/>
                <w:szCs w:val="20"/>
              </w:rPr>
            </w:pPr>
            <w:r w:rsidRPr="00007121">
              <w:rPr>
                <w:b/>
                <w:color w:val="000000"/>
                <w:sz w:val="18"/>
                <w:szCs w:val="20"/>
              </w:rPr>
              <w:t>Total</w:t>
            </w:r>
          </w:p>
        </w:tc>
      </w:tr>
      <w:tr w:rsidR="00D80D6D" w:rsidRPr="00007121" w:rsidTr="001C5D6F">
        <w:trPr>
          <w:trHeight w:val="255"/>
        </w:trPr>
        <w:tc>
          <w:tcPr>
            <w:tcW w:w="0" w:type="auto"/>
          </w:tcPr>
          <w:p w:rsidR="00D80D6D" w:rsidRPr="00007121" w:rsidRDefault="00D80D6D" w:rsidP="00AB47FF">
            <w:pPr>
              <w:autoSpaceDE w:val="0"/>
              <w:autoSpaceDN w:val="0"/>
              <w:adjustRightInd w:val="0"/>
              <w:jc w:val="both"/>
              <w:rPr>
                <w:bCs/>
                <w:color w:val="000000"/>
                <w:sz w:val="18"/>
                <w:szCs w:val="20"/>
              </w:rPr>
            </w:pPr>
            <w:r w:rsidRPr="00007121">
              <w:rPr>
                <w:bCs/>
                <w:color w:val="000000"/>
                <w:sz w:val="18"/>
                <w:szCs w:val="20"/>
              </w:rPr>
              <w:t>Césarienne</w:t>
            </w:r>
          </w:p>
        </w:tc>
        <w:tc>
          <w:tcPr>
            <w:tcW w:w="0" w:type="auto"/>
          </w:tcPr>
          <w:p w:rsidR="00D80D6D" w:rsidRPr="00007121" w:rsidRDefault="00D80D6D" w:rsidP="00AB47FF">
            <w:pPr>
              <w:autoSpaceDE w:val="0"/>
              <w:autoSpaceDN w:val="0"/>
              <w:adjustRightInd w:val="0"/>
              <w:jc w:val="both"/>
              <w:rPr>
                <w:color w:val="000000"/>
                <w:sz w:val="18"/>
                <w:szCs w:val="20"/>
              </w:rPr>
            </w:pPr>
            <w:r w:rsidRPr="00007121">
              <w:rPr>
                <w:color w:val="000000"/>
                <w:sz w:val="18"/>
                <w:szCs w:val="20"/>
              </w:rPr>
              <w:t>3(15,8)</w:t>
            </w:r>
          </w:p>
        </w:tc>
        <w:tc>
          <w:tcPr>
            <w:tcW w:w="0" w:type="auto"/>
          </w:tcPr>
          <w:p w:rsidR="00D80D6D" w:rsidRPr="00007121" w:rsidRDefault="00D80D6D" w:rsidP="00AB47FF">
            <w:pPr>
              <w:autoSpaceDE w:val="0"/>
              <w:autoSpaceDN w:val="0"/>
              <w:adjustRightInd w:val="0"/>
              <w:jc w:val="both"/>
              <w:rPr>
                <w:color w:val="000000"/>
                <w:sz w:val="18"/>
                <w:szCs w:val="20"/>
              </w:rPr>
            </w:pPr>
            <w:r w:rsidRPr="00007121">
              <w:rPr>
                <w:color w:val="000000"/>
                <w:sz w:val="18"/>
                <w:szCs w:val="20"/>
              </w:rPr>
              <w:t>10(31,3)</w:t>
            </w:r>
          </w:p>
        </w:tc>
        <w:tc>
          <w:tcPr>
            <w:tcW w:w="0" w:type="auto"/>
          </w:tcPr>
          <w:p w:rsidR="00D80D6D" w:rsidRPr="00007121" w:rsidRDefault="00D80D6D" w:rsidP="00AB47FF">
            <w:pPr>
              <w:autoSpaceDE w:val="0"/>
              <w:autoSpaceDN w:val="0"/>
              <w:adjustRightInd w:val="0"/>
              <w:jc w:val="both"/>
              <w:rPr>
                <w:color w:val="000000"/>
                <w:sz w:val="18"/>
                <w:szCs w:val="20"/>
              </w:rPr>
            </w:pPr>
            <w:r w:rsidRPr="00007121">
              <w:rPr>
                <w:color w:val="000000"/>
                <w:sz w:val="18"/>
                <w:szCs w:val="20"/>
              </w:rPr>
              <w:t>83(66,4)</w:t>
            </w:r>
          </w:p>
        </w:tc>
        <w:tc>
          <w:tcPr>
            <w:tcW w:w="0" w:type="auto"/>
          </w:tcPr>
          <w:p w:rsidR="00D80D6D" w:rsidRPr="00007121" w:rsidRDefault="00D80D6D" w:rsidP="00AB47FF">
            <w:pPr>
              <w:autoSpaceDE w:val="0"/>
              <w:autoSpaceDN w:val="0"/>
              <w:adjustRightInd w:val="0"/>
              <w:jc w:val="both"/>
              <w:rPr>
                <w:color w:val="000000"/>
                <w:sz w:val="18"/>
                <w:szCs w:val="20"/>
              </w:rPr>
            </w:pPr>
            <w:r w:rsidRPr="00007121">
              <w:rPr>
                <w:color w:val="000000"/>
                <w:sz w:val="18"/>
                <w:szCs w:val="20"/>
              </w:rPr>
              <w:t>96(54,5)</w:t>
            </w:r>
          </w:p>
        </w:tc>
      </w:tr>
      <w:tr w:rsidR="00D80D6D" w:rsidRPr="00007121" w:rsidTr="001C5D6F">
        <w:trPr>
          <w:trHeight w:val="257"/>
        </w:trPr>
        <w:tc>
          <w:tcPr>
            <w:tcW w:w="0" w:type="auto"/>
          </w:tcPr>
          <w:p w:rsidR="00D80D6D" w:rsidRPr="00007121" w:rsidRDefault="00D80D6D" w:rsidP="00AB47FF">
            <w:pPr>
              <w:autoSpaceDE w:val="0"/>
              <w:autoSpaceDN w:val="0"/>
              <w:adjustRightInd w:val="0"/>
              <w:jc w:val="both"/>
              <w:rPr>
                <w:bCs/>
                <w:color w:val="000000"/>
                <w:sz w:val="18"/>
                <w:szCs w:val="20"/>
              </w:rPr>
            </w:pPr>
            <w:r w:rsidRPr="00007121">
              <w:rPr>
                <w:bCs/>
                <w:color w:val="000000"/>
                <w:sz w:val="18"/>
                <w:szCs w:val="20"/>
              </w:rPr>
              <w:t xml:space="preserve">Voie basse </w:t>
            </w:r>
          </w:p>
        </w:tc>
        <w:tc>
          <w:tcPr>
            <w:tcW w:w="0" w:type="auto"/>
          </w:tcPr>
          <w:p w:rsidR="00D80D6D" w:rsidRPr="00007121" w:rsidRDefault="00D80D6D" w:rsidP="00AB47FF">
            <w:pPr>
              <w:autoSpaceDE w:val="0"/>
              <w:autoSpaceDN w:val="0"/>
              <w:adjustRightInd w:val="0"/>
              <w:jc w:val="both"/>
              <w:rPr>
                <w:color w:val="000000"/>
                <w:sz w:val="18"/>
                <w:szCs w:val="20"/>
              </w:rPr>
            </w:pPr>
            <w:r w:rsidRPr="00007121">
              <w:rPr>
                <w:color w:val="000000"/>
                <w:sz w:val="18"/>
                <w:szCs w:val="20"/>
              </w:rPr>
              <w:t>16(84,2)</w:t>
            </w:r>
          </w:p>
        </w:tc>
        <w:tc>
          <w:tcPr>
            <w:tcW w:w="0" w:type="auto"/>
          </w:tcPr>
          <w:p w:rsidR="00D80D6D" w:rsidRPr="00007121" w:rsidRDefault="00D80D6D" w:rsidP="00AB47FF">
            <w:pPr>
              <w:autoSpaceDE w:val="0"/>
              <w:autoSpaceDN w:val="0"/>
              <w:adjustRightInd w:val="0"/>
              <w:jc w:val="both"/>
              <w:rPr>
                <w:bCs/>
                <w:color w:val="000000"/>
                <w:sz w:val="18"/>
                <w:szCs w:val="20"/>
              </w:rPr>
            </w:pPr>
            <w:r w:rsidRPr="00007121">
              <w:rPr>
                <w:bCs/>
                <w:color w:val="000000"/>
                <w:sz w:val="18"/>
                <w:szCs w:val="20"/>
              </w:rPr>
              <w:t>22(68,7)</w:t>
            </w:r>
          </w:p>
        </w:tc>
        <w:tc>
          <w:tcPr>
            <w:tcW w:w="0" w:type="auto"/>
          </w:tcPr>
          <w:p w:rsidR="00D80D6D" w:rsidRPr="00007121" w:rsidRDefault="00D80D6D" w:rsidP="00AB47FF">
            <w:pPr>
              <w:autoSpaceDE w:val="0"/>
              <w:autoSpaceDN w:val="0"/>
              <w:adjustRightInd w:val="0"/>
              <w:jc w:val="both"/>
              <w:rPr>
                <w:color w:val="000000"/>
                <w:sz w:val="18"/>
                <w:szCs w:val="20"/>
              </w:rPr>
            </w:pPr>
            <w:r w:rsidRPr="00007121">
              <w:rPr>
                <w:color w:val="000000"/>
                <w:sz w:val="18"/>
                <w:szCs w:val="20"/>
              </w:rPr>
              <w:t>42(33,6)</w:t>
            </w:r>
          </w:p>
        </w:tc>
        <w:tc>
          <w:tcPr>
            <w:tcW w:w="0" w:type="auto"/>
          </w:tcPr>
          <w:p w:rsidR="00D80D6D" w:rsidRPr="00007121" w:rsidRDefault="00D80D6D" w:rsidP="00AB47FF">
            <w:pPr>
              <w:autoSpaceDE w:val="0"/>
              <w:autoSpaceDN w:val="0"/>
              <w:adjustRightInd w:val="0"/>
              <w:jc w:val="both"/>
              <w:rPr>
                <w:color w:val="000000"/>
                <w:sz w:val="18"/>
                <w:szCs w:val="20"/>
              </w:rPr>
            </w:pPr>
            <w:r w:rsidRPr="00007121">
              <w:rPr>
                <w:color w:val="000000"/>
                <w:sz w:val="18"/>
                <w:szCs w:val="20"/>
              </w:rPr>
              <w:t>80 (45,5)</w:t>
            </w:r>
          </w:p>
        </w:tc>
      </w:tr>
      <w:tr w:rsidR="00D80D6D" w:rsidRPr="00007121" w:rsidTr="001C5D6F">
        <w:trPr>
          <w:trHeight w:val="257"/>
        </w:trPr>
        <w:tc>
          <w:tcPr>
            <w:tcW w:w="0" w:type="auto"/>
          </w:tcPr>
          <w:p w:rsidR="00D80D6D" w:rsidRPr="00007121" w:rsidRDefault="00D80D6D" w:rsidP="00AB47FF">
            <w:pPr>
              <w:autoSpaceDE w:val="0"/>
              <w:autoSpaceDN w:val="0"/>
              <w:adjustRightInd w:val="0"/>
              <w:jc w:val="both"/>
              <w:rPr>
                <w:b/>
                <w:color w:val="000000"/>
                <w:sz w:val="18"/>
                <w:szCs w:val="20"/>
              </w:rPr>
            </w:pPr>
            <w:r w:rsidRPr="00007121">
              <w:rPr>
                <w:b/>
                <w:color w:val="000000"/>
                <w:sz w:val="18"/>
                <w:szCs w:val="20"/>
              </w:rPr>
              <w:t>Total</w:t>
            </w:r>
          </w:p>
        </w:tc>
        <w:tc>
          <w:tcPr>
            <w:tcW w:w="0" w:type="auto"/>
          </w:tcPr>
          <w:p w:rsidR="00D80D6D" w:rsidRPr="00007121" w:rsidRDefault="00D80D6D" w:rsidP="00AB47FF">
            <w:pPr>
              <w:autoSpaceDE w:val="0"/>
              <w:autoSpaceDN w:val="0"/>
              <w:adjustRightInd w:val="0"/>
              <w:jc w:val="both"/>
              <w:rPr>
                <w:color w:val="000000"/>
                <w:sz w:val="18"/>
                <w:szCs w:val="20"/>
              </w:rPr>
            </w:pPr>
            <w:r w:rsidRPr="00007121">
              <w:rPr>
                <w:color w:val="000000"/>
                <w:sz w:val="18"/>
                <w:szCs w:val="20"/>
              </w:rPr>
              <w:t>19(100)</w:t>
            </w:r>
          </w:p>
        </w:tc>
        <w:tc>
          <w:tcPr>
            <w:tcW w:w="0" w:type="auto"/>
          </w:tcPr>
          <w:p w:rsidR="00D80D6D" w:rsidRPr="00007121" w:rsidRDefault="00D80D6D" w:rsidP="00AB47FF">
            <w:pPr>
              <w:autoSpaceDE w:val="0"/>
              <w:autoSpaceDN w:val="0"/>
              <w:adjustRightInd w:val="0"/>
              <w:jc w:val="both"/>
              <w:rPr>
                <w:color w:val="000000"/>
                <w:sz w:val="18"/>
                <w:szCs w:val="20"/>
              </w:rPr>
            </w:pPr>
            <w:r w:rsidRPr="00007121">
              <w:rPr>
                <w:color w:val="000000"/>
                <w:sz w:val="18"/>
                <w:szCs w:val="20"/>
              </w:rPr>
              <w:t>32(100)</w:t>
            </w:r>
          </w:p>
        </w:tc>
        <w:tc>
          <w:tcPr>
            <w:tcW w:w="0" w:type="auto"/>
          </w:tcPr>
          <w:p w:rsidR="00D80D6D" w:rsidRPr="00007121" w:rsidRDefault="00D80D6D" w:rsidP="00AB47FF">
            <w:pPr>
              <w:autoSpaceDE w:val="0"/>
              <w:autoSpaceDN w:val="0"/>
              <w:adjustRightInd w:val="0"/>
              <w:jc w:val="both"/>
              <w:rPr>
                <w:color w:val="000000"/>
                <w:sz w:val="18"/>
                <w:szCs w:val="20"/>
              </w:rPr>
            </w:pPr>
            <w:r w:rsidRPr="00007121">
              <w:rPr>
                <w:color w:val="000000"/>
                <w:sz w:val="18"/>
                <w:szCs w:val="20"/>
              </w:rPr>
              <w:t>125(100)</w:t>
            </w:r>
          </w:p>
        </w:tc>
        <w:tc>
          <w:tcPr>
            <w:tcW w:w="0" w:type="auto"/>
          </w:tcPr>
          <w:p w:rsidR="00D80D6D" w:rsidRPr="00007121" w:rsidRDefault="00D80D6D" w:rsidP="00AB47FF">
            <w:pPr>
              <w:autoSpaceDE w:val="0"/>
              <w:autoSpaceDN w:val="0"/>
              <w:adjustRightInd w:val="0"/>
              <w:jc w:val="both"/>
              <w:rPr>
                <w:color w:val="000000"/>
                <w:sz w:val="18"/>
                <w:szCs w:val="20"/>
              </w:rPr>
            </w:pPr>
            <w:r w:rsidRPr="00007121">
              <w:rPr>
                <w:color w:val="000000"/>
                <w:sz w:val="18"/>
                <w:szCs w:val="20"/>
              </w:rPr>
              <w:t>176(100)</w:t>
            </w:r>
          </w:p>
        </w:tc>
      </w:tr>
      <w:tr w:rsidR="00007121" w:rsidRPr="007043AA" w:rsidTr="006647B1">
        <w:trPr>
          <w:trHeight w:val="142"/>
        </w:trPr>
        <w:tc>
          <w:tcPr>
            <w:tcW w:w="0" w:type="auto"/>
            <w:gridSpan w:val="5"/>
          </w:tcPr>
          <w:p w:rsidR="00007121" w:rsidRPr="007043AA" w:rsidRDefault="00007121" w:rsidP="007043AA">
            <w:pPr>
              <w:autoSpaceDE w:val="0"/>
              <w:autoSpaceDN w:val="0"/>
              <w:adjustRightInd w:val="0"/>
              <w:rPr>
                <w:color w:val="000000"/>
                <w:sz w:val="16"/>
                <w:szCs w:val="20"/>
              </w:rPr>
            </w:pPr>
            <w:r w:rsidRPr="007043AA">
              <w:rPr>
                <w:sz w:val="16"/>
                <w:szCs w:val="20"/>
              </w:rPr>
              <w:t>Khi2 = 25,60,  ddl = 2 et p = 0,000</w:t>
            </w:r>
          </w:p>
        </w:tc>
      </w:tr>
    </w:tbl>
    <w:p w:rsidR="004D7D21" w:rsidRDefault="004D7D21" w:rsidP="00CF032F">
      <w:pPr>
        <w:pStyle w:val="Lgende"/>
        <w:spacing w:before="120" w:after="40"/>
        <w:jc w:val="both"/>
      </w:pPr>
    </w:p>
    <w:p w:rsidR="004D7D21" w:rsidRPr="004D7D21" w:rsidRDefault="004D7D21" w:rsidP="004D7D21">
      <w:pPr>
        <w:sectPr w:rsidR="004D7D21" w:rsidRPr="004D7D21" w:rsidSect="004D7D21">
          <w:type w:val="continuous"/>
          <w:pgSz w:w="11906" w:h="16838" w:code="9"/>
          <w:pgMar w:top="1134" w:right="851" w:bottom="1418" w:left="1134" w:header="708" w:footer="708" w:gutter="0"/>
          <w:cols w:space="708"/>
          <w:docGrid w:linePitch="360"/>
        </w:sectPr>
      </w:pPr>
    </w:p>
    <w:p w:rsidR="00E6656E" w:rsidRPr="00AB47FF" w:rsidRDefault="00CF032F" w:rsidP="00CF032F">
      <w:pPr>
        <w:pStyle w:val="Lgende"/>
        <w:spacing w:after="40"/>
        <w:jc w:val="both"/>
      </w:pPr>
      <w:r w:rsidRPr="00AB47FF">
        <w:t>DISCUSSION</w:t>
      </w:r>
    </w:p>
    <w:p w:rsidR="00FD0AF2" w:rsidRPr="00AB47FF" w:rsidRDefault="006647B1" w:rsidP="00CF032F">
      <w:pPr>
        <w:autoSpaceDE w:val="0"/>
        <w:autoSpaceDN w:val="0"/>
        <w:adjustRightInd w:val="0"/>
        <w:spacing w:before="60" w:after="20"/>
        <w:jc w:val="both"/>
        <w:rPr>
          <w:b/>
          <w:bCs/>
          <w:sz w:val="20"/>
          <w:szCs w:val="20"/>
        </w:rPr>
      </w:pPr>
      <w:r>
        <w:rPr>
          <w:b/>
          <w:bCs/>
          <w:sz w:val="20"/>
          <w:szCs w:val="20"/>
        </w:rPr>
        <w:t>F</w:t>
      </w:r>
      <w:r w:rsidR="00D905D1" w:rsidRPr="00AB47FF">
        <w:rPr>
          <w:b/>
          <w:bCs/>
          <w:sz w:val="20"/>
          <w:szCs w:val="20"/>
        </w:rPr>
        <w:t>réquence</w:t>
      </w:r>
    </w:p>
    <w:p w:rsidR="00B26187" w:rsidRPr="00AB47FF" w:rsidRDefault="00B26187" w:rsidP="00AB47FF">
      <w:pPr>
        <w:autoSpaceDE w:val="0"/>
        <w:autoSpaceDN w:val="0"/>
        <w:adjustRightInd w:val="0"/>
        <w:jc w:val="both"/>
        <w:rPr>
          <w:rFonts w:eastAsia="BookmanOldStyle"/>
          <w:sz w:val="20"/>
          <w:szCs w:val="20"/>
          <w:lang w:eastAsia="en-US"/>
        </w:rPr>
      </w:pPr>
      <w:r w:rsidRPr="00AB47FF">
        <w:rPr>
          <w:sz w:val="20"/>
          <w:szCs w:val="20"/>
        </w:rPr>
        <w:t>Le manque de moyens</w:t>
      </w:r>
      <w:r w:rsidR="00EC6ABB" w:rsidRPr="00AB47FF">
        <w:rPr>
          <w:sz w:val="20"/>
          <w:szCs w:val="20"/>
        </w:rPr>
        <w:t xml:space="preserve"> financiers</w:t>
      </w:r>
      <w:r w:rsidRPr="00AB47FF">
        <w:rPr>
          <w:sz w:val="20"/>
          <w:szCs w:val="20"/>
        </w:rPr>
        <w:t xml:space="preserve"> et l’insuffisance du plateau technique à réaliser </w:t>
      </w:r>
      <w:r w:rsidR="00EC6ABB" w:rsidRPr="00AB47FF">
        <w:rPr>
          <w:sz w:val="20"/>
          <w:szCs w:val="20"/>
        </w:rPr>
        <w:t>certains</w:t>
      </w:r>
      <w:r w:rsidRPr="00AB47FF">
        <w:rPr>
          <w:sz w:val="20"/>
          <w:szCs w:val="20"/>
        </w:rPr>
        <w:t xml:space="preserve"> examens biologiques, l’incomplétude de certains dossiers de la période rétrospective</w:t>
      </w:r>
      <w:r w:rsidR="00EC6ABB" w:rsidRPr="00AB47FF">
        <w:rPr>
          <w:sz w:val="20"/>
          <w:szCs w:val="20"/>
        </w:rPr>
        <w:t xml:space="preserve"> ont été </w:t>
      </w:r>
      <w:r w:rsidR="00EC6ABB" w:rsidRPr="00AB47FF">
        <w:rPr>
          <w:rFonts w:eastAsia="BookmanOldStyle"/>
          <w:sz w:val="20"/>
          <w:szCs w:val="20"/>
          <w:lang w:eastAsia="en-US"/>
        </w:rPr>
        <w:t>facteur limitant dans le suivi et la prise en charge des patientes</w:t>
      </w:r>
      <w:r w:rsidRPr="00AB47FF">
        <w:rPr>
          <w:sz w:val="20"/>
          <w:szCs w:val="20"/>
        </w:rPr>
        <w:t>. Malgré ces limites cette étude nous a permis d’obtenir des résultats comparables à d’autres études.</w:t>
      </w:r>
    </w:p>
    <w:p w:rsidR="00B26187" w:rsidRPr="00AB47FF" w:rsidRDefault="00B26187" w:rsidP="00AB47FF">
      <w:pPr>
        <w:autoSpaceDE w:val="0"/>
        <w:autoSpaceDN w:val="0"/>
        <w:adjustRightInd w:val="0"/>
        <w:jc w:val="both"/>
        <w:rPr>
          <w:bCs/>
          <w:sz w:val="20"/>
          <w:szCs w:val="20"/>
        </w:rPr>
      </w:pPr>
      <w:r w:rsidRPr="00AB47FF">
        <w:rPr>
          <w:color w:val="292526"/>
          <w:sz w:val="20"/>
          <w:szCs w:val="20"/>
        </w:rPr>
        <w:t xml:space="preserve">La </w:t>
      </w:r>
      <w:r w:rsidRPr="00AB47FF">
        <w:rPr>
          <w:sz w:val="20"/>
          <w:szCs w:val="20"/>
        </w:rPr>
        <w:t>fréquence de l’éclampsie pendant la période de gravido puerpéral</w:t>
      </w:r>
      <w:r w:rsidR="00511804" w:rsidRPr="00AB47FF">
        <w:rPr>
          <w:sz w:val="20"/>
          <w:szCs w:val="20"/>
        </w:rPr>
        <w:t>ité</w:t>
      </w:r>
      <w:r w:rsidRPr="00AB47FF">
        <w:rPr>
          <w:sz w:val="20"/>
          <w:szCs w:val="20"/>
        </w:rPr>
        <w:t xml:space="preserve"> était de 2,9%. Cette fréquence varie selon les auteurs c’est ainsi que la nôtre était supérieure à celles rapportées par A</w:t>
      </w:r>
      <w:r w:rsidR="006F4DA1" w:rsidRPr="00AB47FF">
        <w:rPr>
          <w:sz w:val="20"/>
          <w:szCs w:val="20"/>
        </w:rPr>
        <w:t>hmadou</w:t>
      </w:r>
      <w:r w:rsidRPr="00AB47FF">
        <w:rPr>
          <w:sz w:val="20"/>
          <w:szCs w:val="20"/>
        </w:rPr>
        <w:t xml:space="preserve"> H. avec 0,78%</w:t>
      </w:r>
      <w:r w:rsidRPr="00AB47FF">
        <w:rPr>
          <w:bCs/>
          <w:sz w:val="20"/>
          <w:szCs w:val="20"/>
        </w:rPr>
        <w:t xml:space="preserve"> </w:t>
      </w:r>
      <w:r w:rsidRPr="00AB47FF">
        <w:rPr>
          <w:sz w:val="20"/>
          <w:szCs w:val="20"/>
        </w:rPr>
        <w:t>de cas</w:t>
      </w:r>
      <w:r w:rsidRPr="00AB47FF">
        <w:rPr>
          <w:bCs/>
          <w:sz w:val="20"/>
          <w:szCs w:val="20"/>
        </w:rPr>
        <w:t xml:space="preserve"> [2], </w:t>
      </w:r>
      <w:r w:rsidR="00C94EE0" w:rsidRPr="00AB47FF">
        <w:rPr>
          <w:sz w:val="20"/>
          <w:szCs w:val="20"/>
        </w:rPr>
        <w:t>Cissé</w:t>
      </w:r>
      <w:r w:rsidRPr="00AB47FF">
        <w:rPr>
          <w:sz w:val="20"/>
          <w:szCs w:val="20"/>
        </w:rPr>
        <w:t xml:space="preserve"> CT. et Al avec 0,8% de cas</w:t>
      </w:r>
      <w:r w:rsidR="00511804" w:rsidRPr="00AB47FF">
        <w:rPr>
          <w:sz w:val="20"/>
          <w:szCs w:val="20"/>
        </w:rPr>
        <w:t xml:space="preserve"> </w:t>
      </w:r>
      <w:r w:rsidR="00511804" w:rsidRPr="00AB47FF">
        <w:rPr>
          <w:bCs/>
          <w:sz w:val="20"/>
          <w:szCs w:val="20"/>
        </w:rPr>
        <w:t>[3]</w:t>
      </w:r>
      <w:r w:rsidRPr="00AB47FF">
        <w:rPr>
          <w:sz w:val="20"/>
          <w:szCs w:val="20"/>
        </w:rPr>
        <w:t xml:space="preserve">, </w:t>
      </w:r>
      <w:r w:rsidR="00511804" w:rsidRPr="00AB47FF">
        <w:rPr>
          <w:sz w:val="20"/>
          <w:szCs w:val="20"/>
        </w:rPr>
        <w:t>P</w:t>
      </w:r>
      <w:r w:rsidR="006F4DA1" w:rsidRPr="00AB47FF">
        <w:rPr>
          <w:sz w:val="20"/>
          <w:szCs w:val="20"/>
        </w:rPr>
        <w:t>ambou</w:t>
      </w:r>
      <w:r w:rsidR="00511804" w:rsidRPr="00AB47FF">
        <w:rPr>
          <w:sz w:val="20"/>
          <w:szCs w:val="20"/>
        </w:rPr>
        <w:t xml:space="preserve"> O. et A</w:t>
      </w:r>
      <w:r w:rsidR="006F4DA1" w:rsidRPr="00AB47FF">
        <w:rPr>
          <w:sz w:val="20"/>
          <w:szCs w:val="20"/>
        </w:rPr>
        <w:t>l</w:t>
      </w:r>
      <w:r w:rsidR="00511804" w:rsidRPr="00AB47FF">
        <w:rPr>
          <w:sz w:val="20"/>
          <w:szCs w:val="20"/>
        </w:rPr>
        <w:t xml:space="preserve"> avec 0,32% de cas </w:t>
      </w:r>
      <w:r w:rsidR="00511804" w:rsidRPr="00AB47FF">
        <w:rPr>
          <w:bCs/>
          <w:sz w:val="20"/>
          <w:szCs w:val="20"/>
        </w:rPr>
        <w:t xml:space="preserve">[4], </w:t>
      </w:r>
      <w:r w:rsidR="00D905D1" w:rsidRPr="00AB47FF">
        <w:rPr>
          <w:sz w:val="20"/>
          <w:szCs w:val="20"/>
        </w:rPr>
        <w:t>D</w:t>
      </w:r>
      <w:r w:rsidR="006F4DA1" w:rsidRPr="00AB47FF">
        <w:rPr>
          <w:sz w:val="20"/>
          <w:szCs w:val="20"/>
        </w:rPr>
        <w:t>embele</w:t>
      </w:r>
      <w:r w:rsidR="00D905D1" w:rsidRPr="00AB47FF">
        <w:rPr>
          <w:sz w:val="20"/>
          <w:szCs w:val="20"/>
        </w:rPr>
        <w:t xml:space="preserve"> </w:t>
      </w:r>
      <w:r w:rsidR="00AE6453">
        <w:rPr>
          <w:sz w:val="20"/>
          <w:szCs w:val="20"/>
        </w:rPr>
        <w:t>N F. avec 1,13% de cas</w:t>
      </w:r>
      <w:r w:rsidR="00511804" w:rsidRPr="00AB47FF">
        <w:rPr>
          <w:bCs/>
          <w:sz w:val="20"/>
          <w:szCs w:val="20"/>
        </w:rPr>
        <w:t xml:space="preserve"> [5].</w:t>
      </w:r>
    </w:p>
    <w:p w:rsidR="00511804" w:rsidRPr="00AB47FF" w:rsidRDefault="00511804" w:rsidP="00AB47FF">
      <w:pPr>
        <w:autoSpaceDE w:val="0"/>
        <w:autoSpaceDN w:val="0"/>
        <w:adjustRightInd w:val="0"/>
        <w:jc w:val="both"/>
        <w:rPr>
          <w:sz w:val="20"/>
          <w:szCs w:val="20"/>
        </w:rPr>
      </w:pPr>
      <w:r w:rsidRPr="00AB47FF">
        <w:rPr>
          <w:sz w:val="20"/>
          <w:szCs w:val="20"/>
        </w:rPr>
        <w:t>Notre fréquence</w:t>
      </w:r>
      <w:r w:rsidR="00C94EE0">
        <w:rPr>
          <w:sz w:val="20"/>
          <w:szCs w:val="20"/>
        </w:rPr>
        <w:t xml:space="preserve"> élevée</w:t>
      </w:r>
      <w:r w:rsidRPr="00AB47FF">
        <w:rPr>
          <w:sz w:val="20"/>
          <w:szCs w:val="20"/>
        </w:rPr>
        <w:t xml:space="preserve"> pourrait s’expliquer par la gratuité de la césarienne au Mali mais aussi par le fait que notre hôpital dispose un service de réanimation </w:t>
      </w:r>
      <w:r w:rsidR="00577A40" w:rsidRPr="00AB47FF">
        <w:rPr>
          <w:sz w:val="20"/>
          <w:szCs w:val="20"/>
        </w:rPr>
        <w:t>recevant ainsi les</w:t>
      </w:r>
      <w:r w:rsidRPr="00AB47FF">
        <w:rPr>
          <w:sz w:val="20"/>
          <w:szCs w:val="20"/>
        </w:rPr>
        <w:t xml:space="preserve"> référence</w:t>
      </w:r>
      <w:r w:rsidR="00577A40" w:rsidRPr="00AB47FF">
        <w:rPr>
          <w:sz w:val="20"/>
          <w:szCs w:val="20"/>
        </w:rPr>
        <w:t>s</w:t>
      </w:r>
      <w:r w:rsidRPr="00AB47FF">
        <w:rPr>
          <w:sz w:val="20"/>
          <w:szCs w:val="20"/>
        </w:rPr>
        <w:t xml:space="preserve"> de toutes les formations sanitaires de la région et </w:t>
      </w:r>
      <w:r w:rsidR="00577A40" w:rsidRPr="00AB47FF">
        <w:rPr>
          <w:sz w:val="20"/>
          <w:szCs w:val="20"/>
        </w:rPr>
        <w:t xml:space="preserve">de </w:t>
      </w:r>
      <w:r w:rsidRPr="00AB47FF">
        <w:rPr>
          <w:sz w:val="20"/>
          <w:szCs w:val="20"/>
        </w:rPr>
        <w:t>certaines régions limitrophes</w:t>
      </w:r>
      <w:r w:rsidR="00577A40" w:rsidRPr="00AB47FF">
        <w:rPr>
          <w:sz w:val="20"/>
          <w:szCs w:val="20"/>
        </w:rPr>
        <w:t>.</w:t>
      </w:r>
    </w:p>
    <w:p w:rsidR="00577A40" w:rsidRPr="00AB47FF" w:rsidRDefault="00577A40" w:rsidP="00AB47FF">
      <w:pPr>
        <w:autoSpaceDE w:val="0"/>
        <w:autoSpaceDN w:val="0"/>
        <w:adjustRightInd w:val="0"/>
        <w:jc w:val="both"/>
        <w:rPr>
          <w:sz w:val="20"/>
          <w:szCs w:val="20"/>
        </w:rPr>
      </w:pPr>
      <w:bookmarkStart w:id="0" w:name="_Hlk516635506"/>
      <w:r w:rsidRPr="00AB47FF">
        <w:rPr>
          <w:sz w:val="20"/>
          <w:szCs w:val="20"/>
        </w:rPr>
        <w:t>L'éclampsie est rare en Europe, avec une incidence de 1,5 à 3 pour 10 000 grossesses</w:t>
      </w:r>
      <w:r w:rsidR="002F0633" w:rsidRPr="00AB47FF">
        <w:rPr>
          <w:sz w:val="20"/>
          <w:szCs w:val="20"/>
        </w:rPr>
        <w:t xml:space="preserve"> </w:t>
      </w:r>
      <w:r w:rsidR="002F0633" w:rsidRPr="00AB47FF">
        <w:rPr>
          <w:bCs/>
          <w:sz w:val="20"/>
          <w:szCs w:val="20"/>
        </w:rPr>
        <w:t>[6,7].</w:t>
      </w:r>
      <w:bookmarkEnd w:id="0"/>
    </w:p>
    <w:p w:rsidR="00E6656E" w:rsidRPr="00AB47FF" w:rsidRDefault="00562859" w:rsidP="00AB47FF">
      <w:pPr>
        <w:autoSpaceDE w:val="0"/>
        <w:autoSpaceDN w:val="0"/>
        <w:adjustRightInd w:val="0"/>
        <w:jc w:val="both"/>
        <w:rPr>
          <w:bCs/>
          <w:sz w:val="20"/>
          <w:szCs w:val="20"/>
        </w:rPr>
      </w:pPr>
      <w:r w:rsidRPr="00AB47FF">
        <w:rPr>
          <w:sz w:val="20"/>
          <w:szCs w:val="20"/>
        </w:rPr>
        <w:t>L</w:t>
      </w:r>
      <w:r w:rsidR="00301851" w:rsidRPr="00AB47FF">
        <w:rPr>
          <w:sz w:val="20"/>
          <w:szCs w:val="20"/>
        </w:rPr>
        <w:t>e dysfonctionnement du système de santé, la mauvaise organisation des soins de santé qui ont pour conséquences l</w:t>
      </w:r>
      <w:r w:rsidRPr="00AB47FF">
        <w:rPr>
          <w:sz w:val="20"/>
          <w:szCs w:val="20"/>
        </w:rPr>
        <w:t>’absence ou l’irrégularité dans le suivi prénatal</w:t>
      </w:r>
      <w:r w:rsidR="00301851" w:rsidRPr="00AB47FF">
        <w:rPr>
          <w:sz w:val="20"/>
          <w:szCs w:val="20"/>
        </w:rPr>
        <w:t>, le retard de la prise en charge</w:t>
      </w:r>
      <w:r w:rsidRPr="00AB47FF">
        <w:rPr>
          <w:sz w:val="20"/>
          <w:szCs w:val="20"/>
        </w:rPr>
        <w:t xml:space="preserve"> pourrai</w:t>
      </w:r>
      <w:r w:rsidR="00301851" w:rsidRPr="00AB47FF">
        <w:rPr>
          <w:sz w:val="20"/>
          <w:szCs w:val="20"/>
        </w:rPr>
        <w:t>en</w:t>
      </w:r>
      <w:r w:rsidRPr="00AB47FF">
        <w:rPr>
          <w:sz w:val="20"/>
          <w:szCs w:val="20"/>
        </w:rPr>
        <w:t xml:space="preserve">t expliquer cette différence de fréquence entre pays </w:t>
      </w:r>
      <w:r w:rsidR="00301851" w:rsidRPr="00AB47FF">
        <w:rPr>
          <w:sz w:val="20"/>
          <w:szCs w:val="20"/>
        </w:rPr>
        <w:t xml:space="preserve">en voie de développement et les pays </w:t>
      </w:r>
      <w:r w:rsidRPr="00AB47FF">
        <w:rPr>
          <w:sz w:val="20"/>
          <w:szCs w:val="20"/>
        </w:rPr>
        <w:t>développés</w:t>
      </w:r>
      <w:r w:rsidR="00301851" w:rsidRPr="00AB47FF">
        <w:rPr>
          <w:sz w:val="20"/>
          <w:szCs w:val="20"/>
        </w:rPr>
        <w:t>.</w:t>
      </w:r>
    </w:p>
    <w:p w:rsidR="00D003CE" w:rsidRPr="00AB47FF" w:rsidRDefault="00E6656E" w:rsidP="00CF032F">
      <w:pPr>
        <w:autoSpaceDE w:val="0"/>
        <w:autoSpaceDN w:val="0"/>
        <w:adjustRightInd w:val="0"/>
        <w:spacing w:before="60" w:after="20"/>
        <w:jc w:val="both"/>
        <w:rPr>
          <w:b/>
          <w:bCs/>
          <w:sz w:val="20"/>
          <w:szCs w:val="20"/>
        </w:rPr>
      </w:pPr>
      <w:r w:rsidRPr="00AB47FF">
        <w:rPr>
          <w:b/>
          <w:bCs/>
          <w:sz w:val="20"/>
          <w:szCs w:val="20"/>
        </w:rPr>
        <w:t>Caractéristiques sociodémographiques</w:t>
      </w:r>
    </w:p>
    <w:p w:rsidR="00DB6C90" w:rsidRPr="00AB47FF" w:rsidRDefault="003F6AA1" w:rsidP="00AB47FF">
      <w:pPr>
        <w:autoSpaceDE w:val="0"/>
        <w:autoSpaceDN w:val="0"/>
        <w:adjustRightInd w:val="0"/>
        <w:jc w:val="both"/>
        <w:rPr>
          <w:sz w:val="20"/>
          <w:szCs w:val="20"/>
        </w:rPr>
      </w:pPr>
      <w:r w:rsidRPr="00AB47FF">
        <w:rPr>
          <w:bCs/>
          <w:sz w:val="20"/>
          <w:szCs w:val="20"/>
        </w:rPr>
        <w:t>La moyenne</w:t>
      </w:r>
      <w:r w:rsidRPr="00AB47FF">
        <w:rPr>
          <w:sz w:val="20"/>
          <w:szCs w:val="20"/>
        </w:rPr>
        <w:t xml:space="preserve"> </w:t>
      </w:r>
      <w:r w:rsidRPr="00AB47FF">
        <w:rPr>
          <w:bCs/>
          <w:sz w:val="20"/>
          <w:szCs w:val="20"/>
        </w:rPr>
        <w:t>d’âge était</w:t>
      </w:r>
      <w:r w:rsidR="00D003CE" w:rsidRPr="00AB47FF">
        <w:rPr>
          <w:bCs/>
          <w:sz w:val="20"/>
          <w:szCs w:val="20"/>
        </w:rPr>
        <w:t xml:space="preserve"> </w:t>
      </w:r>
      <w:r w:rsidRPr="00AB47FF">
        <w:rPr>
          <w:sz w:val="20"/>
          <w:szCs w:val="20"/>
        </w:rPr>
        <w:t>20,65 ans</w:t>
      </w:r>
      <w:r w:rsidR="00EC6ABB" w:rsidRPr="00AB47FF">
        <w:rPr>
          <w:sz w:val="20"/>
          <w:szCs w:val="20"/>
        </w:rPr>
        <w:t xml:space="preserve"> avec une prédominance de la tranche d’âge de 14 à 19 ans</w:t>
      </w:r>
      <w:r w:rsidR="00DB6C90" w:rsidRPr="00AB47FF">
        <w:rPr>
          <w:sz w:val="20"/>
          <w:szCs w:val="20"/>
        </w:rPr>
        <w:t>. La même tendance a été rapporté</w:t>
      </w:r>
      <w:r w:rsidR="002B1B73">
        <w:rPr>
          <w:sz w:val="20"/>
          <w:szCs w:val="20"/>
        </w:rPr>
        <w:t>e</w:t>
      </w:r>
      <w:r w:rsidR="00DB6C90" w:rsidRPr="00AB47FF">
        <w:rPr>
          <w:sz w:val="20"/>
          <w:szCs w:val="20"/>
        </w:rPr>
        <w:t xml:space="preserve"> par </w:t>
      </w:r>
      <w:r w:rsidR="00DB6C90" w:rsidRPr="00AB47FF">
        <w:rPr>
          <w:rFonts w:eastAsiaTheme="minorHAnsi"/>
          <w:sz w:val="20"/>
          <w:szCs w:val="20"/>
          <w:lang w:eastAsia="en-US"/>
        </w:rPr>
        <w:t>Keïta M et col. avec moyenne d’âge 20</w:t>
      </w:r>
      <w:r w:rsidR="00DB6C90" w:rsidRPr="00AB47FF">
        <w:rPr>
          <w:rFonts w:eastAsiaTheme="minorHAnsi"/>
          <w:bCs/>
          <w:sz w:val="20"/>
          <w:szCs w:val="20"/>
          <w:lang w:eastAsia="en-US"/>
        </w:rPr>
        <w:t>±</w:t>
      </w:r>
      <w:r w:rsidR="00DB6C90" w:rsidRPr="00AB47FF">
        <w:rPr>
          <w:sz w:val="20"/>
          <w:szCs w:val="20"/>
        </w:rPr>
        <w:t xml:space="preserve"> 4ans et prédominance de la tranche d’âge de 15 à 19 ans </w:t>
      </w:r>
      <w:r w:rsidR="00DB6C90" w:rsidRPr="00AB47FF">
        <w:rPr>
          <w:bCs/>
          <w:sz w:val="20"/>
          <w:szCs w:val="20"/>
        </w:rPr>
        <w:t>[8]</w:t>
      </w:r>
      <w:r w:rsidR="00965B7E" w:rsidRPr="00AB47FF">
        <w:rPr>
          <w:bCs/>
          <w:sz w:val="20"/>
          <w:szCs w:val="20"/>
        </w:rPr>
        <w:t>.</w:t>
      </w:r>
    </w:p>
    <w:p w:rsidR="005A205D" w:rsidRPr="00AB47FF" w:rsidRDefault="00D046DE" w:rsidP="00AB47FF">
      <w:pPr>
        <w:autoSpaceDE w:val="0"/>
        <w:autoSpaceDN w:val="0"/>
        <w:adjustRightInd w:val="0"/>
        <w:jc w:val="both"/>
        <w:rPr>
          <w:bCs/>
          <w:sz w:val="20"/>
          <w:szCs w:val="20"/>
        </w:rPr>
      </w:pPr>
      <w:r w:rsidRPr="00AB47FF">
        <w:rPr>
          <w:sz w:val="20"/>
          <w:szCs w:val="20"/>
        </w:rPr>
        <w:t>Notre taux d’adolescentes était de</w:t>
      </w:r>
      <w:r w:rsidR="006B299A" w:rsidRPr="00AB47FF">
        <w:rPr>
          <w:sz w:val="20"/>
          <w:szCs w:val="20"/>
        </w:rPr>
        <w:t xml:space="preserve"> 60,2% de cas</w:t>
      </w:r>
      <w:r w:rsidR="002B1B73">
        <w:rPr>
          <w:sz w:val="20"/>
          <w:szCs w:val="20"/>
        </w:rPr>
        <w:t>,</w:t>
      </w:r>
      <w:r w:rsidR="006B299A" w:rsidRPr="00AB47FF">
        <w:rPr>
          <w:sz w:val="20"/>
          <w:szCs w:val="20"/>
        </w:rPr>
        <w:t xml:space="preserve"> supérieur à ceux d’autres études réalisées au Mali avec respectivement 48% ; 48,60% et 50,8% </w:t>
      </w:r>
      <w:r w:rsidR="006B299A" w:rsidRPr="00AB47FF">
        <w:rPr>
          <w:bCs/>
          <w:sz w:val="20"/>
          <w:szCs w:val="20"/>
        </w:rPr>
        <w:t>[6</w:t>
      </w:r>
      <w:r w:rsidR="006B299A" w:rsidRPr="00AB47FF">
        <w:rPr>
          <w:sz w:val="20"/>
          <w:szCs w:val="20"/>
        </w:rPr>
        <w:t xml:space="preserve">, </w:t>
      </w:r>
      <w:r w:rsidR="006B299A" w:rsidRPr="00AB47FF">
        <w:rPr>
          <w:bCs/>
          <w:sz w:val="20"/>
          <w:szCs w:val="20"/>
        </w:rPr>
        <w:t>7, 5]</w:t>
      </w:r>
      <w:r w:rsidR="00AE6453">
        <w:rPr>
          <w:sz w:val="20"/>
          <w:szCs w:val="20"/>
        </w:rPr>
        <w:t>.</w:t>
      </w:r>
    </w:p>
    <w:p w:rsidR="003F6AA1" w:rsidRPr="00AB47FF" w:rsidRDefault="005A205D" w:rsidP="00AB47FF">
      <w:pPr>
        <w:autoSpaceDE w:val="0"/>
        <w:autoSpaceDN w:val="0"/>
        <w:adjustRightInd w:val="0"/>
        <w:jc w:val="both"/>
        <w:rPr>
          <w:sz w:val="20"/>
          <w:szCs w:val="20"/>
        </w:rPr>
      </w:pPr>
      <w:r w:rsidRPr="00AB47FF">
        <w:rPr>
          <w:sz w:val="20"/>
          <w:szCs w:val="20"/>
        </w:rPr>
        <w:t>La plupart des auteurs s’accordent sur le fait que l’adolescence est un facteur de l’éclampsie dû à leur immaturité physiologique et leur inexpérience pour un suivi prénatal correct.</w:t>
      </w:r>
    </w:p>
    <w:p w:rsidR="005A205D" w:rsidRPr="00AB47FF" w:rsidRDefault="005A205D" w:rsidP="00AB47FF">
      <w:pPr>
        <w:autoSpaceDE w:val="0"/>
        <w:autoSpaceDN w:val="0"/>
        <w:adjustRightInd w:val="0"/>
        <w:jc w:val="both"/>
        <w:rPr>
          <w:rFonts w:eastAsia="BookmanOldStyle"/>
          <w:sz w:val="20"/>
          <w:szCs w:val="20"/>
          <w:lang w:eastAsia="en-US"/>
        </w:rPr>
      </w:pPr>
      <w:r w:rsidRPr="00AB47FF">
        <w:rPr>
          <w:rFonts w:eastAsia="BookmanOldStyle"/>
          <w:sz w:val="20"/>
          <w:szCs w:val="20"/>
          <w:lang w:eastAsia="en-US"/>
        </w:rPr>
        <w:t xml:space="preserve">Selon certaines </w:t>
      </w:r>
      <w:r w:rsidR="00833DDD" w:rsidRPr="00AB47FF">
        <w:rPr>
          <w:rFonts w:eastAsia="BookmanOldStyle"/>
          <w:sz w:val="20"/>
          <w:szCs w:val="20"/>
          <w:lang w:eastAsia="en-US"/>
        </w:rPr>
        <w:t>études</w:t>
      </w:r>
      <w:r w:rsidR="002B1B73">
        <w:rPr>
          <w:rFonts w:eastAsia="BookmanOldStyle"/>
          <w:sz w:val="20"/>
          <w:szCs w:val="20"/>
          <w:lang w:eastAsia="en-US"/>
        </w:rPr>
        <w:t>,</w:t>
      </w:r>
      <w:r w:rsidRPr="00AB47FF">
        <w:rPr>
          <w:rFonts w:eastAsia="BookmanOldStyle"/>
          <w:sz w:val="20"/>
          <w:szCs w:val="20"/>
          <w:lang w:eastAsia="en-US"/>
        </w:rPr>
        <w:t xml:space="preserve"> l’</w:t>
      </w:r>
      <w:r w:rsidR="00833DDD" w:rsidRPr="00AB47FF">
        <w:rPr>
          <w:rFonts w:eastAsia="BookmanOldStyle"/>
          <w:sz w:val="20"/>
          <w:szCs w:val="20"/>
          <w:lang w:eastAsia="en-US"/>
        </w:rPr>
        <w:t>éclampsie</w:t>
      </w:r>
      <w:r w:rsidRPr="00AB47FF">
        <w:rPr>
          <w:rFonts w:eastAsia="BookmanOldStyle"/>
          <w:sz w:val="20"/>
          <w:szCs w:val="20"/>
          <w:lang w:eastAsia="en-US"/>
        </w:rPr>
        <w:t xml:space="preserve"> </w:t>
      </w:r>
      <w:r w:rsidR="002B1B73">
        <w:rPr>
          <w:rFonts w:eastAsia="BookmanOldStyle"/>
          <w:sz w:val="20"/>
          <w:szCs w:val="20"/>
          <w:lang w:eastAsia="en-US"/>
        </w:rPr>
        <w:t>serait</w:t>
      </w:r>
      <w:r w:rsidRPr="00AB47FF">
        <w:rPr>
          <w:rFonts w:eastAsia="BookmanOldStyle"/>
          <w:sz w:val="20"/>
          <w:szCs w:val="20"/>
          <w:lang w:eastAsia="en-US"/>
        </w:rPr>
        <w:t xml:space="preserve"> une affection de la femme primipare jeune de moins 25 ans ou de la multipare de plus de 35 ans [8]. Nous avons not</w:t>
      </w:r>
      <w:r w:rsidR="00833DDD" w:rsidRPr="00AB47FF">
        <w:rPr>
          <w:rFonts w:eastAsia="BookmanOldStyle"/>
          <w:sz w:val="20"/>
          <w:szCs w:val="20"/>
          <w:lang w:eastAsia="en-US"/>
        </w:rPr>
        <w:t>é</w:t>
      </w:r>
      <w:r w:rsidRPr="00AB47FF">
        <w:rPr>
          <w:rFonts w:eastAsia="BookmanOldStyle"/>
          <w:sz w:val="20"/>
          <w:szCs w:val="20"/>
          <w:lang w:eastAsia="en-US"/>
        </w:rPr>
        <w:t xml:space="preserve"> une </w:t>
      </w:r>
      <w:r w:rsidR="00833DDD" w:rsidRPr="00AB47FF">
        <w:rPr>
          <w:rFonts w:eastAsia="BookmanOldStyle"/>
          <w:sz w:val="20"/>
          <w:szCs w:val="20"/>
          <w:lang w:eastAsia="en-US"/>
        </w:rPr>
        <w:t>prédominance</w:t>
      </w:r>
      <w:r w:rsidRPr="00AB47FF">
        <w:rPr>
          <w:rFonts w:eastAsia="BookmanOldStyle"/>
          <w:sz w:val="20"/>
          <w:szCs w:val="20"/>
          <w:lang w:eastAsia="en-US"/>
        </w:rPr>
        <w:t xml:space="preserve"> des primi</w:t>
      </w:r>
      <w:r w:rsidR="00833DDD" w:rsidRPr="00AB47FF">
        <w:rPr>
          <w:rFonts w:eastAsia="BookmanOldStyle"/>
          <w:sz w:val="20"/>
          <w:szCs w:val="20"/>
          <w:lang w:eastAsia="en-US"/>
        </w:rPr>
        <w:t>g</w:t>
      </w:r>
      <w:r w:rsidRPr="00AB47FF">
        <w:rPr>
          <w:rFonts w:eastAsia="BookmanOldStyle"/>
          <w:sz w:val="20"/>
          <w:szCs w:val="20"/>
          <w:lang w:eastAsia="en-US"/>
        </w:rPr>
        <w:t>es</w:t>
      </w:r>
      <w:r w:rsidR="00833DDD" w:rsidRPr="00AB47FF">
        <w:rPr>
          <w:rFonts w:eastAsia="BookmanOldStyle"/>
          <w:sz w:val="20"/>
          <w:szCs w:val="20"/>
          <w:lang w:eastAsia="en-US"/>
        </w:rPr>
        <w:t xml:space="preserve">te </w:t>
      </w:r>
      <w:r w:rsidR="00833DDD" w:rsidRPr="00AB47FF">
        <w:rPr>
          <w:sz w:val="20"/>
          <w:szCs w:val="20"/>
        </w:rPr>
        <w:t>(74,4%).</w:t>
      </w:r>
      <w:r w:rsidR="00833DDD" w:rsidRPr="00AB47FF">
        <w:rPr>
          <w:rFonts w:eastAsia="BookmanOldStyle"/>
          <w:sz w:val="20"/>
          <w:szCs w:val="20"/>
          <w:lang w:eastAsia="en-US"/>
        </w:rPr>
        <w:t xml:space="preserve"> </w:t>
      </w:r>
      <w:r w:rsidRPr="00AB47FF">
        <w:rPr>
          <w:rFonts w:eastAsia="BookmanOldStyle"/>
          <w:sz w:val="20"/>
          <w:szCs w:val="20"/>
          <w:lang w:eastAsia="en-US"/>
        </w:rPr>
        <w:t xml:space="preserve">Cette </w:t>
      </w:r>
      <w:r w:rsidR="00833DDD" w:rsidRPr="00AB47FF">
        <w:rPr>
          <w:rFonts w:eastAsia="BookmanOldStyle"/>
          <w:sz w:val="20"/>
          <w:szCs w:val="20"/>
          <w:lang w:eastAsia="en-US"/>
        </w:rPr>
        <w:t>prédominance</w:t>
      </w:r>
      <w:r w:rsidRPr="00AB47FF">
        <w:rPr>
          <w:rFonts w:eastAsia="BookmanOldStyle"/>
          <w:sz w:val="20"/>
          <w:szCs w:val="20"/>
          <w:lang w:eastAsia="en-US"/>
        </w:rPr>
        <w:t xml:space="preserve"> de primipares jeunes est</w:t>
      </w:r>
      <w:r w:rsidR="00833DDD" w:rsidRPr="00AB47FF">
        <w:rPr>
          <w:rFonts w:eastAsia="BookmanOldStyle"/>
          <w:sz w:val="20"/>
          <w:szCs w:val="20"/>
          <w:lang w:eastAsia="en-US"/>
        </w:rPr>
        <w:t xml:space="preserve"> rapportée</w:t>
      </w:r>
      <w:r w:rsidR="002B1B73">
        <w:rPr>
          <w:rFonts w:eastAsia="BookmanOldStyle"/>
          <w:sz w:val="20"/>
          <w:szCs w:val="20"/>
          <w:lang w:eastAsia="en-US"/>
        </w:rPr>
        <w:t xml:space="preserve"> par </w:t>
      </w:r>
      <w:r w:rsidRPr="00AB47FF">
        <w:rPr>
          <w:rFonts w:eastAsia="BookmanOldStyle"/>
          <w:sz w:val="20"/>
          <w:szCs w:val="20"/>
          <w:lang w:eastAsia="en-US"/>
        </w:rPr>
        <w:t xml:space="preserve">Beye </w:t>
      </w:r>
      <w:r w:rsidR="002B1B73">
        <w:rPr>
          <w:rFonts w:eastAsia="BookmanOldStyle"/>
          <w:sz w:val="20"/>
          <w:szCs w:val="20"/>
          <w:lang w:eastAsia="en-US"/>
        </w:rPr>
        <w:t xml:space="preserve">MD </w:t>
      </w:r>
      <w:r w:rsidRPr="00AB47FF">
        <w:rPr>
          <w:rFonts w:eastAsia="BookmanOldStyle"/>
          <w:sz w:val="20"/>
          <w:szCs w:val="20"/>
          <w:lang w:eastAsia="en-US"/>
        </w:rPr>
        <w:t>et al [</w:t>
      </w:r>
      <w:r w:rsidR="00833DDD" w:rsidRPr="00AB47FF">
        <w:rPr>
          <w:rFonts w:eastAsia="BookmanOldStyle"/>
          <w:sz w:val="20"/>
          <w:szCs w:val="20"/>
          <w:lang w:eastAsia="en-US"/>
        </w:rPr>
        <w:t>9</w:t>
      </w:r>
      <w:r w:rsidRPr="00AB47FF">
        <w:rPr>
          <w:rFonts w:eastAsia="BookmanOldStyle"/>
          <w:sz w:val="20"/>
          <w:szCs w:val="20"/>
          <w:lang w:eastAsia="en-US"/>
        </w:rPr>
        <w:t>] (64,2%) et</w:t>
      </w:r>
      <w:r w:rsidR="00833DDD" w:rsidRPr="00AB47FF">
        <w:rPr>
          <w:rFonts w:eastAsia="BookmanOldStyle"/>
          <w:sz w:val="20"/>
          <w:szCs w:val="20"/>
          <w:lang w:eastAsia="en-US"/>
        </w:rPr>
        <w:t xml:space="preserve"> </w:t>
      </w:r>
      <w:r w:rsidRPr="00AB47FF">
        <w:rPr>
          <w:rFonts w:eastAsia="BookmanOldStyle"/>
          <w:sz w:val="20"/>
          <w:szCs w:val="20"/>
          <w:lang w:eastAsia="en-US"/>
        </w:rPr>
        <w:t xml:space="preserve">par </w:t>
      </w:r>
      <w:r w:rsidR="00833DDD" w:rsidRPr="00AB47FF">
        <w:rPr>
          <w:rFonts w:eastAsia="BookmanOldStyle"/>
          <w:sz w:val="20"/>
          <w:szCs w:val="20"/>
          <w:lang w:eastAsia="en-US"/>
        </w:rPr>
        <w:t>Cissé</w:t>
      </w:r>
      <w:r w:rsidRPr="00AB47FF">
        <w:rPr>
          <w:rFonts w:eastAsia="BookmanOldStyle"/>
          <w:sz w:val="20"/>
          <w:szCs w:val="20"/>
          <w:lang w:eastAsia="en-US"/>
        </w:rPr>
        <w:t xml:space="preserve"> CT et al [</w:t>
      </w:r>
      <w:r w:rsidR="00833DDD" w:rsidRPr="00AB47FF">
        <w:rPr>
          <w:rFonts w:eastAsia="BookmanOldStyle"/>
          <w:sz w:val="20"/>
          <w:szCs w:val="20"/>
          <w:lang w:eastAsia="en-US"/>
        </w:rPr>
        <w:t>10</w:t>
      </w:r>
      <w:r w:rsidRPr="00AB47FF">
        <w:rPr>
          <w:rFonts w:eastAsia="BookmanOldStyle"/>
          <w:sz w:val="20"/>
          <w:szCs w:val="20"/>
          <w:lang w:eastAsia="en-US"/>
        </w:rPr>
        <w:t>]</w:t>
      </w:r>
      <w:r w:rsidR="00833DDD" w:rsidRPr="00AB47FF">
        <w:rPr>
          <w:rFonts w:eastAsia="BookmanOldStyle"/>
          <w:sz w:val="20"/>
          <w:szCs w:val="20"/>
          <w:lang w:eastAsia="en-US"/>
        </w:rPr>
        <w:t xml:space="preserve"> </w:t>
      </w:r>
      <w:r w:rsidRPr="00AB47FF">
        <w:rPr>
          <w:rFonts w:eastAsia="BookmanOldStyle"/>
          <w:sz w:val="20"/>
          <w:szCs w:val="20"/>
          <w:lang w:eastAsia="en-US"/>
        </w:rPr>
        <w:t>(74,4%</w:t>
      </w:r>
      <w:r w:rsidR="00833DDD" w:rsidRPr="00AB47FF">
        <w:rPr>
          <w:rFonts w:eastAsia="BookmanOldStyle"/>
          <w:sz w:val="20"/>
          <w:szCs w:val="20"/>
          <w:lang w:eastAsia="en-US"/>
        </w:rPr>
        <w:t>)</w:t>
      </w:r>
      <w:r w:rsidR="00C33065" w:rsidRPr="00AB47FF">
        <w:rPr>
          <w:rFonts w:eastAsia="BookmanOldStyle"/>
          <w:sz w:val="20"/>
          <w:szCs w:val="20"/>
          <w:lang w:eastAsia="en-US"/>
        </w:rPr>
        <w:t>.</w:t>
      </w:r>
    </w:p>
    <w:p w:rsidR="00C33065" w:rsidRPr="00AB47FF" w:rsidRDefault="00C33065" w:rsidP="00AB47FF">
      <w:pPr>
        <w:autoSpaceDE w:val="0"/>
        <w:autoSpaceDN w:val="0"/>
        <w:adjustRightInd w:val="0"/>
        <w:jc w:val="both"/>
        <w:rPr>
          <w:rFonts w:eastAsia="BookmanOldStyle"/>
          <w:sz w:val="20"/>
          <w:szCs w:val="20"/>
          <w:lang w:eastAsia="en-US"/>
        </w:rPr>
      </w:pPr>
      <w:r w:rsidRPr="00AB47FF">
        <w:rPr>
          <w:rFonts w:eastAsia="BookmanOldStyle"/>
          <w:sz w:val="20"/>
          <w:szCs w:val="20"/>
          <w:lang w:eastAsia="en-US"/>
        </w:rPr>
        <w:t xml:space="preserve">Nous avons </w:t>
      </w:r>
      <w:r w:rsidRPr="00AB47FF">
        <w:rPr>
          <w:sz w:val="20"/>
          <w:szCs w:val="20"/>
        </w:rPr>
        <w:t>77,3% de femmes au foyer contre 22,7% de célibataires. Notre taux de célibataire est inférieur à celui de A</w:t>
      </w:r>
      <w:r w:rsidR="006F4DA1" w:rsidRPr="00AB47FF">
        <w:rPr>
          <w:sz w:val="20"/>
          <w:szCs w:val="20"/>
        </w:rPr>
        <w:t>hmadou</w:t>
      </w:r>
      <w:r w:rsidRPr="00AB47FF">
        <w:rPr>
          <w:sz w:val="20"/>
          <w:szCs w:val="20"/>
        </w:rPr>
        <w:t xml:space="preserve"> H. [2] et supérieur à celui de H</w:t>
      </w:r>
      <w:r w:rsidR="006F4DA1" w:rsidRPr="00AB47FF">
        <w:rPr>
          <w:sz w:val="20"/>
          <w:szCs w:val="20"/>
        </w:rPr>
        <w:t>amda</w:t>
      </w:r>
      <w:r w:rsidRPr="00AB47FF">
        <w:rPr>
          <w:sz w:val="20"/>
          <w:szCs w:val="20"/>
        </w:rPr>
        <w:t xml:space="preserve"> S. [10] </w:t>
      </w:r>
      <w:r w:rsidR="002B1B73">
        <w:rPr>
          <w:sz w:val="20"/>
          <w:szCs w:val="20"/>
        </w:rPr>
        <w:t>qui avaient</w:t>
      </w:r>
      <w:r w:rsidRPr="00AB47FF">
        <w:rPr>
          <w:sz w:val="20"/>
          <w:szCs w:val="20"/>
        </w:rPr>
        <w:t xml:space="preserve"> respectivement 24,74% et 20,60 %</w:t>
      </w:r>
      <w:r w:rsidR="005E7409" w:rsidRPr="00AB47FF">
        <w:rPr>
          <w:sz w:val="20"/>
          <w:szCs w:val="20"/>
        </w:rPr>
        <w:t xml:space="preserve"> de cas. Les femmes célibataires dans notre pays </w:t>
      </w:r>
      <w:r w:rsidR="00A778BC" w:rsidRPr="00AB47FF">
        <w:rPr>
          <w:sz w:val="20"/>
          <w:szCs w:val="20"/>
        </w:rPr>
        <w:t xml:space="preserve">sont </w:t>
      </w:r>
      <w:r w:rsidR="005E7409" w:rsidRPr="00AB47FF">
        <w:rPr>
          <w:sz w:val="20"/>
          <w:szCs w:val="20"/>
        </w:rPr>
        <w:t xml:space="preserve">le plus souvent sans </w:t>
      </w:r>
      <w:r w:rsidR="00A778BC" w:rsidRPr="00AB47FF">
        <w:rPr>
          <w:sz w:val="20"/>
          <w:szCs w:val="20"/>
        </w:rPr>
        <w:t>soutien</w:t>
      </w:r>
      <w:r w:rsidR="005E7409" w:rsidRPr="00AB47FF">
        <w:rPr>
          <w:sz w:val="20"/>
          <w:szCs w:val="20"/>
        </w:rPr>
        <w:t xml:space="preserve"> financier les incitant à des comportement</w:t>
      </w:r>
      <w:r w:rsidR="002B1B73">
        <w:rPr>
          <w:sz w:val="20"/>
          <w:szCs w:val="20"/>
        </w:rPr>
        <w:t>s</w:t>
      </w:r>
      <w:r w:rsidR="005E7409" w:rsidRPr="00AB47FF">
        <w:rPr>
          <w:sz w:val="20"/>
          <w:szCs w:val="20"/>
        </w:rPr>
        <w:t xml:space="preserve"> à risque de grossesse non désirée dont l’auteur n’est pas toujours identifié</w:t>
      </w:r>
      <w:r w:rsidR="002B1B73">
        <w:rPr>
          <w:sz w:val="20"/>
          <w:szCs w:val="20"/>
        </w:rPr>
        <w:t>.</w:t>
      </w:r>
    </w:p>
    <w:p w:rsidR="00E6656E" w:rsidRPr="00AB47FF" w:rsidRDefault="00444694" w:rsidP="00AB47FF">
      <w:pPr>
        <w:autoSpaceDE w:val="0"/>
        <w:autoSpaceDN w:val="0"/>
        <w:adjustRightInd w:val="0"/>
        <w:jc w:val="both"/>
        <w:rPr>
          <w:sz w:val="20"/>
          <w:szCs w:val="20"/>
        </w:rPr>
      </w:pPr>
      <w:r w:rsidRPr="00AB47FF">
        <w:rPr>
          <w:sz w:val="20"/>
          <w:szCs w:val="20"/>
        </w:rPr>
        <w:t>La prise en charge financière des grossesses des célibataires pose problèmes le plus souvent. Parfois l’auteur de la grossesse n’est pas connu. Cependant, même si ce dernier est connu, il y a un refus de reconnaitre cette paternité de la grossesse.</w:t>
      </w:r>
      <w:r w:rsidR="00B4019D" w:rsidRPr="00AB47FF">
        <w:rPr>
          <w:sz w:val="20"/>
          <w:szCs w:val="20"/>
        </w:rPr>
        <w:t xml:space="preserve"> </w:t>
      </w:r>
      <w:r w:rsidR="00AE6453">
        <w:rPr>
          <w:sz w:val="20"/>
          <w:szCs w:val="20"/>
        </w:rPr>
        <w:t>Nous pensons comme M</w:t>
      </w:r>
      <w:r w:rsidR="006F4DA1">
        <w:rPr>
          <w:sz w:val="20"/>
          <w:szCs w:val="20"/>
        </w:rPr>
        <w:t>erger</w:t>
      </w:r>
      <w:r w:rsidR="00E6656E" w:rsidRPr="00AB47FF">
        <w:rPr>
          <w:sz w:val="20"/>
          <w:szCs w:val="20"/>
        </w:rPr>
        <w:t xml:space="preserve"> R</w:t>
      </w:r>
      <w:r w:rsidR="00770D2C" w:rsidRPr="00AB47FF">
        <w:rPr>
          <w:sz w:val="20"/>
          <w:szCs w:val="20"/>
        </w:rPr>
        <w:t>.</w:t>
      </w:r>
      <w:r w:rsidR="00E6656E" w:rsidRPr="00AB47FF">
        <w:rPr>
          <w:sz w:val="20"/>
          <w:szCs w:val="20"/>
        </w:rPr>
        <w:t xml:space="preserve"> </w:t>
      </w:r>
      <w:r w:rsidR="00E6656E" w:rsidRPr="00AB47FF">
        <w:rPr>
          <w:bCs/>
          <w:sz w:val="20"/>
          <w:szCs w:val="20"/>
        </w:rPr>
        <w:t>[</w:t>
      </w:r>
      <w:r w:rsidR="00DE5186" w:rsidRPr="00AB47FF">
        <w:rPr>
          <w:bCs/>
          <w:sz w:val="20"/>
          <w:szCs w:val="20"/>
        </w:rPr>
        <w:t>8</w:t>
      </w:r>
      <w:r w:rsidR="00E6656E" w:rsidRPr="00AB47FF">
        <w:rPr>
          <w:bCs/>
          <w:sz w:val="20"/>
          <w:szCs w:val="20"/>
        </w:rPr>
        <w:t>]</w:t>
      </w:r>
      <w:r w:rsidR="00E6656E" w:rsidRPr="00AB47FF">
        <w:rPr>
          <w:sz w:val="20"/>
          <w:szCs w:val="20"/>
        </w:rPr>
        <w:t xml:space="preserve"> que les primigestes jeunes sont le plus souvent exposées à cette pathologie.</w:t>
      </w:r>
      <w:r w:rsidR="00832524" w:rsidRPr="00AB47FF">
        <w:rPr>
          <w:sz w:val="20"/>
          <w:szCs w:val="20"/>
        </w:rPr>
        <w:t xml:space="preserve"> Il apparaît d’une part que les âges correspondant au pic des </w:t>
      </w:r>
      <w:r w:rsidR="002D61E0" w:rsidRPr="00AB47FF">
        <w:rPr>
          <w:sz w:val="20"/>
          <w:szCs w:val="20"/>
        </w:rPr>
        <w:t>éclampsies</w:t>
      </w:r>
      <w:r w:rsidR="00832524" w:rsidRPr="00AB47FF">
        <w:rPr>
          <w:sz w:val="20"/>
          <w:szCs w:val="20"/>
        </w:rPr>
        <w:t xml:space="preserve"> sont ceux de la période de procréation optimum. D’autre part, qu’à travers l’âge transparaît des réalités socioculturelles.</w:t>
      </w:r>
      <w:r w:rsidRPr="00AB47FF">
        <w:rPr>
          <w:sz w:val="20"/>
          <w:szCs w:val="20"/>
        </w:rPr>
        <w:t xml:space="preserve"> </w:t>
      </w:r>
      <w:r w:rsidR="00D42E11" w:rsidRPr="00AB47FF">
        <w:rPr>
          <w:sz w:val="20"/>
          <w:szCs w:val="20"/>
        </w:rPr>
        <w:t>En fait cette différence cache une même réalité qui est le faible pouvoir d’achat et de décision des femmes concernées. D</w:t>
      </w:r>
      <w:r w:rsidR="00E6656E" w:rsidRPr="00AB47FF">
        <w:rPr>
          <w:sz w:val="20"/>
          <w:szCs w:val="20"/>
        </w:rPr>
        <w:t>ans notre série 81,8% d</w:t>
      </w:r>
      <w:r w:rsidR="00D003CE" w:rsidRPr="00AB47FF">
        <w:rPr>
          <w:sz w:val="20"/>
          <w:szCs w:val="20"/>
        </w:rPr>
        <w:t xml:space="preserve">’entre elles étaient </w:t>
      </w:r>
      <w:r w:rsidR="00E6656E" w:rsidRPr="00AB47FF">
        <w:rPr>
          <w:sz w:val="20"/>
          <w:szCs w:val="20"/>
        </w:rPr>
        <w:t>non scolarisées et 13,6% avaient un niveau primaire. Il s’ag</w:t>
      </w:r>
      <w:r w:rsidR="00D003CE" w:rsidRPr="00AB47FF">
        <w:rPr>
          <w:sz w:val="20"/>
          <w:szCs w:val="20"/>
        </w:rPr>
        <w:t>issa</w:t>
      </w:r>
      <w:r w:rsidR="00E6656E" w:rsidRPr="00AB47FF">
        <w:rPr>
          <w:sz w:val="20"/>
          <w:szCs w:val="20"/>
        </w:rPr>
        <w:t>it de patientes qui ignoraient le plus souvent l’importance des consultations prénatales dont les grossesses ont été non ou mal suivies. Notre résultat est superposable à ceux de K</w:t>
      </w:r>
      <w:r w:rsidR="006F4DA1" w:rsidRPr="00AB47FF">
        <w:rPr>
          <w:sz w:val="20"/>
          <w:szCs w:val="20"/>
        </w:rPr>
        <w:t>onate</w:t>
      </w:r>
      <w:r w:rsidR="00E6656E" w:rsidRPr="00AB47FF">
        <w:rPr>
          <w:sz w:val="20"/>
          <w:szCs w:val="20"/>
        </w:rPr>
        <w:t xml:space="preserve"> S</w:t>
      </w:r>
      <w:r w:rsidR="00770D2C" w:rsidRPr="00AB47FF">
        <w:rPr>
          <w:sz w:val="20"/>
          <w:szCs w:val="20"/>
        </w:rPr>
        <w:t>.</w:t>
      </w:r>
      <w:r w:rsidR="00E6656E" w:rsidRPr="00AB47FF">
        <w:rPr>
          <w:sz w:val="20"/>
          <w:szCs w:val="20"/>
        </w:rPr>
        <w:t xml:space="preserve"> </w:t>
      </w:r>
      <w:r w:rsidR="00E6656E" w:rsidRPr="00AB47FF">
        <w:rPr>
          <w:bCs/>
          <w:sz w:val="20"/>
          <w:szCs w:val="20"/>
        </w:rPr>
        <w:t>[</w:t>
      </w:r>
      <w:r w:rsidR="00B00881" w:rsidRPr="00AB47FF">
        <w:rPr>
          <w:bCs/>
          <w:sz w:val="20"/>
          <w:szCs w:val="20"/>
        </w:rPr>
        <w:t>9</w:t>
      </w:r>
      <w:r w:rsidR="00E6656E" w:rsidRPr="00AB47FF">
        <w:rPr>
          <w:bCs/>
          <w:sz w:val="20"/>
          <w:szCs w:val="20"/>
        </w:rPr>
        <w:t>]</w:t>
      </w:r>
      <w:r w:rsidR="00E6656E" w:rsidRPr="00AB47FF">
        <w:rPr>
          <w:sz w:val="20"/>
          <w:szCs w:val="20"/>
        </w:rPr>
        <w:t xml:space="preserve"> et de D</w:t>
      </w:r>
      <w:r w:rsidR="006F4DA1" w:rsidRPr="00AB47FF">
        <w:rPr>
          <w:sz w:val="20"/>
          <w:szCs w:val="20"/>
        </w:rPr>
        <w:t>iarra</w:t>
      </w:r>
      <w:r w:rsidR="00E6656E" w:rsidRPr="00AB47FF">
        <w:rPr>
          <w:sz w:val="20"/>
          <w:szCs w:val="20"/>
        </w:rPr>
        <w:t xml:space="preserve"> I</w:t>
      </w:r>
      <w:r w:rsidR="00770D2C" w:rsidRPr="00AB47FF">
        <w:rPr>
          <w:sz w:val="20"/>
          <w:szCs w:val="20"/>
        </w:rPr>
        <w:t>.</w:t>
      </w:r>
      <w:r w:rsidR="00E6656E" w:rsidRPr="00AB47FF">
        <w:rPr>
          <w:sz w:val="20"/>
          <w:szCs w:val="20"/>
        </w:rPr>
        <w:t xml:space="preserve"> </w:t>
      </w:r>
      <w:r w:rsidR="00E6656E" w:rsidRPr="00AB47FF">
        <w:rPr>
          <w:bCs/>
          <w:sz w:val="20"/>
          <w:szCs w:val="20"/>
        </w:rPr>
        <w:t>[</w:t>
      </w:r>
      <w:r w:rsidR="00B00881" w:rsidRPr="00AB47FF">
        <w:rPr>
          <w:bCs/>
          <w:sz w:val="20"/>
          <w:szCs w:val="20"/>
        </w:rPr>
        <w:t>6</w:t>
      </w:r>
      <w:r w:rsidR="00E6656E" w:rsidRPr="00AB47FF">
        <w:rPr>
          <w:bCs/>
          <w:sz w:val="20"/>
          <w:szCs w:val="20"/>
        </w:rPr>
        <w:t>]</w:t>
      </w:r>
      <w:r w:rsidR="00E6656E" w:rsidRPr="00AB47FF">
        <w:rPr>
          <w:sz w:val="20"/>
          <w:szCs w:val="20"/>
        </w:rPr>
        <w:t xml:space="preserve"> qui ont noté respectivement 72,56% et 74%.</w:t>
      </w:r>
      <w:r w:rsidR="00D003CE" w:rsidRPr="00AB47FF">
        <w:rPr>
          <w:sz w:val="20"/>
          <w:szCs w:val="20"/>
        </w:rPr>
        <w:t xml:space="preserve"> Elles n’avaient effectué aucune consultation prénatale dans </w:t>
      </w:r>
      <w:r w:rsidR="00E6656E" w:rsidRPr="00AB47FF">
        <w:rPr>
          <w:sz w:val="20"/>
          <w:szCs w:val="20"/>
        </w:rPr>
        <w:t>61,9%</w:t>
      </w:r>
      <w:r w:rsidR="00D003CE" w:rsidRPr="00AB47FF">
        <w:rPr>
          <w:sz w:val="20"/>
          <w:szCs w:val="20"/>
        </w:rPr>
        <w:t>.</w:t>
      </w:r>
      <w:r w:rsidR="00E6656E" w:rsidRPr="00AB47FF">
        <w:rPr>
          <w:sz w:val="20"/>
          <w:szCs w:val="20"/>
        </w:rPr>
        <w:t xml:space="preserve"> Cependant 38,1%</w:t>
      </w:r>
      <w:r w:rsidR="00D003CE" w:rsidRPr="00AB47FF">
        <w:rPr>
          <w:sz w:val="20"/>
          <w:szCs w:val="20"/>
        </w:rPr>
        <w:t xml:space="preserve"> d’entre elles,</w:t>
      </w:r>
      <w:r w:rsidR="00E6656E" w:rsidRPr="00AB47FF">
        <w:rPr>
          <w:sz w:val="20"/>
          <w:szCs w:val="20"/>
        </w:rPr>
        <w:t xml:space="preserve"> avaient fait entre 1 à 6 </w:t>
      </w:r>
      <w:r w:rsidR="0004635D" w:rsidRPr="00AB47FF">
        <w:rPr>
          <w:sz w:val="20"/>
          <w:szCs w:val="20"/>
        </w:rPr>
        <w:t>consultations prénatales</w:t>
      </w:r>
      <w:r w:rsidR="00E6656E" w:rsidRPr="00AB47FF">
        <w:rPr>
          <w:sz w:val="20"/>
          <w:szCs w:val="20"/>
        </w:rPr>
        <w:t xml:space="preserve"> au cours de leur grossesse</w:t>
      </w:r>
      <w:r w:rsidR="00D003CE" w:rsidRPr="00AB47FF">
        <w:rPr>
          <w:sz w:val="20"/>
          <w:szCs w:val="20"/>
        </w:rPr>
        <w:t>.</w:t>
      </w:r>
      <w:r w:rsidR="00E6656E" w:rsidRPr="00AB47FF">
        <w:rPr>
          <w:sz w:val="20"/>
          <w:szCs w:val="20"/>
        </w:rPr>
        <w:t xml:space="preserve"> </w:t>
      </w:r>
      <w:r w:rsidR="00C61A86" w:rsidRPr="00AB47FF">
        <w:rPr>
          <w:sz w:val="20"/>
          <w:szCs w:val="20"/>
        </w:rPr>
        <w:t xml:space="preserve">Il a </w:t>
      </w:r>
      <w:r w:rsidR="00541460">
        <w:rPr>
          <w:sz w:val="20"/>
          <w:szCs w:val="20"/>
        </w:rPr>
        <w:t>été relevé</w:t>
      </w:r>
      <w:r w:rsidR="00C61A86" w:rsidRPr="00AB47FF">
        <w:rPr>
          <w:sz w:val="20"/>
          <w:szCs w:val="20"/>
        </w:rPr>
        <w:t xml:space="preserve"> que pour celles qui avaient effectué 1 à 6 consultations prénatales et qui</w:t>
      </w:r>
      <w:r w:rsidR="00541460">
        <w:rPr>
          <w:sz w:val="20"/>
          <w:szCs w:val="20"/>
        </w:rPr>
        <w:t xml:space="preserve"> ont</w:t>
      </w:r>
      <w:r w:rsidR="00C61A86" w:rsidRPr="00AB47FF">
        <w:rPr>
          <w:sz w:val="20"/>
          <w:szCs w:val="20"/>
        </w:rPr>
        <w:t xml:space="preserve"> présenté une </w:t>
      </w:r>
      <w:r w:rsidR="00E6656E" w:rsidRPr="00AB47FF">
        <w:rPr>
          <w:sz w:val="20"/>
          <w:szCs w:val="20"/>
        </w:rPr>
        <w:t>éclampsie</w:t>
      </w:r>
      <w:r w:rsidR="00C61A86" w:rsidRPr="00AB47FF">
        <w:rPr>
          <w:sz w:val="20"/>
          <w:szCs w:val="20"/>
        </w:rPr>
        <w:t xml:space="preserve"> témoignent des réalités communautaires</w:t>
      </w:r>
      <w:r w:rsidR="003B6FC3" w:rsidRPr="00AB47FF">
        <w:rPr>
          <w:sz w:val="20"/>
          <w:szCs w:val="20"/>
        </w:rPr>
        <w:t xml:space="preserve"> concernant le pouvoir de décision de la femme à se rendre dans une formation sanitaire</w:t>
      </w:r>
      <w:r w:rsidR="00AD040D">
        <w:rPr>
          <w:sz w:val="20"/>
          <w:szCs w:val="20"/>
        </w:rPr>
        <w:t>.</w:t>
      </w:r>
      <w:r w:rsidR="00C61A86" w:rsidRPr="00AB47FF">
        <w:rPr>
          <w:sz w:val="20"/>
          <w:szCs w:val="20"/>
        </w:rPr>
        <w:t xml:space="preserve"> </w:t>
      </w:r>
      <w:r w:rsidR="00AD040D">
        <w:rPr>
          <w:sz w:val="20"/>
          <w:szCs w:val="20"/>
        </w:rPr>
        <w:t>L</w:t>
      </w:r>
      <w:r w:rsidR="001B3594" w:rsidRPr="00AB47FF">
        <w:rPr>
          <w:sz w:val="20"/>
          <w:szCs w:val="20"/>
        </w:rPr>
        <w:t xml:space="preserve">’absence de fréquentation de ces structures </w:t>
      </w:r>
      <w:r w:rsidR="003B6FC3" w:rsidRPr="00AB47FF">
        <w:rPr>
          <w:sz w:val="20"/>
          <w:szCs w:val="20"/>
        </w:rPr>
        <w:t>et</w:t>
      </w:r>
      <w:r w:rsidR="00C759E9" w:rsidRPr="00AB47FF">
        <w:rPr>
          <w:sz w:val="20"/>
          <w:szCs w:val="20"/>
        </w:rPr>
        <w:t xml:space="preserve"> la manque de personnel qualifié dans la plus part de nos formation</w:t>
      </w:r>
      <w:r w:rsidR="00E817B0" w:rsidRPr="00AB47FF">
        <w:rPr>
          <w:sz w:val="20"/>
          <w:szCs w:val="20"/>
        </w:rPr>
        <w:t>s</w:t>
      </w:r>
      <w:r w:rsidR="00C759E9" w:rsidRPr="00AB47FF">
        <w:rPr>
          <w:sz w:val="20"/>
          <w:szCs w:val="20"/>
        </w:rPr>
        <w:t xml:space="preserve"> sanitaire</w:t>
      </w:r>
      <w:r w:rsidR="00E817B0" w:rsidRPr="00AB47FF">
        <w:rPr>
          <w:sz w:val="20"/>
          <w:szCs w:val="20"/>
        </w:rPr>
        <w:t>s</w:t>
      </w:r>
      <w:r w:rsidR="00AD040D">
        <w:rPr>
          <w:sz w:val="20"/>
          <w:szCs w:val="20"/>
        </w:rPr>
        <w:t xml:space="preserve"> sons aussi des éléments de</w:t>
      </w:r>
      <w:r w:rsidR="00C61A86" w:rsidRPr="00AB47FF">
        <w:rPr>
          <w:sz w:val="20"/>
          <w:szCs w:val="20"/>
        </w:rPr>
        <w:t xml:space="preserve"> mauvaise qualité du suivi</w:t>
      </w:r>
      <w:r w:rsidR="00C759E9" w:rsidRPr="00AB47FF">
        <w:rPr>
          <w:sz w:val="20"/>
          <w:szCs w:val="20"/>
        </w:rPr>
        <w:t xml:space="preserve"> de la grossesse</w:t>
      </w:r>
      <w:r w:rsidR="00E6656E" w:rsidRPr="00AB47FF">
        <w:rPr>
          <w:sz w:val="20"/>
          <w:szCs w:val="20"/>
        </w:rPr>
        <w:t>.</w:t>
      </w:r>
      <w:r w:rsidR="00C759E9" w:rsidRPr="00AB47FF">
        <w:rPr>
          <w:sz w:val="20"/>
          <w:szCs w:val="20"/>
        </w:rPr>
        <w:t xml:space="preserve"> </w:t>
      </w:r>
      <w:r w:rsidR="00E6656E" w:rsidRPr="00AB47FF">
        <w:rPr>
          <w:sz w:val="20"/>
          <w:szCs w:val="20"/>
        </w:rPr>
        <w:t>Certaines patientes avaient des antécédents pathologiques (1,1% d’éclampsie ; 2,9% d’hypertension artérielle)</w:t>
      </w:r>
      <w:r w:rsidR="00C759E9" w:rsidRPr="00AB47FF">
        <w:rPr>
          <w:sz w:val="20"/>
          <w:szCs w:val="20"/>
        </w:rPr>
        <w:t>.</w:t>
      </w:r>
      <w:r w:rsidR="001B3594" w:rsidRPr="00AB47FF">
        <w:rPr>
          <w:sz w:val="20"/>
          <w:szCs w:val="20"/>
        </w:rPr>
        <w:t xml:space="preserve"> </w:t>
      </w:r>
      <w:r w:rsidR="00E6656E" w:rsidRPr="00AB47FF">
        <w:rPr>
          <w:sz w:val="20"/>
          <w:szCs w:val="20"/>
        </w:rPr>
        <w:t xml:space="preserve">Seules les </w:t>
      </w:r>
      <w:r w:rsidR="00C2392E" w:rsidRPr="00AB47FF">
        <w:rPr>
          <w:sz w:val="20"/>
          <w:szCs w:val="20"/>
        </w:rPr>
        <w:t>consultations prénatales</w:t>
      </w:r>
      <w:r w:rsidR="00E6656E" w:rsidRPr="00AB47FF">
        <w:rPr>
          <w:sz w:val="20"/>
          <w:szCs w:val="20"/>
        </w:rPr>
        <w:t xml:space="preserve"> de bonne qualité permettent le dépistage des formes graves de pré-éclampsie et leur prise en charge adéquate, </w:t>
      </w:r>
      <w:r w:rsidR="00AD040D">
        <w:rPr>
          <w:sz w:val="20"/>
          <w:szCs w:val="20"/>
        </w:rPr>
        <w:t xml:space="preserve">et </w:t>
      </w:r>
      <w:r w:rsidR="00E6656E" w:rsidRPr="00AB47FF">
        <w:rPr>
          <w:sz w:val="20"/>
          <w:szCs w:val="20"/>
        </w:rPr>
        <w:t xml:space="preserve">constituent </w:t>
      </w:r>
      <w:r w:rsidR="00C2392E" w:rsidRPr="00AB47FF">
        <w:rPr>
          <w:sz w:val="20"/>
          <w:szCs w:val="20"/>
        </w:rPr>
        <w:t xml:space="preserve">un des </w:t>
      </w:r>
      <w:r w:rsidR="00E6656E" w:rsidRPr="00AB47FF">
        <w:rPr>
          <w:sz w:val="20"/>
          <w:szCs w:val="20"/>
        </w:rPr>
        <w:t>moyen</w:t>
      </w:r>
      <w:r w:rsidR="00C2392E" w:rsidRPr="00AB47FF">
        <w:rPr>
          <w:sz w:val="20"/>
          <w:szCs w:val="20"/>
        </w:rPr>
        <w:t>s</w:t>
      </w:r>
      <w:r w:rsidR="00E6656E" w:rsidRPr="00AB47FF">
        <w:rPr>
          <w:sz w:val="20"/>
          <w:szCs w:val="20"/>
        </w:rPr>
        <w:t xml:space="preserve"> de diminuer la fréquence de l’éclampsie e</w:t>
      </w:r>
      <w:r w:rsidR="00AD040D">
        <w:rPr>
          <w:sz w:val="20"/>
          <w:szCs w:val="20"/>
        </w:rPr>
        <w:t xml:space="preserve">n </w:t>
      </w:r>
      <w:r w:rsidR="00E6656E" w:rsidRPr="00AB47FF">
        <w:rPr>
          <w:sz w:val="20"/>
          <w:szCs w:val="20"/>
        </w:rPr>
        <w:t>amélior</w:t>
      </w:r>
      <w:r w:rsidR="00AD040D">
        <w:rPr>
          <w:sz w:val="20"/>
          <w:szCs w:val="20"/>
        </w:rPr>
        <w:t>ant ainsi</w:t>
      </w:r>
      <w:r w:rsidR="00E6656E" w:rsidRPr="00AB47FF">
        <w:rPr>
          <w:sz w:val="20"/>
          <w:szCs w:val="20"/>
        </w:rPr>
        <w:t xml:space="preserve"> le pronostic materno-fœtal.</w:t>
      </w:r>
    </w:p>
    <w:p w:rsidR="00444694" w:rsidRPr="00AB47FF" w:rsidRDefault="00D9280C" w:rsidP="00AB47FF">
      <w:pPr>
        <w:jc w:val="both"/>
        <w:rPr>
          <w:sz w:val="20"/>
          <w:szCs w:val="20"/>
        </w:rPr>
      </w:pPr>
      <w:r w:rsidRPr="00AB47FF">
        <w:rPr>
          <w:sz w:val="20"/>
          <w:szCs w:val="20"/>
        </w:rPr>
        <w:t xml:space="preserve">La qualité de la référence/évacuation dans un pays peut influencer la fréquence de l’éclampsie. Ainsi, </w:t>
      </w:r>
      <w:r w:rsidR="00E6656E" w:rsidRPr="00AB47FF">
        <w:rPr>
          <w:sz w:val="20"/>
          <w:szCs w:val="20"/>
        </w:rPr>
        <w:t xml:space="preserve">66,4% de nos patientes provenaient des </w:t>
      </w:r>
      <w:r w:rsidRPr="00AB47FF">
        <w:rPr>
          <w:sz w:val="20"/>
          <w:szCs w:val="20"/>
        </w:rPr>
        <w:t>formations sanitaires dans un rayon de 150km</w:t>
      </w:r>
      <w:r w:rsidR="00E6656E" w:rsidRPr="00AB47FF">
        <w:rPr>
          <w:sz w:val="20"/>
          <w:szCs w:val="20"/>
        </w:rPr>
        <w:t xml:space="preserve"> contre 33,6% </w:t>
      </w:r>
      <w:r w:rsidRPr="00AB47FF">
        <w:rPr>
          <w:sz w:val="20"/>
          <w:szCs w:val="20"/>
        </w:rPr>
        <w:t>d’admissions directes</w:t>
      </w:r>
      <w:r w:rsidR="00E6656E" w:rsidRPr="00AB47FF">
        <w:rPr>
          <w:sz w:val="20"/>
          <w:szCs w:val="20"/>
        </w:rPr>
        <w:t>.</w:t>
      </w:r>
      <w:r w:rsidRPr="00AB47FF">
        <w:rPr>
          <w:sz w:val="20"/>
          <w:szCs w:val="20"/>
        </w:rPr>
        <w:t xml:space="preserve"> </w:t>
      </w:r>
      <w:r w:rsidR="00E6656E" w:rsidRPr="00AB47FF">
        <w:rPr>
          <w:sz w:val="20"/>
          <w:szCs w:val="20"/>
        </w:rPr>
        <w:t>Nos résultats sont proches à ceux de D</w:t>
      </w:r>
      <w:r w:rsidR="006F4DA1" w:rsidRPr="00AB47FF">
        <w:rPr>
          <w:sz w:val="20"/>
          <w:szCs w:val="20"/>
        </w:rPr>
        <w:t>embele</w:t>
      </w:r>
      <w:r w:rsidR="00E6656E" w:rsidRPr="00AB47FF">
        <w:rPr>
          <w:sz w:val="20"/>
          <w:szCs w:val="20"/>
        </w:rPr>
        <w:t xml:space="preserve"> NF</w:t>
      </w:r>
      <w:r w:rsidR="00770D2C" w:rsidRPr="00AB47FF">
        <w:rPr>
          <w:sz w:val="20"/>
          <w:szCs w:val="20"/>
        </w:rPr>
        <w:t>.</w:t>
      </w:r>
      <w:r w:rsidR="00E6656E" w:rsidRPr="00AB47FF">
        <w:rPr>
          <w:sz w:val="20"/>
          <w:szCs w:val="20"/>
        </w:rPr>
        <w:t xml:space="preserve"> [</w:t>
      </w:r>
      <w:r w:rsidR="00B00881" w:rsidRPr="00AB47FF">
        <w:rPr>
          <w:sz w:val="20"/>
          <w:szCs w:val="20"/>
        </w:rPr>
        <w:t>5</w:t>
      </w:r>
      <w:r w:rsidR="00E6656E" w:rsidRPr="00AB47FF">
        <w:rPr>
          <w:sz w:val="20"/>
          <w:szCs w:val="20"/>
        </w:rPr>
        <w:t>] qui a rapporté 69% d’évacuation sanitaire pour éclampsie et 31%</w:t>
      </w:r>
      <w:r w:rsidRPr="00AB47FF">
        <w:rPr>
          <w:sz w:val="20"/>
          <w:szCs w:val="20"/>
        </w:rPr>
        <w:t xml:space="preserve"> </w:t>
      </w:r>
      <w:r w:rsidR="00E6656E" w:rsidRPr="00AB47FF">
        <w:rPr>
          <w:sz w:val="20"/>
          <w:szCs w:val="20"/>
        </w:rPr>
        <w:t>d</w:t>
      </w:r>
      <w:r w:rsidRPr="00AB47FF">
        <w:rPr>
          <w:sz w:val="20"/>
          <w:szCs w:val="20"/>
        </w:rPr>
        <w:t>’admission</w:t>
      </w:r>
      <w:r w:rsidR="00770D2C" w:rsidRPr="00AB47FF">
        <w:rPr>
          <w:sz w:val="20"/>
          <w:szCs w:val="20"/>
        </w:rPr>
        <w:t>s</w:t>
      </w:r>
      <w:r w:rsidRPr="00AB47FF">
        <w:rPr>
          <w:sz w:val="20"/>
          <w:szCs w:val="20"/>
        </w:rPr>
        <w:t xml:space="preserve"> directes</w:t>
      </w:r>
      <w:r w:rsidR="00E6656E" w:rsidRPr="00AB47FF">
        <w:rPr>
          <w:sz w:val="20"/>
          <w:szCs w:val="20"/>
        </w:rPr>
        <w:t>.</w:t>
      </w:r>
    </w:p>
    <w:p w:rsidR="00E6656E" w:rsidRPr="00AB47FF" w:rsidRDefault="00E6656E" w:rsidP="00AB47FF">
      <w:pPr>
        <w:jc w:val="both"/>
        <w:rPr>
          <w:sz w:val="20"/>
          <w:szCs w:val="20"/>
        </w:rPr>
      </w:pPr>
      <w:r w:rsidRPr="00AB47FF">
        <w:rPr>
          <w:sz w:val="20"/>
          <w:szCs w:val="20"/>
        </w:rPr>
        <w:t>Dans notre série, les analphabètes étaient les plus atteintes avec 81,8%.</w:t>
      </w:r>
      <w:r w:rsidR="00D9280C" w:rsidRPr="00AB47FF">
        <w:rPr>
          <w:sz w:val="20"/>
          <w:szCs w:val="20"/>
        </w:rPr>
        <w:t xml:space="preserve"> </w:t>
      </w:r>
      <w:r w:rsidRPr="00AB47FF">
        <w:rPr>
          <w:sz w:val="20"/>
          <w:szCs w:val="20"/>
        </w:rPr>
        <w:t>Notre fréquence est supérieure à celle de D</w:t>
      </w:r>
      <w:r w:rsidR="006F4DA1" w:rsidRPr="00AB47FF">
        <w:rPr>
          <w:sz w:val="20"/>
          <w:szCs w:val="20"/>
        </w:rPr>
        <w:t>iarra</w:t>
      </w:r>
      <w:r w:rsidRPr="00AB47FF">
        <w:rPr>
          <w:sz w:val="20"/>
          <w:szCs w:val="20"/>
        </w:rPr>
        <w:t xml:space="preserve"> I</w:t>
      </w:r>
      <w:r w:rsidR="00E731E5" w:rsidRPr="00AB47FF">
        <w:rPr>
          <w:sz w:val="20"/>
          <w:szCs w:val="20"/>
        </w:rPr>
        <w:t>.</w:t>
      </w:r>
      <w:r w:rsidRPr="00AB47FF">
        <w:rPr>
          <w:sz w:val="20"/>
          <w:szCs w:val="20"/>
        </w:rPr>
        <w:t xml:space="preserve"> [</w:t>
      </w:r>
      <w:r w:rsidR="00B00881" w:rsidRPr="00AB47FF">
        <w:rPr>
          <w:sz w:val="20"/>
          <w:szCs w:val="20"/>
        </w:rPr>
        <w:t>6</w:t>
      </w:r>
      <w:r w:rsidRPr="00AB47FF">
        <w:rPr>
          <w:sz w:val="20"/>
          <w:szCs w:val="20"/>
        </w:rPr>
        <w:t>] et inférieure à celle de F</w:t>
      </w:r>
      <w:r w:rsidR="006F4DA1" w:rsidRPr="00AB47FF">
        <w:rPr>
          <w:sz w:val="20"/>
          <w:szCs w:val="20"/>
        </w:rPr>
        <w:t>ofana</w:t>
      </w:r>
      <w:r w:rsidRPr="00AB47FF">
        <w:rPr>
          <w:sz w:val="20"/>
          <w:szCs w:val="20"/>
        </w:rPr>
        <w:t xml:space="preserve"> B</w:t>
      </w:r>
      <w:r w:rsidR="00E731E5" w:rsidRPr="00AB47FF">
        <w:rPr>
          <w:sz w:val="20"/>
          <w:szCs w:val="20"/>
        </w:rPr>
        <w:t>.</w:t>
      </w:r>
      <w:r w:rsidRPr="00AB47FF">
        <w:rPr>
          <w:sz w:val="20"/>
          <w:szCs w:val="20"/>
        </w:rPr>
        <w:t xml:space="preserve"> [</w:t>
      </w:r>
      <w:r w:rsidR="00B00881" w:rsidRPr="00AB47FF">
        <w:rPr>
          <w:sz w:val="20"/>
          <w:szCs w:val="20"/>
        </w:rPr>
        <w:t>11</w:t>
      </w:r>
      <w:r w:rsidRPr="00AB47FF">
        <w:rPr>
          <w:sz w:val="20"/>
          <w:szCs w:val="20"/>
        </w:rPr>
        <w:t xml:space="preserve">] qui ont rapporté respectivement un taux d’analphabétisme de 74% et 85%. </w:t>
      </w:r>
      <w:r w:rsidR="00D9280C" w:rsidRPr="00AB47FF">
        <w:rPr>
          <w:sz w:val="20"/>
          <w:szCs w:val="20"/>
        </w:rPr>
        <w:t>Cela nous montre</w:t>
      </w:r>
      <w:r w:rsidRPr="00AB47FF">
        <w:rPr>
          <w:sz w:val="20"/>
          <w:szCs w:val="20"/>
        </w:rPr>
        <w:t xml:space="preserve"> un taux bas de scolarisation à l’intérieur du pays.</w:t>
      </w:r>
      <w:r w:rsidR="00D9280C" w:rsidRPr="00AB47FF">
        <w:rPr>
          <w:sz w:val="20"/>
          <w:szCs w:val="20"/>
        </w:rPr>
        <w:t xml:space="preserve"> Dans l’organisation de nos sociétés les</w:t>
      </w:r>
      <w:r w:rsidRPr="00AB47FF">
        <w:rPr>
          <w:sz w:val="20"/>
          <w:szCs w:val="20"/>
        </w:rPr>
        <w:t xml:space="preserve"> femmes ont le plus souvent des conditions socio-économiques modestes ou défavorables et ignorent l’importance des </w:t>
      </w:r>
      <w:r w:rsidR="00D9280C" w:rsidRPr="00AB47FF">
        <w:rPr>
          <w:sz w:val="20"/>
          <w:szCs w:val="20"/>
        </w:rPr>
        <w:t>consultations prénatales</w:t>
      </w:r>
      <w:r w:rsidR="00AD040D">
        <w:rPr>
          <w:sz w:val="20"/>
          <w:szCs w:val="20"/>
        </w:rPr>
        <w:t>.</w:t>
      </w:r>
    </w:p>
    <w:p w:rsidR="005F5286" w:rsidRPr="00AB47FF" w:rsidRDefault="00AD040D" w:rsidP="00CF032F">
      <w:pPr>
        <w:autoSpaceDE w:val="0"/>
        <w:autoSpaceDN w:val="0"/>
        <w:adjustRightInd w:val="0"/>
        <w:spacing w:before="60" w:after="20"/>
        <w:jc w:val="both"/>
        <w:rPr>
          <w:b/>
          <w:bCs/>
          <w:sz w:val="20"/>
          <w:szCs w:val="20"/>
        </w:rPr>
      </w:pPr>
      <w:r>
        <w:rPr>
          <w:b/>
          <w:bCs/>
          <w:sz w:val="20"/>
          <w:szCs w:val="20"/>
        </w:rPr>
        <w:t>Aspects cliniques</w:t>
      </w:r>
    </w:p>
    <w:p w:rsidR="00E6656E" w:rsidRPr="00AB47FF" w:rsidRDefault="00E6656E" w:rsidP="00AB47FF">
      <w:pPr>
        <w:autoSpaceDE w:val="0"/>
        <w:autoSpaceDN w:val="0"/>
        <w:adjustRightInd w:val="0"/>
        <w:jc w:val="both"/>
        <w:rPr>
          <w:sz w:val="20"/>
          <w:szCs w:val="20"/>
        </w:rPr>
      </w:pPr>
      <w:r w:rsidRPr="00AB47FF">
        <w:rPr>
          <w:sz w:val="20"/>
          <w:szCs w:val="20"/>
        </w:rPr>
        <w:t>L’</w:t>
      </w:r>
      <w:r w:rsidR="00116BBA">
        <w:rPr>
          <w:sz w:val="20"/>
          <w:szCs w:val="20"/>
        </w:rPr>
        <w:t>HTA</w:t>
      </w:r>
      <w:r w:rsidRPr="00AB47FF">
        <w:rPr>
          <w:sz w:val="20"/>
          <w:szCs w:val="20"/>
        </w:rPr>
        <w:t xml:space="preserve"> est le premier signe d’alarme dans ce contexte d’éclampsie. Elle apparaît comme critère prédictif d’un mauvais pronostic materno-fœtal. Dans notre étude, l’HTA systolique a été retrouvée dans 94,3% avec des extrêmes de 140 et 240 mmHg. Elle était sévère dans 52,8%. </w:t>
      </w:r>
      <w:r w:rsidR="00D2704F" w:rsidRPr="00AB47FF">
        <w:rPr>
          <w:sz w:val="20"/>
          <w:szCs w:val="20"/>
        </w:rPr>
        <w:t>Quant</w:t>
      </w:r>
      <w:r w:rsidRPr="00AB47FF">
        <w:rPr>
          <w:sz w:val="20"/>
          <w:szCs w:val="20"/>
        </w:rPr>
        <w:t xml:space="preserve"> à l’ HTA diastolique qui était le plus souvent associée à cette HTA systolique a été retrouvée dans 96,6% avec </w:t>
      </w:r>
      <w:r w:rsidRPr="00116BBA">
        <w:rPr>
          <w:sz w:val="20"/>
          <w:szCs w:val="20"/>
        </w:rPr>
        <w:t>des extrêmes de 90 et 140 mmHg et elle était sévère dans 35,8%. Notre résultat est supérieur à celui de D</w:t>
      </w:r>
      <w:r w:rsidR="006F4DA1" w:rsidRPr="00116BBA">
        <w:rPr>
          <w:sz w:val="20"/>
          <w:szCs w:val="20"/>
        </w:rPr>
        <w:t>iakite</w:t>
      </w:r>
      <w:r w:rsidRPr="00116BBA">
        <w:rPr>
          <w:sz w:val="20"/>
          <w:szCs w:val="20"/>
        </w:rPr>
        <w:t xml:space="preserve"> M</w:t>
      </w:r>
      <w:r w:rsidR="00E731E5" w:rsidRPr="00116BBA">
        <w:rPr>
          <w:sz w:val="20"/>
          <w:szCs w:val="20"/>
        </w:rPr>
        <w:t>.</w:t>
      </w:r>
      <w:r w:rsidRPr="00116BBA">
        <w:rPr>
          <w:sz w:val="20"/>
          <w:szCs w:val="20"/>
        </w:rPr>
        <w:t xml:space="preserve"> </w:t>
      </w:r>
      <w:r w:rsidRPr="00116BBA">
        <w:rPr>
          <w:bCs/>
          <w:sz w:val="20"/>
          <w:szCs w:val="20"/>
        </w:rPr>
        <w:t>[</w:t>
      </w:r>
      <w:r w:rsidR="00B00881" w:rsidRPr="00116BBA">
        <w:rPr>
          <w:bCs/>
          <w:sz w:val="20"/>
          <w:szCs w:val="20"/>
        </w:rPr>
        <w:t>12</w:t>
      </w:r>
      <w:r w:rsidRPr="00116BBA">
        <w:rPr>
          <w:bCs/>
          <w:sz w:val="20"/>
          <w:szCs w:val="20"/>
        </w:rPr>
        <w:t xml:space="preserve">] </w:t>
      </w:r>
      <w:r w:rsidRPr="00116BBA">
        <w:rPr>
          <w:sz w:val="20"/>
          <w:szCs w:val="20"/>
        </w:rPr>
        <w:t>qui a rapporté 82,6% d’HTA systolique entre 130 et 160 mmHg et sévère dans 50,9% des cas. Et ces patientes présentaient dans 85,6% d’HTA diastolique qui était comprise</w:t>
      </w:r>
      <w:r w:rsidRPr="00AB47FF">
        <w:rPr>
          <w:sz w:val="20"/>
          <w:szCs w:val="20"/>
        </w:rPr>
        <w:t xml:space="preserve"> entre 90 et 100 mmHg et sévère dans 41,8%.</w:t>
      </w:r>
      <w:r w:rsidR="001120E4" w:rsidRPr="00AB47FF">
        <w:rPr>
          <w:sz w:val="20"/>
          <w:szCs w:val="20"/>
        </w:rPr>
        <w:t xml:space="preserve"> </w:t>
      </w:r>
      <w:r w:rsidR="00E97625" w:rsidRPr="00AB47FF">
        <w:rPr>
          <w:sz w:val="20"/>
          <w:szCs w:val="20"/>
        </w:rPr>
        <w:t xml:space="preserve">Les modifications du rythme cardiaque fœtal sont en rapport avec les troubles hémodynamiques maternels qui ont comme corollaire </w:t>
      </w:r>
      <w:r w:rsidR="00E731E5" w:rsidRPr="00AB47FF">
        <w:rPr>
          <w:sz w:val="20"/>
          <w:szCs w:val="20"/>
        </w:rPr>
        <w:t xml:space="preserve">soit de la souffrance fœtale aigue </w:t>
      </w:r>
      <w:r w:rsidR="00E97625" w:rsidRPr="00AB47FF">
        <w:rPr>
          <w:sz w:val="20"/>
          <w:szCs w:val="20"/>
        </w:rPr>
        <w:t xml:space="preserve">soit </w:t>
      </w:r>
      <w:r w:rsidR="00E731E5" w:rsidRPr="00AB47FF">
        <w:rPr>
          <w:sz w:val="20"/>
          <w:szCs w:val="20"/>
        </w:rPr>
        <w:t xml:space="preserve">de </w:t>
      </w:r>
      <w:r w:rsidR="00E97625" w:rsidRPr="00AB47FF">
        <w:rPr>
          <w:sz w:val="20"/>
          <w:szCs w:val="20"/>
        </w:rPr>
        <w:t>la mort du fœtus. La mort fœtale a été diagnostiqué</w:t>
      </w:r>
      <w:r w:rsidR="00116BBA">
        <w:rPr>
          <w:sz w:val="20"/>
          <w:szCs w:val="20"/>
        </w:rPr>
        <w:t>e</w:t>
      </w:r>
      <w:r w:rsidRPr="00AB47FF">
        <w:rPr>
          <w:sz w:val="20"/>
          <w:szCs w:val="20"/>
        </w:rPr>
        <w:t xml:space="preserve"> à l’admission dans 13,9%</w:t>
      </w:r>
      <w:r w:rsidR="00E97625" w:rsidRPr="00AB47FF">
        <w:rPr>
          <w:sz w:val="20"/>
          <w:szCs w:val="20"/>
        </w:rPr>
        <w:t>. Lorsque, ces fœtus étaient vivants, ils avaient une souffrance fœtale avec des anomalies des bruits du cœur du fœtus</w:t>
      </w:r>
      <w:r w:rsidRPr="00AB47FF">
        <w:rPr>
          <w:sz w:val="20"/>
          <w:szCs w:val="20"/>
        </w:rPr>
        <w:t xml:space="preserve"> dans 14,6% (5,4% de bradycardie fœtale et 9,2% de tachycardie fœtale). Notre résultat est inférieur à celui de D</w:t>
      </w:r>
      <w:r w:rsidR="006F4DA1" w:rsidRPr="00AB47FF">
        <w:rPr>
          <w:sz w:val="20"/>
          <w:szCs w:val="20"/>
        </w:rPr>
        <w:t>iarra</w:t>
      </w:r>
      <w:r w:rsidRPr="00AB47FF">
        <w:rPr>
          <w:sz w:val="20"/>
          <w:szCs w:val="20"/>
        </w:rPr>
        <w:t xml:space="preserve"> I</w:t>
      </w:r>
      <w:r w:rsidR="00E731E5" w:rsidRPr="00AB47FF">
        <w:rPr>
          <w:sz w:val="20"/>
          <w:szCs w:val="20"/>
        </w:rPr>
        <w:t>.</w:t>
      </w:r>
      <w:r w:rsidRPr="00AB47FF">
        <w:rPr>
          <w:sz w:val="20"/>
          <w:szCs w:val="20"/>
        </w:rPr>
        <w:t xml:space="preserve"> </w:t>
      </w:r>
      <w:r w:rsidRPr="00AB47FF">
        <w:rPr>
          <w:b/>
          <w:bCs/>
          <w:sz w:val="20"/>
          <w:szCs w:val="20"/>
          <w:vertAlign w:val="superscript"/>
        </w:rPr>
        <w:t>[</w:t>
      </w:r>
      <w:r w:rsidR="00B00881" w:rsidRPr="00AB47FF">
        <w:rPr>
          <w:b/>
          <w:bCs/>
          <w:sz w:val="20"/>
          <w:szCs w:val="20"/>
          <w:vertAlign w:val="superscript"/>
        </w:rPr>
        <w:t>6</w:t>
      </w:r>
      <w:r w:rsidRPr="00AB47FF">
        <w:rPr>
          <w:b/>
          <w:bCs/>
          <w:sz w:val="20"/>
          <w:szCs w:val="20"/>
          <w:vertAlign w:val="superscript"/>
        </w:rPr>
        <w:t>]</w:t>
      </w:r>
      <w:r w:rsidRPr="00AB47FF">
        <w:rPr>
          <w:sz w:val="20"/>
          <w:szCs w:val="20"/>
        </w:rPr>
        <w:t xml:space="preserve"> qui a rapporté 26% à l’admission et 60% pathologiques (18% de bradycardie fœtale et 42% de tachycardie fœtale).</w:t>
      </w:r>
    </w:p>
    <w:p w:rsidR="00E6656E" w:rsidRPr="00116BBA" w:rsidRDefault="00E6656E" w:rsidP="00AB47FF">
      <w:pPr>
        <w:autoSpaceDE w:val="0"/>
        <w:autoSpaceDN w:val="0"/>
        <w:adjustRightInd w:val="0"/>
        <w:jc w:val="both"/>
        <w:rPr>
          <w:sz w:val="20"/>
          <w:szCs w:val="20"/>
        </w:rPr>
      </w:pPr>
      <w:r w:rsidRPr="00116BBA">
        <w:rPr>
          <w:sz w:val="20"/>
          <w:szCs w:val="20"/>
        </w:rPr>
        <w:t>L’altération de l’état de conscience a été fréquemment notée chez nos patientes allant de la simple obnubilation au coma profond. Cette altération de l’état de conscience était en rapport avec le nombre de crise convulsive.</w:t>
      </w:r>
    </w:p>
    <w:p w:rsidR="00905759" w:rsidRPr="00AB47FF" w:rsidRDefault="00E6656E" w:rsidP="00AB47FF">
      <w:pPr>
        <w:autoSpaceDE w:val="0"/>
        <w:autoSpaceDN w:val="0"/>
        <w:adjustRightInd w:val="0"/>
        <w:jc w:val="both"/>
        <w:rPr>
          <w:sz w:val="20"/>
          <w:szCs w:val="20"/>
        </w:rPr>
      </w:pPr>
      <w:r w:rsidRPr="00116BBA">
        <w:rPr>
          <w:sz w:val="20"/>
          <w:szCs w:val="20"/>
        </w:rPr>
        <w:t>Plus de la moitié de nos patientes avaient leur grossesse à terme comme chez D</w:t>
      </w:r>
      <w:r w:rsidR="006F4DA1" w:rsidRPr="00116BBA">
        <w:rPr>
          <w:sz w:val="20"/>
          <w:szCs w:val="20"/>
        </w:rPr>
        <w:t>iarra</w:t>
      </w:r>
      <w:r w:rsidRPr="00116BBA">
        <w:rPr>
          <w:sz w:val="20"/>
          <w:szCs w:val="20"/>
        </w:rPr>
        <w:t xml:space="preserve"> I</w:t>
      </w:r>
      <w:r w:rsidR="00E731E5" w:rsidRPr="00116BBA">
        <w:rPr>
          <w:sz w:val="20"/>
          <w:szCs w:val="20"/>
        </w:rPr>
        <w:t>.</w:t>
      </w:r>
      <w:r w:rsidRPr="00116BBA">
        <w:rPr>
          <w:sz w:val="20"/>
          <w:szCs w:val="20"/>
        </w:rPr>
        <w:t xml:space="preserve"> </w:t>
      </w:r>
      <w:r w:rsidRPr="00116BBA">
        <w:rPr>
          <w:bCs/>
          <w:sz w:val="20"/>
          <w:szCs w:val="20"/>
        </w:rPr>
        <w:t>[</w:t>
      </w:r>
      <w:r w:rsidR="00B00881" w:rsidRPr="00116BBA">
        <w:rPr>
          <w:bCs/>
          <w:sz w:val="20"/>
          <w:szCs w:val="20"/>
        </w:rPr>
        <w:t>6</w:t>
      </w:r>
      <w:r w:rsidRPr="00116BBA">
        <w:rPr>
          <w:bCs/>
          <w:sz w:val="20"/>
          <w:szCs w:val="20"/>
        </w:rPr>
        <w:t>]</w:t>
      </w:r>
      <w:r w:rsidRPr="00116BBA">
        <w:rPr>
          <w:sz w:val="20"/>
          <w:szCs w:val="20"/>
        </w:rPr>
        <w:t xml:space="preserve"> (54%). Cette tendance est également observée chez </w:t>
      </w:r>
      <w:r w:rsidR="00116BBA" w:rsidRPr="00116BBA">
        <w:rPr>
          <w:sz w:val="20"/>
          <w:szCs w:val="20"/>
        </w:rPr>
        <w:t>Cissé</w:t>
      </w:r>
      <w:r w:rsidRPr="00116BBA">
        <w:rPr>
          <w:sz w:val="20"/>
          <w:szCs w:val="20"/>
        </w:rPr>
        <w:t xml:space="preserve"> CT</w:t>
      </w:r>
      <w:r w:rsidR="00E731E5" w:rsidRPr="00116BBA">
        <w:rPr>
          <w:sz w:val="20"/>
          <w:szCs w:val="20"/>
        </w:rPr>
        <w:t>.</w:t>
      </w:r>
      <w:r w:rsidRPr="00116BBA">
        <w:rPr>
          <w:sz w:val="20"/>
          <w:szCs w:val="20"/>
        </w:rPr>
        <w:t xml:space="preserve"> </w:t>
      </w:r>
      <w:r w:rsidRPr="00116BBA">
        <w:rPr>
          <w:bCs/>
          <w:sz w:val="20"/>
          <w:szCs w:val="20"/>
        </w:rPr>
        <w:t>[</w:t>
      </w:r>
      <w:r w:rsidR="00B00881" w:rsidRPr="00116BBA">
        <w:rPr>
          <w:bCs/>
          <w:sz w:val="20"/>
          <w:szCs w:val="20"/>
        </w:rPr>
        <w:t>3</w:t>
      </w:r>
      <w:r w:rsidRPr="00116BBA">
        <w:rPr>
          <w:bCs/>
          <w:sz w:val="20"/>
          <w:szCs w:val="20"/>
        </w:rPr>
        <w:t xml:space="preserve">] </w:t>
      </w:r>
      <w:r w:rsidRPr="00116BBA">
        <w:rPr>
          <w:sz w:val="20"/>
          <w:szCs w:val="20"/>
        </w:rPr>
        <w:t>qui trouve une fréquence élevée d’éclampsie sur des grossesses ≥ 37 SA. L’éclampsie du post-partum n’a représenté que 26,1% dans notre série alors qu’en anté et per-partum</w:t>
      </w:r>
      <w:r w:rsidR="00E731E5" w:rsidRPr="00116BBA">
        <w:rPr>
          <w:sz w:val="20"/>
          <w:szCs w:val="20"/>
        </w:rPr>
        <w:t>,</w:t>
      </w:r>
      <w:r w:rsidRPr="00116BBA">
        <w:rPr>
          <w:sz w:val="20"/>
          <w:szCs w:val="20"/>
        </w:rPr>
        <w:t xml:space="preserve"> elle a constitué respectivement 32,4% et 41,5%. Tendance observée chez D</w:t>
      </w:r>
      <w:r w:rsidR="006F4DA1" w:rsidRPr="00116BBA">
        <w:rPr>
          <w:sz w:val="20"/>
          <w:szCs w:val="20"/>
        </w:rPr>
        <w:t>embele</w:t>
      </w:r>
      <w:r w:rsidRPr="00116BBA">
        <w:rPr>
          <w:sz w:val="20"/>
          <w:szCs w:val="20"/>
        </w:rPr>
        <w:t xml:space="preserve"> N F</w:t>
      </w:r>
      <w:r w:rsidR="00E731E5" w:rsidRPr="00116BBA">
        <w:rPr>
          <w:sz w:val="20"/>
          <w:szCs w:val="20"/>
        </w:rPr>
        <w:t>.</w:t>
      </w:r>
      <w:r w:rsidRPr="00116BBA">
        <w:rPr>
          <w:sz w:val="20"/>
          <w:szCs w:val="20"/>
        </w:rPr>
        <w:t xml:space="preserve"> </w:t>
      </w:r>
      <w:r w:rsidRPr="00116BBA">
        <w:rPr>
          <w:bCs/>
          <w:sz w:val="20"/>
          <w:szCs w:val="20"/>
        </w:rPr>
        <w:t>[5]</w:t>
      </w:r>
      <w:r w:rsidRPr="00116BBA">
        <w:rPr>
          <w:sz w:val="20"/>
          <w:szCs w:val="20"/>
        </w:rPr>
        <w:t xml:space="preserve"> qui rapporte (20,7%) d’éclampsie d</w:t>
      </w:r>
      <w:r w:rsidR="00822BDC">
        <w:rPr>
          <w:sz w:val="20"/>
          <w:szCs w:val="20"/>
        </w:rPr>
        <w:t>u post-partum. Dans les séries m</w:t>
      </w:r>
      <w:r w:rsidRPr="00116BBA">
        <w:rPr>
          <w:sz w:val="20"/>
          <w:szCs w:val="20"/>
        </w:rPr>
        <w:t xml:space="preserve">arocaine </w:t>
      </w:r>
      <w:r w:rsidR="00822BDC">
        <w:rPr>
          <w:sz w:val="20"/>
          <w:szCs w:val="20"/>
        </w:rPr>
        <w:t>et t</w:t>
      </w:r>
      <w:r w:rsidRPr="00116BBA">
        <w:rPr>
          <w:sz w:val="20"/>
          <w:szCs w:val="20"/>
        </w:rPr>
        <w:t>unisienne</w:t>
      </w:r>
      <w:r w:rsidRPr="00116BBA">
        <w:rPr>
          <w:bCs/>
          <w:sz w:val="20"/>
          <w:szCs w:val="20"/>
        </w:rPr>
        <w:t>,</w:t>
      </w:r>
      <w:r w:rsidRPr="00116BBA">
        <w:rPr>
          <w:sz w:val="20"/>
          <w:szCs w:val="20"/>
        </w:rPr>
        <w:t xml:space="preserve"> l’éclampsie en prépartum est la plus fréquente. En effet au CHU Ibn Rochd de Casablanca au Maroc, M</w:t>
      </w:r>
      <w:r w:rsidR="006F4DA1" w:rsidRPr="00116BBA">
        <w:rPr>
          <w:sz w:val="20"/>
          <w:szCs w:val="20"/>
        </w:rPr>
        <w:t>iguil</w:t>
      </w:r>
      <w:r w:rsidRPr="00116BBA">
        <w:rPr>
          <w:sz w:val="20"/>
          <w:szCs w:val="20"/>
        </w:rPr>
        <w:t xml:space="preserve"> M</w:t>
      </w:r>
      <w:r w:rsidR="00E731E5" w:rsidRPr="00116BBA">
        <w:rPr>
          <w:sz w:val="20"/>
          <w:szCs w:val="20"/>
        </w:rPr>
        <w:t>.</w:t>
      </w:r>
      <w:r w:rsidRPr="00116BBA">
        <w:rPr>
          <w:sz w:val="20"/>
          <w:szCs w:val="20"/>
        </w:rPr>
        <w:t xml:space="preserve"> et al </w:t>
      </w:r>
      <w:r w:rsidRPr="00116BBA">
        <w:rPr>
          <w:bCs/>
          <w:sz w:val="20"/>
          <w:szCs w:val="20"/>
        </w:rPr>
        <w:t>[</w:t>
      </w:r>
      <w:r w:rsidR="00B00881" w:rsidRPr="00116BBA">
        <w:rPr>
          <w:bCs/>
          <w:sz w:val="20"/>
          <w:szCs w:val="20"/>
        </w:rPr>
        <w:t>14</w:t>
      </w:r>
      <w:r w:rsidRPr="00116BBA">
        <w:rPr>
          <w:bCs/>
          <w:sz w:val="20"/>
          <w:szCs w:val="20"/>
        </w:rPr>
        <w:t>]</w:t>
      </w:r>
      <w:r w:rsidRPr="00116BBA">
        <w:rPr>
          <w:sz w:val="20"/>
          <w:szCs w:val="20"/>
        </w:rPr>
        <w:t xml:space="preserve"> ont rapporté 79% de cas d’éclampsie avant le travail, 4% pendant le travail et 17% après le travail. En Tunisie Ferchiou M</w:t>
      </w:r>
      <w:r w:rsidR="00E731E5" w:rsidRPr="00116BBA">
        <w:rPr>
          <w:sz w:val="20"/>
          <w:szCs w:val="20"/>
        </w:rPr>
        <w:t>.</w:t>
      </w:r>
      <w:r w:rsidRPr="00116BBA">
        <w:rPr>
          <w:sz w:val="20"/>
          <w:szCs w:val="20"/>
        </w:rPr>
        <w:t xml:space="preserve"> et al </w:t>
      </w:r>
      <w:r w:rsidRPr="00116BBA">
        <w:rPr>
          <w:bCs/>
          <w:sz w:val="20"/>
          <w:szCs w:val="20"/>
        </w:rPr>
        <w:t>[</w:t>
      </w:r>
      <w:r w:rsidR="00B00881" w:rsidRPr="00116BBA">
        <w:rPr>
          <w:bCs/>
          <w:sz w:val="20"/>
          <w:szCs w:val="20"/>
        </w:rPr>
        <w:t>15</w:t>
      </w:r>
      <w:r w:rsidRPr="00116BBA">
        <w:rPr>
          <w:bCs/>
          <w:sz w:val="20"/>
          <w:szCs w:val="20"/>
        </w:rPr>
        <w:t>]</w:t>
      </w:r>
      <w:r w:rsidRPr="00116BBA">
        <w:rPr>
          <w:sz w:val="20"/>
          <w:szCs w:val="20"/>
        </w:rPr>
        <w:t xml:space="preserve"> ont trouvé 56,9% en prépartum ; 32,5% en per-partum et 10,6% en post-partum. </w:t>
      </w:r>
      <w:r w:rsidR="00E97625" w:rsidRPr="00116BBA">
        <w:rPr>
          <w:sz w:val="20"/>
          <w:szCs w:val="20"/>
        </w:rPr>
        <w:t>En effet,</w:t>
      </w:r>
      <w:r w:rsidR="00BC1615" w:rsidRPr="00116BBA">
        <w:rPr>
          <w:sz w:val="20"/>
          <w:szCs w:val="20"/>
        </w:rPr>
        <w:t xml:space="preserve"> l’</w:t>
      </w:r>
      <w:r w:rsidR="003317CE" w:rsidRPr="00116BBA">
        <w:rPr>
          <w:sz w:val="20"/>
          <w:szCs w:val="20"/>
        </w:rPr>
        <w:t>éloignement</w:t>
      </w:r>
      <w:r w:rsidR="00BC1615" w:rsidRPr="00116BBA">
        <w:rPr>
          <w:sz w:val="20"/>
          <w:szCs w:val="20"/>
        </w:rPr>
        <w:t xml:space="preserve"> de nos formations sanitaires rend le </w:t>
      </w:r>
      <w:r w:rsidR="003317CE" w:rsidRPr="00116BBA">
        <w:rPr>
          <w:sz w:val="20"/>
          <w:szCs w:val="20"/>
        </w:rPr>
        <w:t>délai</w:t>
      </w:r>
      <w:r w:rsidR="00BC1615" w:rsidRPr="00116BBA">
        <w:rPr>
          <w:sz w:val="20"/>
          <w:szCs w:val="20"/>
        </w:rPr>
        <w:t xml:space="preserve"> plus long entre</w:t>
      </w:r>
      <w:r w:rsidR="00E97625" w:rsidRPr="00116BBA">
        <w:rPr>
          <w:sz w:val="20"/>
          <w:szCs w:val="20"/>
        </w:rPr>
        <w:t xml:space="preserve"> </w:t>
      </w:r>
      <w:r w:rsidR="00BC1615" w:rsidRPr="00116BBA">
        <w:rPr>
          <w:sz w:val="20"/>
          <w:szCs w:val="20"/>
        </w:rPr>
        <w:t>l’admission des patientes dans notre service</w:t>
      </w:r>
      <w:r w:rsidR="00BC1615" w:rsidRPr="00AB47FF">
        <w:rPr>
          <w:sz w:val="20"/>
          <w:szCs w:val="20"/>
        </w:rPr>
        <w:t xml:space="preserve"> et l’apparition des premières crises convulsives qui ont contribué à déclencher le travail. Ce qui pourra expliquer cette</w:t>
      </w:r>
      <w:r w:rsidRPr="00AB47FF">
        <w:rPr>
          <w:sz w:val="20"/>
          <w:szCs w:val="20"/>
        </w:rPr>
        <w:t xml:space="preserve"> différence </w:t>
      </w:r>
      <w:r w:rsidR="00BC1615" w:rsidRPr="00AB47FF">
        <w:rPr>
          <w:sz w:val="20"/>
          <w:szCs w:val="20"/>
        </w:rPr>
        <w:t>avec les autres a</w:t>
      </w:r>
      <w:r w:rsidRPr="00AB47FF">
        <w:rPr>
          <w:sz w:val="20"/>
          <w:szCs w:val="20"/>
        </w:rPr>
        <w:t xml:space="preserve">uteurs. </w:t>
      </w:r>
    </w:p>
    <w:p w:rsidR="00905759" w:rsidRPr="00AB47FF" w:rsidRDefault="00905759" w:rsidP="00CF032F">
      <w:pPr>
        <w:autoSpaceDE w:val="0"/>
        <w:autoSpaceDN w:val="0"/>
        <w:adjustRightInd w:val="0"/>
        <w:spacing w:before="60" w:after="20"/>
        <w:jc w:val="both"/>
        <w:rPr>
          <w:b/>
          <w:bCs/>
          <w:sz w:val="20"/>
          <w:szCs w:val="20"/>
        </w:rPr>
      </w:pPr>
      <w:r w:rsidRPr="00AB47FF">
        <w:rPr>
          <w:b/>
          <w:bCs/>
          <w:sz w:val="20"/>
          <w:szCs w:val="20"/>
        </w:rPr>
        <w:t xml:space="preserve">Analyses </w:t>
      </w:r>
      <w:r w:rsidR="00332C55" w:rsidRPr="00AB47FF">
        <w:rPr>
          <w:b/>
          <w:bCs/>
          <w:sz w:val="20"/>
          <w:szCs w:val="20"/>
        </w:rPr>
        <w:t>statistiques</w:t>
      </w:r>
      <w:r w:rsidR="00D905D1" w:rsidRPr="00AB47FF">
        <w:rPr>
          <w:b/>
          <w:bCs/>
          <w:sz w:val="20"/>
          <w:szCs w:val="20"/>
        </w:rPr>
        <w:t xml:space="preserve"> entre les variables</w:t>
      </w:r>
    </w:p>
    <w:p w:rsidR="0041052D" w:rsidRPr="00AB47FF" w:rsidRDefault="0041052D" w:rsidP="00AB47FF">
      <w:pPr>
        <w:autoSpaceDE w:val="0"/>
        <w:autoSpaceDN w:val="0"/>
        <w:adjustRightInd w:val="0"/>
        <w:jc w:val="both"/>
        <w:rPr>
          <w:sz w:val="20"/>
          <w:szCs w:val="20"/>
        </w:rPr>
      </w:pPr>
      <w:r w:rsidRPr="00AB47FF">
        <w:rPr>
          <w:sz w:val="20"/>
          <w:szCs w:val="20"/>
        </w:rPr>
        <w:t>Le score de Glasgow calculé pour évaluer le niveau de conscience d’une patiente peut être en relation avec l’Apgar du nouveau-né</w:t>
      </w:r>
      <w:r w:rsidR="00E731E5" w:rsidRPr="00AB47FF">
        <w:rPr>
          <w:sz w:val="20"/>
          <w:szCs w:val="20"/>
        </w:rPr>
        <w:t>,</w:t>
      </w:r>
      <w:r w:rsidRPr="00AB47FF">
        <w:rPr>
          <w:sz w:val="20"/>
          <w:szCs w:val="20"/>
        </w:rPr>
        <w:t xml:space="preserve"> cependant notre étude n’a pas trouvé de lien statistique (</w:t>
      </w:r>
      <w:r w:rsidRPr="00AB47FF">
        <w:rPr>
          <w:bCs/>
          <w:sz w:val="20"/>
          <w:szCs w:val="20"/>
        </w:rPr>
        <w:t xml:space="preserve">tableau </w:t>
      </w:r>
      <w:r w:rsidR="00116BBA">
        <w:rPr>
          <w:bCs/>
          <w:sz w:val="20"/>
          <w:szCs w:val="20"/>
        </w:rPr>
        <w:t>5</w:t>
      </w:r>
      <w:r w:rsidRPr="00AB47FF">
        <w:rPr>
          <w:sz w:val="20"/>
          <w:szCs w:val="20"/>
        </w:rPr>
        <w:t xml:space="preserve">) ; </w:t>
      </w:r>
      <w:r w:rsidRPr="00AB47FF">
        <w:rPr>
          <w:color w:val="000000"/>
          <w:sz w:val="20"/>
          <w:szCs w:val="20"/>
        </w:rPr>
        <w:t>[</w:t>
      </w:r>
      <w:r w:rsidRPr="00AB47FF">
        <w:rPr>
          <w:sz w:val="20"/>
          <w:szCs w:val="20"/>
        </w:rPr>
        <w:t>Khi2 = 9,0382 ; ddl = 6 et p = 0,1714].</w:t>
      </w:r>
    </w:p>
    <w:p w:rsidR="00905759" w:rsidRPr="00AB47FF" w:rsidRDefault="00112C8A" w:rsidP="00AB47FF">
      <w:pPr>
        <w:autoSpaceDE w:val="0"/>
        <w:autoSpaceDN w:val="0"/>
        <w:adjustRightInd w:val="0"/>
        <w:jc w:val="both"/>
        <w:rPr>
          <w:sz w:val="20"/>
          <w:szCs w:val="20"/>
        </w:rPr>
      </w:pPr>
      <w:r w:rsidRPr="00AB47FF">
        <w:rPr>
          <w:sz w:val="20"/>
          <w:szCs w:val="20"/>
        </w:rPr>
        <w:t>L</w:t>
      </w:r>
      <w:r w:rsidR="00425DFD" w:rsidRPr="00AB47FF">
        <w:rPr>
          <w:sz w:val="20"/>
          <w:szCs w:val="20"/>
        </w:rPr>
        <w:t>’apparition des p</w:t>
      </w:r>
      <w:r w:rsidR="00B87018">
        <w:rPr>
          <w:sz w:val="20"/>
          <w:szCs w:val="20"/>
        </w:rPr>
        <w:t>remières crises convulsives qui</w:t>
      </w:r>
      <w:r w:rsidR="00425DFD" w:rsidRPr="00AB47FF">
        <w:rPr>
          <w:sz w:val="20"/>
          <w:szCs w:val="20"/>
        </w:rPr>
        <w:t xml:space="preserve"> contribu</w:t>
      </w:r>
      <w:r w:rsidRPr="00AB47FF">
        <w:rPr>
          <w:sz w:val="20"/>
          <w:szCs w:val="20"/>
        </w:rPr>
        <w:t>ent</w:t>
      </w:r>
      <w:r w:rsidR="00425DFD" w:rsidRPr="00AB47FF">
        <w:rPr>
          <w:sz w:val="20"/>
          <w:szCs w:val="20"/>
        </w:rPr>
        <w:t xml:space="preserve"> à déclencher le travail, les mauvaises échanges fœto-maternelle</w:t>
      </w:r>
      <w:r w:rsidR="00E731E5" w:rsidRPr="00AB47FF">
        <w:rPr>
          <w:sz w:val="20"/>
          <w:szCs w:val="20"/>
        </w:rPr>
        <w:t>s</w:t>
      </w:r>
      <w:r w:rsidR="00425DFD" w:rsidRPr="00AB47FF">
        <w:rPr>
          <w:sz w:val="20"/>
          <w:szCs w:val="20"/>
        </w:rPr>
        <w:t xml:space="preserve"> entrainées par la pré-éclampsie avec ses conséquences de retard de croissance intra-utérin</w:t>
      </w:r>
      <w:r w:rsidRPr="00AB47FF">
        <w:rPr>
          <w:sz w:val="20"/>
          <w:szCs w:val="20"/>
        </w:rPr>
        <w:t xml:space="preserve"> et de mort-né expliqu</w:t>
      </w:r>
      <w:r w:rsidR="00E731E5" w:rsidRPr="00AB47FF">
        <w:rPr>
          <w:sz w:val="20"/>
          <w:szCs w:val="20"/>
        </w:rPr>
        <w:t>é</w:t>
      </w:r>
      <w:r w:rsidRPr="00AB47FF">
        <w:rPr>
          <w:sz w:val="20"/>
          <w:szCs w:val="20"/>
        </w:rPr>
        <w:t xml:space="preserve"> nous di</w:t>
      </w:r>
      <w:r w:rsidR="00E731E5" w:rsidRPr="00AB47FF">
        <w:rPr>
          <w:sz w:val="20"/>
          <w:szCs w:val="20"/>
        </w:rPr>
        <w:t>sent</w:t>
      </w:r>
      <w:r w:rsidRPr="00AB47FF">
        <w:rPr>
          <w:sz w:val="20"/>
          <w:szCs w:val="20"/>
        </w:rPr>
        <w:t xml:space="preserve"> plus sur un lien statistique significatif entre le pronostic fœtal et la période de survenue des crises</w:t>
      </w:r>
      <w:r w:rsidR="00BE35E0" w:rsidRPr="00AB47FF">
        <w:rPr>
          <w:sz w:val="20"/>
          <w:szCs w:val="20"/>
        </w:rPr>
        <w:t xml:space="preserve"> </w:t>
      </w:r>
      <w:r w:rsidR="0041052D" w:rsidRPr="00AB47FF">
        <w:rPr>
          <w:sz w:val="20"/>
          <w:szCs w:val="20"/>
        </w:rPr>
        <w:t>comme nous montre</w:t>
      </w:r>
      <w:r w:rsidR="00E731E5" w:rsidRPr="00AB47FF">
        <w:rPr>
          <w:sz w:val="20"/>
          <w:szCs w:val="20"/>
        </w:rPr>
        <w:t xml:space="preserve"> </w:t>
      </w:r>
      <w:r w:rsidR="0041052D" w:rsidRPr="00AB47FF">
        <w:rPr>
          <w:sz w:val="20"/>
          <w:szCs w:val="20"/>
        </w:rPr>
        <w:t xml:space="preserve">le tableau </w:t>
      </w:r>
      <w:r w:rsidR="00DC3152">
        <w:rPr>
          <w:sz w:val="20"/>
          <w:szCs w:val="20"/>
        </w:rPr>
        <w:t>6</w:t>
      </w:r>
      <w:r w:rsidR="0041052D" w:rsidRPr="00AB47FF">
        <w:rPr>
          <w:sz w:val="20"/>
          <w:szCs w:val="20"/>
        </w:rPr>
        <w:t xml:space="preserve"> ; </w:t>
      </w:r>
      <w:r w:rsidR="00BE35E0" w:rsidRPr="00AB47FF">
        <w:rPr>
          <w:sz w:val="20"/>
          <w:szCs w:val="20"/>
        </w:rPr>
        <w:t>[</w:t>
      </w:r>
      <w:r w:rsidR="00905759" w:rsidRPr="00AB47FF">
        <w:rPr>
          <w:sz w:val="20"/>
          <w:szCs w:val="20"/>
        </w:rPr>
        <w:t>Khi2=17,3217 ; ddl=6 et  P=0,0082</w:t>
      </w:r>
      <w:r w:rsidR="00BE35E0" w:rsidRPr="00AB47FF">
        <w:rPr>
          <w:sz w:val="20"/>
          <w:szCs w:val="20"/>
        </w:rPr>
        <w:t>]</w:t>
      </w:r>
      <w:r w:rsidR="0041052D" w:rsidRPr="00AB47FF">
        <w:rPr>
          <w:sz w:val="20"/>
          <w:szCs w:val="20"/>
        </w:rPr>
        <w:t>.</w:t>
      </w:r>
    </w:p>
    <w:p w:rsidR="00905759" w:rsidRPr="00AB47FF" w:rsidRDefault="007136A8" w:rsidP="00AB47FF">
      <w:pPr>
        <w:autoSpaceDE w:val="0"/>
        <w:autoSpaceDN w:val="0"/>
        <w:adjustRightInd w:val="0"/>
        <w:jc w:val="both"/>
        <w:rPr>
          <w:sz w:val="20"/>
          <w:szCs w:val="20"/>
        </w:rPr>
      </w:pPr>
      <w:r w:rsidRPr="00AB47FF">
        <w:rPr>
          <w:sz w:val="20"/>
          <w:szCs w:val="20"/>
        </w:rPr>
        <w:t xml:space="preserve">Le coma s’installant après plusieurs crises rend l’accouchement par voie basse difficile. Obligeant la plus part des </w:t>
      </w:r>
      <w:r w:rsidR="00DC3152">
        <w:rPr>
          <w:sz w:val="20"/>
          <w:szCs w:val="20"/>
        </w:rPr>
        <w:t>obstétriciens</w:t>
      </w:r>
      <w:r w:rsidRPr="00AB47FF">
        <w:rPr>
          <w:sz w:val="20"/>
          <w:szCs w:val="20"/>
        </w:rPr>
        <w:t xml:space="preserve"> à opter pour la césarienne. Cette relation étroite entre la voie d’accouchement et le score Glasgow a été rapporté par not</w:t>
      </w:r>
      <w:r w:rsidR="00DC3152">
        <w:rPr>
          <w:sz w:val="20"/>
          <w:szCs w:val="20"/>
        </w:rPr>
        <w:t xml:space="preserve">re série avec un Khi2 = 25,60, </w:t>
      </w:r>
      <w:r w:rsidRPr="00AB47FF">
        <w:rPr>
          <w:sz w:val="20"/>
          <w:szCs w:val="20"/>
        </w:rPr>
        <w:t>ddl = 2 et p = 0,0000 (</w:t>
      </w:r>
      <w:r w:rsidRPr="00AB47FF">
        <w:rPr>
          <w:bCs/>
          <w:color w:val="000000"/>
          <w:sz w:val="20"/>
          <w:szCs w:val="20"/>
        </w:rPr>
        <w:t>Tableau 8</w:t>
      </w:r>
      <w:r w:rsidR="00DC3152">
        <w:rPr>
          <w:bCs/>
          <w:color w:val="000000"/>
          <w:sz w:val="20"/>
          <w:szCs w:val="20"/>
        </w:rPr>
        <w:t>)</w:t>
      </w:r>
      <w:r w:rsidRPr="00AB47FF">
        <w:rPr>
          <w:color w:val="000000"/>
          <w:sz w:val="20"/>
          <w:szCs w:val="20"/>
        </w:rPr>
        <w:t>.</w:t>
      </w:r>
    </w:p>
    <w:p w:rsidR="001120E4" w:rsidRPr="00AB47FF" w:rsidRDefault="00D905D1" w:rsidP="00CF032F">
      <w:pPr>
        <w:autoSpaceDE w:val="0"/>
        <w:autoSpaceDN w:val="0"/>
        <w:adjustRightInd w:val="0"/>
        <w:spacing w:before="60" w:after="20"/>
        <w:jc w:val="both"/>
        <w:rPr>
          <w:b/>
          <w:bCs/>
          <w:sz w:val="20"/>
          <w:szCs w:val="20"/>
        </w:rPr>
      </w:pPr>
      <w:r w:rsidRPr="00AB47FF">
        <w:rPr>
          <w:b/>
          <w:bCs/>
          <w:sz w:val="20"/>
          <w:szCs w:val="20"/>
        </w:rPr>
        <w:t>Prise en charge</w:t>
      </w:r>
    </w:p>
    <w:p w:rsidR="001120E4" w:rsidRPr="00AB47FF" w:rsidRDefault="001120E4" w:rsidP="00AB47FF">
      <w:pPr>
        <w:autoSpaceDE w:val="0"/>
        <w:autoSpaceDN w:val="0"/>
        <w:adjustRightInd w:val="0"/>
        <w:jc w:val="both"/>
        <w:rPr>
          <w:sz w:val="20"/>
          <w:szCs w:val="20"/>
        </w:rPr>
      </w:pPr>
      <w:r w:rsidRPr="00AB47FF">
        <w:rPr>
          <w:sz w:val="20"/>
          <w:szCs w:val="20"/>
        </w:rPr>
        <w:t xml:space="preserve">En effet, la crise déclenche </w:t>
      </w:r>
      <w:r w:rsidR="00417338" w:rsidRPr="00AB47FF">
        <w:rPr>
          <w:sz w:val="20"/>
          <w:szCs w:val="20"/>
        </w:rPr>
        <w:t xml:space="preserve">souvent </w:t>
      </w:r>
      <w:r w:rsidRPr="00AB47FF">
        <w:rPr>
          <w:sz w:val="20"/>
          <w:szCs w:val="20"/>
        </w:rPr>
        <w:t>le travail</w:t>
      </w:r>
      <w:r w:rsidR="00417338" w:rsidRPr="00AB47FF">
        <w:rPr>
          <w:sz w:val="20"/>
          <w:szCs w:val="20"/>
        </w:rPr>
        <w:t xml:space="preserve"> dans ce contexte d’</w:t>
      </w:r>
      <w:r w:rsidRPr="00AB47FF">
        <w:rPr>
          <w:sz w:val="20"/>
          <w:szCs w:val="20"/>
        </w:rPr>
        <w:t>éloignement de nos formations sanitaires</w:t>
      </w:r>
      <w:r w:rsidR="00417338" w:rsidRPr="00AB47FF">
        <w:rPr>
          <w:sz w:val="20"/>
          <w:szCs w:val="20"/>
        </w:rPr>
        <w:t xml:space="preserve"> avec comme conséquences des accouchements avant l’arrivée au centre</w:t>
      </w:r>
      <w:r w:rsidRPr="00AB47FF">
        <w:rPr>
          <w:sz w:val="20"/>
          <w:szCs w:val="20"/>
        </w:rPr>
        <w:t>.</w:t>
      </w:r>
    </w:p>
    <w:p w:rsidR="001120E4" w:rsidRPr="00AB47FF" w:rsidRDefault="00E6656E" w:rsidP="00AB47FF">
      <w:pPr>
        <w:autoSpaceDE w:val="0"/>
        <w:autoSpaceDN w:val="0"/>
        <w:adjustRightInd w:val="0"/>
        <w:jc w:val="both"/>
        <w:rPr>
          <w:sz w:val="20"/>
          <w:szCs w:val="20"/>
        </w:rPr>
      </w:pPr>
      <w:r w:rsidRPr="00AB47FF">
        <w:rPr>
          <w:sz w:val="20"/>
          <w:szCs w:val="20"/>
        </w:rPr>
        <w:t xml:space="preserve">Dans notre étude 54,5% de nos patientes </w:t>
      </w:r>
      <w:r w:rsidR="00454C24" w:rsidRPr="00AB47FF">
        <w:rPr>
          <w:sz w:val="20"/>
          <w:szCs w:val="20"/>
        </w:rPr>
        <w:t xml:space="preserve">ont été </w:t>
      </w:r>
      <w:r w:rsidRPr="00AB47FF">
        <w:rPr>
          <w:sz w:val="20"/>
          <w:szCs w:val="20"/>
        </w:rPr>
        <w:t>césarisées. Ce résultat est inférieur à celui de D</w:t>
      </w:r>
      <w:r w:rsidR="006F4DA1" w:rsidRPr="00AB47FF">
        <w:rPr>
          <w:sz w:val="20"/>
          <w:szCs w:val="20"/>
        </w:rPr>
        <w:t>iakite</w:t>
      </w:r>
      <w:r w:rsidRPr="00AB47FF">
        <w:rPr>
          <w:sz w:val="20"/>
          <w:szCs w:val="20"/>
        </w:rPr>
        <w:t xml:space="preserve"> M</w:t>
      </w:r>
      <w:r w:rsidR="00CB4EF1" w:rsidRPr="00AB47FF">
        <w:rPr>
          <w:sz w:val="20"/>
          <w:szCs w:val="20"/>
        </w:rPr>
        <w:t>.</w:t>
      </w:r>
      <w:r w:rsidRPr="00AB47FF">
        <w:rPr>
          <w:sz w:val="20"/>
          <w:szCs w:val="20"/>
        </w:rPr>
        <w:t xml:space="preserve"> </w:t>
      </w:r>
      <w:r w:rsidRPr="00AB47FF">
        <w:rPr>
          <w:bCs/>
          <w:sz w:val="20"/>
          <w:szCs w:val="20"/>
        </w:rPr>
        <w:t>[</w:t>
      </w:r>
      <w:r w:rsidR="00B00881" w:rsidRPr="00AB47FF">
        <w:rPr>
          <w:bCs/>
          <w:sz w:val="20"/>
          <w:szCs w:val="20"/>
        </w:rPr>
        <w:t>12</w:t>
      </w:r>
      <w:r w:rsidRPr="00AB47FF">
        <w:rPr>
          <w:bCs/>
          <w:sz w:val="20"/>
          <w:szCs w:val="20"/>
        </w:rPr>
        <w:t>]</w:t>
      </w:r>
      <w:r w:rsidRPr="00AB47FF">
        <w:rPr>
          <w:sz w:val="20"/>
          <w:szCs w:val="20"/>
        </w:rPr>
        <w:t xml:space="preserve"> qui a </w:t>
      </w:r>
      <w:r w:rsidR="00CB4EF1" w:rsidRPr="00AB47FF">
        <w:rPr>
          <w:sz w:val="20"/>
          <w:szCs w:val="20"/>
        </w:rPr>
        <w:t xml:space="preserve">eu </w:t>
      </w:r>
      <w:r w:rsidRPr="00AB47FF">
        <w:rPr>
          <w:sz w:val="20"/>
          <w:szCs w:val="20"/>
        </w:rPr>
        <w:t>un taux de césarienne à 85,1%.</w:t>
      </w:r>
      <w:r w:rsidR="001120E4" w:rsidRPr="00AB47FF">
        <w:rPr>
          <w:sz w:val="20"/>
          <w:szCs w:val="20"/>
        </w:rPr>
        <w:t xml:space="preserve"> </w:t>
      </w:r>
      <w:r w:rsidRPr="00AB47FF">
        <w:rPr>
          <w:sz w:val="20"/>
          <w:szCs w:val="20"/>
        </w:rPr>
        <w:t>Dans l’enquête M</w:t>
      </w:r>
      <w:r w:rsidR="00656848">
        <w:rPr>
          <w:sz w:val="20"/>
          <w:szCs w:val="20"/>
        </w:rPr>
        <w:t>OMA</w:t>
      </w:r>
      <w:r w:rsidRPr="00AB47FF">
        <w:rPr>
          <w:sz w:val="20"/>
          <w:szCs w:val="20"/>
        </w:rPr>
        <w:t xml:space="preserve"> réalisée en Afrique de l’ouest citée par D</w:t>
      </w:r>
      <w:r w:rsidR="006F4DA1" w:rsidRPr="00AB47FF">
        <w:rPr>
          <w:sz w:val="20"/>
          <w:szCs w:val="20"/>
        </w:rPr>
        <w:t>umont</w:t>
      </w:r>
      <w:r w:rsidRPr="00AB47FF">
        <w:rPr>
          <w:sz w:val="20"/>
          <w:szCs w:val="20"/>
        </w:rPr>
        <w:t xml:space="preserve"> A</w:t>
      </w:r>
      <w:r w:rsidR="00CB4EF1" w:rsidRPr="00AB47FF">
        <w:rPr>
          <w:sz w:val="20"/>
          <w:szCs w:val="20"/>
        </w:rPr>
        <w:t>.</w:t>
      </w:r>
      <w:r w:rsidRPr="00AB47FF">
        <w:rPr>
          <w:sz w:val="20"/>
          <w:szCs w:val="20"/>
        </w:rPr>
        <w:t xml:space="preserve"> et Col </w:t>
      </w:r>
      <w:r w:rsidRPr="00AB47FF">
        <w:rPr>
          <w:bCs/>
          <w:sz w:val="20"/>
          <w:szCs w:val="20"/>
        </w:rPr>
        <w:t>[</w:t>
      </w:r>
      <w:r w:rsidR="00B00881" w:rsidRPr="00AB47FF">
        <w:rPr>
          <w:bCs/>
          <w:sz w:val="20"/>
          <w:szCs w:val="20"/>
        </w:rPr>
        <w:t>16</w:t>
      </w:r>
      <w:r w:rsidRPr="00AB47FF">
        <w:rPr>
          <w:bCs/>
          <w:sz w:val="20"/>
          <w:szCs w:val="20"/>
        </w:rPr>
        <w:t>],</w:t>
      </w:r>
      <w:r w:rsidRPr="00AB47FF">
        <w:rPr>
          <w:sz w:val="20"/>
          <w:szCs w:val="20"/>
        </w:rPr>
        <w:t xml:space="preserve"> le taux de césarienne retrouvé en cas d’éclampsie est de 87% des cas, ce qui est supérieur à notre résultat. Il s’agit le plus souvent des patientes admises en phase de latence avec des chiffres tensionnels instables associés le plus souvent</w:t>
      </w:r>
      <w:r w:rsidR="00656848">
        <w:rPr>
          <w:sz w:val="20"/>
          <w:szCs w:val="20"/>
        </w:rPr>
        <w:t xml:space="preserve"> à une souffrance fœtale aigue.</w:t>
      </w:r>
    </w:p>
    <w:p w:rsidR="00E6656E" w:rsidRPr="00AB47FF" w:rsidRDefault="00CB4EF1" w:rsidP="00AB47FF">
      <w:pPr>
        <w:autoSpaceDE w:val="0"/>
        <w:autoSpaceDN w:val="0"/>
        <w:adjustRightInd w:val="0"/>
        <w:jc w:val="both"/>
        <w:rPr>
          <w:sz w:val="20"/>
          <w:szCs w:val="20"/>
        </w:rPr>
      </w:pPr>
      <w:r w:rsidRPr="00AB47FF">
        <w:rPr>
          <w:sz w:val="20"/>
          <w:szCs w:val="20"/>
        </w:rPr>
        <w:t>L</w:t>
      </w:r>
      <w:r w:rsidR="00A4207D" w:rsidRPr="00AB47FF">
        <w:rPr>
          <w:sz w:val="20"/>
          <w:szCs w:val="20"/>
        </w:rPr>
        <w:t xml:space="preserve">e pronostic reflète la qualité de la prévention et de la prise en charge à tous les niveaux de soins. Pour cette prise en charge, nous </w:t>
      </w:r>
      <w:r w:rsidR="00E6656E" w:rsidRPr="00AB47FF">
        <w:rPr>
          <w:sz w:val="20"/>
          <w:szCs w:val="20"/>
        </w:rPr>
        <w:t>avons institué un traitement médical chez toutes nos patientes</w:t>
      </w:r>
      <w:r w:rsidR="00656848">
        <w:rPr>
          <w:sz w:val="20"/>
          <w:szCs w:val="20"/>
        </w:rPr>
        <w:t>.</w:t>
      </w:r>
      <w:r w:rsidR="00A4207D" w:rsidRPr="00AB47FF">
        <w:rPr>
          <w:sz w:val="20"/>
          <w:szCs w:val="20"/>
        </w:rPr>
        <w:t xml:space="preserve"> </w:t>
      </w:r>
      <w:r w:rsidR="00E6656E" w:rsidRPr="00AB47FF">
        <w:rPr>
          <w:sz w:val="20"/>
          <w:szCs w:val="20"/>
        </w:rPr>
        <w:t>Notre service ne disposant pas d’unité de réanimation, 43,7% de nos patientes ont</w:t>
      </w:r>
      <w:r w:rsidR="00656848">
        <w:rPr>
          <w:sz w:val="20"/>
          <w:szCs w:val="20"/>
        </w:rPr>
        <w:t xml:space="preserve"> été transférées en réanimation.</w:t>
      </w:r>
    </w:p>
    <w:p w:rsidR="0063298E" w:rsidRPr="00AB47FF" w:rsidRDefault="00656848" w:rsidP="00CF032F">
      <w:pPr>
        <w:autoSpaceDE w:val="0"/>
        <w:autoSpaceDN w:val="0"/>
        <w:adjustRightInd w:val="0"/>
        <w:spacing w:before="60" w:after="20"/>
        <w:jc w:val="both"/>
        <w:rPr>
          <w:b/>
          <w:bCs/>
          <w:sz w:val="20"/>
          <w:szCs w:val="20"/>
        </w:rPr>
      </w:pPr>
      <w:r>
        <w:rPr>
          <w:b/>
          <w:bCs/>
          <w:sz w:val="20"/>
          <w:szCs w:val="20"/>
        </w:rPr>
        <w:t>Complications</w:t>
      </w:r>
    </w:p>
    <w:p w:rsidR="00E6656E" w:rsidRPr="00B87018" w:rsidRDefault="00E6656E" w:rsidP="00AB47FF">
      <w:pPr>
        <w:autoSpaceDE w:val="0"/>
        <w:autoSpaceDN w:val="0"/>
        <w:adjustRightInd w:val="0"/>
        <w:jc w:val="both"/>
        <w:rPr>
          <w:bCs/>
          <w:sz w:val="20"/>
          <w:szCs w:val="20"/>
        </w:rPr>
      </w:pPr>
      <w:r w:rsidRPr="00B87018">
        <w:rPr>
          <w:sz w:val="20"/>
          <w:szCs w:val="20"/>
        </w:rPr>
        <w:t>L’éclampsie est une pathologie responsable de complications maternelles et fœtales quelques fois gravissimes. Dans notre étude</w:t>
      </w:r>
      <w:r w:rsidR="0063298E" w:rsidRPr="00B87018">
        <w:rPr>
          <w:sz w:val="20"/>
          <w:szCs w:val="20"/>
        </w:rPr>
        <w:t>,</w:t>
      </w:r>
      <w:r w:rsidRPr="00B87018">
        <w:rPr>
          <w:sz w:val="20"/>
          <w:szCs w:val="20"/>
        </w:rPr>
        <w:t xml:space="preserve"> nous avons enregistré 8,5% d</w:t>
      </w:r>
      <w:r w:rsidR="00D905D1" w:rsidRPr="00B87018">
        <w:rPr>
          <w:sz w:val="20"/>
          <w:szCs w:val="20"/>
        </w:rPr>
        <w:t>e complications maternelles. En</w:t>
      </w:r>
      <w:r w:rsidRPr="00B87018">
        <w:rPr>
          <w:sz w:val="20"/>
          <w:szCs w:val="20"/>
        </w:rPr>
        <w:t xml:space="preserve"> se référant à la répartition des cas selon le type de complications, nous constatons que les complications infectieuses (endométrite et suppuration pariétale) sont le plus souvent liées aux conditions d’accouchement qu’à l’éclampsie elle-même. Par contre l’ins</w:t>
      </w:r>
      <w:r w:rsidR="00D905D1" w:rsidRPr="00B87018">
        <w:rPr>
          <w:sz w:val="20"/>
          <w:szCs w:val="20"/>
        </w:rPr>
        <w:t>uffisance rénale aigue apparaît</w:t>
      </w:r>
      <w:r w:rsidRPr="00B87018">
        <w:rPr>
          <w:sz w:val="20"/>
          <w:szCs w:val="20"/>
        </w:rPr>
        <w:t xml:space="preserve"> dans 20% ; l’hématome rétro-placentaire dans 13,3% et l’hémorragie de la délivrance dans 13,3%. L’éclampsie a été létale dans </w:t>
      </w:r>
      <w:r w:rsidRPr="00B87018">
        <w:rPr>
          <w:bCs/>
          <w:sz w:val="20"/>
          <w:szCs w:val="20"/>
        </w:rPr>
        <w:t xml:space="preserve">2,3% </w:t>
      </w:r>
      <w:r w:rsidRPr="00B87018">
        <w:rPr>
          <w:sz w:val="20"/>
          <w:szCs w:val="20"/>
        </w:rPr>
        <w:t>des cas. Ces décès sont survenus dans des circonstances variables telles que : l’état de mal éclamptique dans 50% ; l’insuffisance</w:t>
      </w:r>
      <w:r w:rsidR="00D905D1" w:rsidRPr="00B87018">
        <w:rPr>
          <w:sz w:val="20"/>
          <w:szCs w:val="20"/>
        </w:rPr>
        <w:t xml:space="preserve"> rénale aigue dans 25%; l’œdème</w:t>
      </w:r>
      <w:r w:rsidRPr="00B87018">
        <w:rPr>
          <w:sz w:val="20"/>
          <w:szCs w:val="20"/>
        </w:rPr>
        <w:t xml:space="preserve"> aigu du poumon dans 25% des cas.</w:t>
      </w:r>
    </w:p>
    <w:p w:rsidR="00E6656E" w:rsidRPr="00B87018" w:rsidRDefault="00E6656E" w:rsidP="00AB47FF">
      <w:pPr>
        <w:jc w:val="both"/>
        <w:rPr>
          <w:sz w:val="20"/>
          <w:szCs w:val="20"/>
        </w:rPr>
      </w:pPr>
      <w:r w:rsidRPr="00B87018">
        <w:rPr>
          <w:sz w:val="20"/>
          <w:szCs w:val="20"/>
        </w:rPr>
        <w:t>Des taux de létalités supérieurs aux nôtres sont rapportés par les auteurs suivants</w:t>
      </w:r>
      <w:r w:rsidR="00CD7A27" w:rsidRPr="00B87018">
        <w:rPr>
          <w:sz w:val="20"/>
          <w:szCs w:val="20"/>
        </w:rPr>
        <w:t xml:space="preserve"> </w:t>
      </w:r>
      <w:r w:rsidRPr="00B87018">
        <w:rPr>
          <w:sz w:val="20"/>
          <w:szCs w:val="20"/>
        </w:rPr>
        <w:t>: D</w:t>
      </w:r>
      <w:r w:rsidR="006F4DA1" w:rsidRPr="00B87018">
        <w:rPr>
          <w:sz w:val="20"/>
          <w:szCs w:val="20"/>
        </w:rPr>
        <w:t>iakite</w:t>
      </w:r>
      <w:r w:rsidRPr="00B87018">
        <w:rPr>
          <w:sz w:val="20"/>
          <w:szCs w:val="20"/>
        </w:rPr>
        <w:t xml:space="preserve"> M</w:t>
      </w:r>
      <w:r w:rsidR="0063298E" w:rsidRPr="00B87018">
        <w:rPr>
          <w:sz w:val="20"/>
          <w:szCs w:val="20"/>
        </w:rPr>
        <w:t>.</w:t>
      </w:r>
      <w:r w:rsidRPr="00B87018">
        <w:rPr>
          <w:sz w:val="20"/>
          <w:szCs w:val="20"/>
        </w:rPr>
        <w:t xml:space="preserve"> [</w:t>
      </w:r>
      <w:r w:rsidR="00F75207" w:rsidRPr="00B87018">
        <w:rPr>
          <w:sz w:val="20"/>
          <w:szCs w:val="20"/>
        </w:rPr>
        <w:t>12</w:t>
      </w:r>
      <w:r w:rsidRPr="00B87018">
        <w:rPr>
          <w:sz w:val="20"/>
          <w:szCs w:val="20"/>
        </w:rPr>
        <w:t>] a</w:t>
      </w:r>
      <w:r w:rsidR="006252D4">
        <w:rPr>
          <w:sz w:val="20"/>
          <w:szCs w:val="20"/>
        </w:rPr>
        <w:t>vec</w:t>
      </w:r>
      <w:r w:rsidR="0063298E" w:rsidRPr="00B87018">
        <w:rPr>
          <w:sz w:val="20"/>
          <w:szCs w:val="20"/>
        </w:rPr>
        <w:t xml:space="preserve"> </w:t>
      </w:r>
      <w:r w:rsidR="00D905D1" w:rsidRPr="00B87018">
        <w:rPr>
          <w:sz w:val="20"/>
          <w:szCs w:val="20"/>
        </w:rPr>
        <w:t xml:space="preserve">6,2% </w:t>
      </w:r>
      <w:r w:rsidRPr="00B87018">
        <w:rPr>
          <w:sz w:val="20"/>
          <w:szCs w:val="20"/>
        </w:rPr>
        <w:t>décès maternels</w:t>
      </w:r>
      <w:r w:rsidR="00CD7A27" w:rsidRPr="00B87018">
        <w:rPr>
          <w:sz w:val="20"/>
          <w:szCs w:val="20"/>
        </w:rPr>
        <w:t xml:space="preserve"> ; </w:t>
      </w:r>
      <w:r w:rsidR="00C94EE0" w:rsidRPr="00B87018">
        <w:rPr>
          <w:sz w:val="20"/>
          <w:szCs w:val="20"/>
        </w:rPr>
        <w:t>Konate</w:t>
      </w:r>
      <w:r w:rsidRPr="00B87018">
        <w:rPr>
          <w:sz w:val="20"/>
          <w:szCs w:val="20"/>
        </w:rPr>
        <w:t xml:space="preserve"> S</w:t>
      </w:r>
      <w:r w:rsidR="0063298E" w:rsidRPr="00B87018">
        <w:rPr>
          <w:sz w:val="20"/>
          <w:szCs w:val="20"/>
        </w:rPr>
        <w:t>.</w:t>
      </w:r>
      <w:r w:rsidRPr="00B87018">
        <w:rPr>
          <w:sz w:val="20"/>
          <w:szCs w:val="20"/>
        </w:rPr>
        <w:t xml:space="preserve"> [</w:t>
      </w:r>
      <w:r w:rsidR="00F75207" w:rsidRPr="00B87018">
        <w:rPr>
          <w:sz w:val="20"/>
          <w:szCs w:val="20"/>
        </w:rPr>
        <w:t>9</w:t>
      </w:r>
      <w:r w:rsidRPr="00B87018">
        <w:rPr>
          <w:sz w:val="20"/>
          <w:szCs w:val="20"/>
        </w:rPr>
        <w:t xml:space="preserve">] </w:t>
      </w:r>
      <w:r w:rsidR="006252D4">
        <w:rPr>
          <w:sz w:val="20"/>
          <w:szCs w:val="20"/>
        </w:rPr>
        <w:t xml:space="preserve">qui </w:t>
      </w:r>
      <w:r w:rsidRPr="00B87018">
        <w:rPr>
          <w:sz w:val="20"/>
          <w:szCs w:val="20"/>
        </w:rPr>
        <w:t xml:space="preserve">a </w:t>
      </w:r>
      <w:r w:rsidR="0063298E" w:rsidRPr="00B87018">
        <w:rPr>
          <w:sz w:val="20"/>
          <w:szCs w:val="20"/>
        </w:rPr>
        <w:t xml:space="preserve">eu </w:t>
      </w:r>
      <w:r w:rsidRPr="00B87018">
        <w:rPr>
          <w:sz w:val="20"/>
          <w:szCs w:val="20"/>
        </w:rPr>
        <w:t>4,26% décès maternels</w:t>
      </w:r>
      <w:r w:rsidR="006252D4">
        <w:rPr>
          <w:sz w:val="20"/>
          <w:szCs w:val="20"/>
        </w:rPr>
        <w:t>.</w:t>
      </w:r>
      <w:r w:rsidR="00CD7A27" w:rsidRPr="00B87018">
        <w:rPr>
          <w:sz w:val="20"/>
          <w:szCs w:val="20"/>
        </w:rPr>
        <w:t xml:space="preserve"> </w:t>
      </w:r>
      <w:r w:rsidR="00C94EE0" w:rsidRPr="00B87018">
        <w:rPr>
          <w:sz w:val="20"/>
          <w:szCs w:val="20"/>
        </w:rPr>
        <w:t>Diarra</w:t>
      </w:r>
      <w:r w:rsidRPr="00B87018">
        <w:rPr>
          <w:sz w:val="20"/>
          <w:szCs w:val="20"/>
        </w:rPr>
        <w:t xml:space="preserve"> I</w:t>
      </w:r>
      <w:r w:rsidR="0063298E" w:rsidRPr="00B87018">
        <w:rPr>
          <w:sz w:val="20"/>
          <w:szCs w:val="20"/>
        </w:rPr>
        <w:t>.</w:t>
      </w:r>
      <w:r w:rsidRPr="00B87018">
        <w:rPr>
          <w:sz w:val="20"/>
          <w:szCs w:val="20"/>
        </w:rPr>
        <w:t xml:space="preserve"> [6] a </w:t>
      </w:r>
      <w:r w:rsidR="0063298E" w:rsidRPr="00B87018">
        <w:rPr>
          <w:sz w:val="20"/>
          <w:szCs w:val="20"/>
        </w:rPr>
        <w:t xml:space="preserve">eu </w:t>
      </w:r>
      <w:r w:rsidRPr="00B87018">
        <w:rPr>
          <w:sz w:val="20"/>
          <w:szCs w:val="20"/>
        </w:rPr>
        <w:t>12% décès maternels</w:t>
      </w:r>
      <w:r w:rsidR="00CD7A27" w:rsidRPr="00B87018">
        <w:rPr>
          <w:sz w:val="20"/>
          <w:szCs w:val="20"/>
        </w:rPr>
        <w:t xml:space="preserve"> ; </w:t>
      </w:r>
      <w:r w:rsidRPr="00B87018">
        <w:rPr>
          <w:sz w:val="20"/>
          <w:szCs w:val="20"/>
        </w:rPr>
        <w:t>T</w:t>
      </w:r>
      <w:r w:rsidR="006F4DA1" w:rsidRPr="00B87018">
        <w:rPr>
          <w:sz w:val="20"/>
          <w:szCs w:val="20"/>
        </w:rPr>
        <w:t>raore</w:t>
      </w:r>
      <w:r w:rsidRPr="00B87018">
        <w:rPr>
          <w:sz w:val="20"/>
          <w:szCs w:val="20"/>
        </w:rPr>
        <w:t xml:space="preserve"> et coll. [</w:t>
      </w:r>
      <w:r w:rsidR="00F75207" w:rsidRPr="00B87018">
        <w:rPr>
          <w:sz w:val="20"/>
          <w:szCs w:val="20"/>
        </w:rPr>
        <w:t>17</w:t>
      </w:r>
      <w:r w:rsidRPr="00B87018">
        <w:rPr>
          <w:sz w:val="20"/>
          <w:szCs w:val="20"/>
        </w:rPr>
        <w:t xml:space="preserve">] ont </w:t>
      </w:r>
      <w:r w:rsidR="0063298E" w:rsidRPr="00B87018">
        <w:rPr>
          <w:sz w:val="20"/>
          <w:szCs w:val="20"/>
        </w:rPr>
        <w:t xml:space="preserve">eu </w:t>
      </w:r>
      <w:r w:rsidRPr="00B87018">
        <w:rPr>
          <w:sz w:val="20"/>
          <w:szCs w:val="20"/>
        </w:rPr>
        <w:t>18,8% décès maternels.</w:t>
      </w:r>
      <w:r w:rsidR="008311CA" w:rsidRPr="00B87018">
        <w:rPr>
          <w:sz w:val="20"/>
          <w:szCs w:val="20"/>
        </w:rPr>
        <w:t xml:space="preserve"> </w:t>
      </w:r>
      <w:r w:rsidRPr="00B87018">
        <w:rPr>
          <w:sz w:val="20"/>
          <w:szCs w:val="20"/>
        </w:rPr>
        <w:t xml:space="preserve">En comparant notre résultat à ceux des auteurs sus cités, nous pouvons dire que la fréquence de l’éclampsie était plus élevée dans notre étude et le pronostic maternel est moins sévère. Ceci pourrait s’expliquer par l’amélioration actuelle de la prise en charge des cas avec la gratuité de la césarienne et l’utilisation du sulfate de magnésium. </w:t>
      </w:r>
      <w:r w:rsidR="008311CA" w:rsidRPr="00B87018">
        <w:rPr>
          <w:sz w:val="20"/>
          <w:szCs w:val="20"/>
        </w:rPr>
        <w:t xml:space="preserve">La différence dans la qualité des soins, entre les pays développés et les pays en voie de développement </w:t>
      </w:r>
      <w:r w:rsidR="005670AD" w:rsidRPr="00B87018">
        <w:rPr>
          <w:sz w:val="20"/>
          <w:szCs w:val="20"/>
        </w:rPr>
        <w:t xml:space="preserve">reste d’actualité et </w:t>
      </w:r>
      <w:r w:rsidR="008311CA" w:rsidRPr="00B87018">
        <w:rPr>
          <w:sz w:val="20"/>
          <w:szCs w:val="20"/>
        </w:rPr>
        <w:t>explique c</w:t>
      </w:r>
      <w:r w:rsidRPr="00B87018">
        <w:rPr>
          <w:sz w:val="20"/>
          <w:szCs w:val="20"/>
        </w:rPr>
        <w:t xml:space="preserve">e taux de décès rapporté par la série française </w:t>
      </w:r>
      <w:r w:rsidRPr="00B87018">
        <w:rPr>
          <w:bCs/>
          <w:sz w:val="20"/>
          <w:szCs w:val="20"/>
        </w:rPr>
        <w:t>[</w:t>
      </w:r>
      <w:r w:rsidR="00F75207" w:rsidRPr="00B87018">
        <w:rPr>
          <w:bCs/>
          <w:sz w:val="20"/>
          <w:szCs w:val="20"/>
        </w:rPr>
        <w:t>18</w:t>
      </w:r>
      <w:r w:rsidRPr="00B87018">
        <w:rPr>
          <w:bCs/>
          <w:sz w:val="20"/>
          <w:szCs w:val="20"/>
        </w:rPr>
        <w:t>]</w:t>
      </w:r>
      <w:r w:rsidRPr="00B87018">
        <w:rPr>
          <w:sz w:val="20"/>
          <w:szCs w:val="20"/>
        </w:rPr>
        <w:t xml:space="preserve"> </w:t>
      </w:r>
      <w:r w:rsidR="008311CA" w:rsidRPr="00B87018">
        <w:rPr>
          <w:sz w:val="20"/>
          <w:szCs w:val="20"/>
        </w:rPr>
        <w:t xml:space="preserve">qui </w:t>
      </w:r>
      <w:r w:rsidRPr="00B87018">
        <w:rPr>
          <w:sz w:val="20"/>
          <w:szCs w:val="20"/>
        </w:rPr>
        <w:t xml:space="preserve">est </w:t>
      </w:r>
      <w:r w:rsidR="008311CA" w:rsidRPr="00B87018">
        <w:rPr>
          <w:sz w:val="20"/>
          <w:szCs w:val="20"/>
        </w:rPr>
        <w:t xml:space="preserve">de </w:t>
      </w:r>
      <w:r w:rsidR="006252D4">
        <w:rPr>
          <w:sz w:val="20"/>
          <w:szCs w:val="20"/>
        </w:rPr>
        <w:t>2,2%</w:t>
      </w:r>
      <w:r w:rsidRPr="00B87018">
        <w:rPr>
          <w:sz w:val="20"/>
          <w:szCs w:val="20"/>
        </w:rPr>
        <w:t xml:space="preserve"> inférieur au nôtre.</w:t>
      </w:r>
    </w:p>
    <w:p w:rsidR="00E6656E" w:rsidRPr="00B87018" w:rsidRDefault="00E6656E" w:rsidP="00AB47FF">
      <w:pPr>
        <w:autoSpaceDE w:val="0"/>
        <w:autoSpaceDN w:val="0"/>
        <w:adjustRightInd w:val="0"/>
        <w:jc w:val="both"/>
        <w:rPr>
          <w:sz w:val="20"/>
          <w:szCs w:val="20"/>
        </w:rPr>
      </w:pPr>
      <w:r w:rsidRPr="00B87018">
        <w:rPr>
          <w:sz w:val="20"/>
          <w:szCs w:val="20"/>
        </w:rPr>
        <w:t>L’éclampsie est souvent associée à des complications morbides fœtales. Celles-ci sont dominées par la prématurité (29,5%) et l’hypotrophie (11,4%). La plupart des auteurs africains [</w:t>
      </w:r>
      <w:r w:rsidR="00F75207" w:rsidRPr="00B87018">
        <w:rPr>
          <w:sz w:val="20"/>
          <w:szCs w:val="20"/>
        </w:rPr>
        <w:t>19</w:t>
      </w:r>
      <w:r w:rsidRPr="00B87018">
        <w:rPr>
          <w:sz w:val="20"/>
          <w:szCs w:val="20"/>
        </w:rPr>
        <w:t xml:space="preserve">, </w:t>
      </w:r>
      <w:r w:rsidR="00F75207" w:rsidRPr="00B87018">
        <w:rPr>
          <w:sz w:val="20"/>
          <w:szCs w:val="20"/>
        </w:rPr>
        <w:t>20</w:t>
      </w:r>
      <w:r w:rsidRPr="00B87018">
        <w:rPr>
          <w:sz w:val="20"/>
          <w:szCs w:val="20"/>
        </w:rPr>
        <w:t xml:space="preserve">, </w:t>
      </w:r>
      <w:r w:rsidR="00F75207" w:rsidRPr="00B87018">
        <w:rPr>
          <w:sz w:val="20"/>
          <w:szCs w:val="20"/>
        </w:rPr>
        <w:t>21</w:t>
      </w:r>
      <w:r w:rsidRPr="00B87018">
        <w:rPr>
          <w:sz w:val="20"/>
          <w:szCs w:val="20"/>
        </w:rPr>
        <w:t>] dans leurs séries ont rapporté des taux de prématurité autour de 50% et S</w:t>
      </w:r>
      <w:r w:rsidR="006F4DA1" w:rsidRPr="00B87018">
        <w:rPr>
          <w:sz w:val="20"/>
          <w:szCs w:val="20"/>
        </w:rPr>
        <w:t>anogo</w:t>
      </w:r>
      <w:r w:rsidRPr="00B87018">
        <w:rPr>
          <w:sz w:val="20"/>
          <w:szCs w:val="20"/>
        </w:rPr>
        <w:t xml:space="preserve"> A</w:t>
      </w:r>
      <w:r w:rsidR="00B602D0" w:rsidRPr="00B87018">
        <w:rPr>
          <w:sz w:val="20"/>
          <w:szCs w:val="20"/>
        </w:rPr>
        <w:t>.</w:t>
      </w:r>
      <w:r w:rsidRPr="00B87018">
        <w:rPr>
          <w:sz w:val="20"/>
          <w:szCs w:val="20"/>
        </w:rPr>
        <w:t xml:space="preserve"> [</w:t>
      </w:r>
      <w:r w:rsidR="00F75207" w:rsidRPr="00B87018">
        <w:rPr>
          <w:sz w:val="20"/>
          <w:szCs w:val="20"/>
        </w:rPr>
        <w:t>22</w:t>
      </w:r>
      <w:r w:rsidR="006252D4">
        <w:rPr>
          <w:sz w:val="20"/>
          <w:szCs w:val="20"/>
        </w:rPr>
        <w:t>] notait 11,7% de prématurité.</w:t>
      </w:r>
    </w:p>
    <w:p w:rsidR="00E6656E" w:rsidRPr="00B87018" w:rsidRDefault="00E6656E" w:rsidP="00AB47FF">
      <w:pPr>
        <w:autoSpaceDE w:val="0"/>
        <w:autoSpaceDN w:val="0"/>
        <w:adjustRightInd w:val="0"/>
        <w:jc w:val="both"/>
        <w:rPr>
          <w:sz w:val="20"/>
          <w:szCs w:val="20"/>
        </w:rPr>
      </w:pPr>
      <w:r w:rsidRPr="00B87018">
        <w:rPr>
          <w:sz w:val="20"/>
          <w:szCs w:val="20"/>
        </w:rPr>
        <w:t>L’éclampsie</w:t>
      </w:r>
      <w:r w:rsidR="006252D4">
        <w:rPr>
          <w:sz w:val="20"/>
          <w:szCs w:val="20"/>
        </w:rPr>
        <w:t>,</w:t>
      </w:r>
      <w:r w:rsidRPr="00B87018">
        <w:rPr>
          <w:sz w:val="20"/>
          <w:szCs w:val="20"/>
        </w:rPr>
        <w:t xml:space="preserve"> du fait des crises convulsives à répétition, des chiffres tensionnels, et de l’ischémie utéro-placentaire est responsable de</w:t>
      </w:r>
      <w:r w:rsidR="00117C19" w:rsidRPr="00B87018">
        <w:rPr>
          <w:sz w:val="20"/>
          <w:szCs w:val="20"/>
        </w:rPr>
        <w:t xml:space="preserve"> la mort fœtale in utéro</w:t>
      </w:r>
      <w:r w:rsidRPr="00B87018">
        <w:rPr>
          <w:sz w:val="20"/>
          <w:szCs w:val="20"/>
        </w:rPr>
        <w:t xml:space="preserve">. 13,7% des </w:t>
      </w:r>
      <w:r w:rsidR="00DE45BF" w:rsidRPr="00B87018">
        <w:rPr>
          <w:sz w:val="20"/>
          <w:szCs w:val="20"/>
        </w:rPr>
        <w:t>nouveau</w:t>
      </w:r>
      <w:r w:rsidR="00646D5C" w:rsidRPr="00B87018">
        <w:rPr>
          <w:sz w:val="20"/>
          <w:szCs w:val="20"/>
        </w:rPr>
        <w:t>x</w:t>
      </w:r>
      <w:r w:rsidR="00DE45BF" w:rsidRPr="00B87018">
        <w:rPr>
          <w:sz w:val="20"/>
          <w:szCs w:val="20"/>
        </w:rPr>
        <w:t>-nés</w:t>
      </w:r>
      <w:r w:rsidR="006846FA" w:rsidRPr="00B87018">
        <w:rPr>
          <w:sz w:val="20"/>
          <w:szCs w:val="20"/>
        </w:rPr>
        <w:t xml:space="preserve"> vivants ont été réanimés </w:t>
      </w:r>
      <w:r w:rsidRPr="00B87018">
        <w:rPr>
          <w:sz w:val="20"/>
          <w:szCs w:val="20"/>
        </w:rPr>
        <w:t xml:space="preserve">et être adressé en service de pédiatrie pour souffrance néonatale. </w:t>
      </w:r>
      <w:r w:rsidR="00117C19" w:rsidRPr="00B87018">
        <w:rPr>
          <w:sz w:val="20"/>
          <w:szCs w:val="20"/>
        </w:rPr>
        <w:t>Nous constatons une nette diminution du taux de mort-né de 11,9%</w:t>
      </w:r>
      <w:r w:rsidR="00B602D0" w:rsidRPr="00B87018">
        <w:rPr>
          <w:sz w:val="20"/>
          <w:szCs w:val="20"/>
        </w:rPr>
        <w:t xml:space="preserve"> </w:t>
      </w:r>
      <w:r w:rsidR="00117C19" w:rsidRPr="00B87018">
        <w:rPr>
          <w:sz w:val="20"/>
          <w:szCs w:val="20"/>
        </w:rPr>
        <w:t>pour notre série de 24% et 17% pour d</w:t>
      </w:r>
      <w:r w:rsidRPr="00B87018">
        <w:rPr>
          <w:sz w:val="20"/>
          <w:szCs w:val="20"/>
        </w:rPr>
        <w:t>es études menées quelques années auparavant [</w:t>
      </w:r>
      <w:r w:rsidR="00F75207" w:rsidRPr="00B87018">
        <w:rPr>
          <w:sz w:val="20"/>
          <w:szCs w:val="20"/>
        </w:rPr>
        <w:t>5</w:t>
      </w:r>
      <w:r w:rsidRPr="00B87018">
        <w:rPr>
          <w:sz w:val="20"/>
          <w:szCs w:val="20"/>
        </w:rPr>
        <w:t>,</w:t>
      </w:r>
      <w:r w:rsidR="00F75207" w:rsidRPr="00B87018">
        <w:rPr>
          <w:sz w:val="20"/>
          <w:szCs w:val="20"/>
        </w:rPr>
        <w:t>6</w:t>
      </w:r>
      <w:r w:rsidRPr="00B87018">
        <w:rPr>
          <w:sz w:val="20"/>
          <w:szCs w:val="20"/>
        </w:rPr>
        <w:t>]</w:t>
      </w:r>
      <w:r w:rsidR="006846FA" w:rsidRPr="00B87018">
        <w:rPr>
          <w:sz w:val="20"/>
          <w:szCs w:val="20"/>
        </w:rPr>
        <w:t xml:space="preserve"> </w:t>
      </w:r>
      <w:r w:rsidR="00117C19" w:rsidRPr="00B87018">
        <w:rPr>
          <w:sz w:val="20"/>
          <w:szCs w:val="20"/>
        </w:rPr>
        <w:t>dans le même service</w:t>
      </w:r>
      <w:r w:rsidRPr="00B87018">
        <w:rPr>
          <w:sz w:val="20"/>
          <w:szCs w:val="20"/>
        </w:rPr>
        <w:t xml:space="preserve">. </w:t>
      </w:r>
      <w:r w:rsidR="003966C6" w:rsidRPr="00B87018">
        <w:rPr>
          <w:sz w:val="20"/>
          <w:szCs w:val="20"/>
        </w:rPr>
        <w:t xml:space="preserve">Cette amélioration du pronostic fœtal est peut-être dû aux changements </w:t>
      </w:r>
      <w:r w:rsidR="00E038AE" w:rsidRPr="00B87018">
        <w:rPr>
          <w:sz w:val="20"/>
          <w:szCs w:val="20"/>
        </w:rPr>
        <w:t xml:space="preserve">qui </w:t>
      </w:r>
      <w:r w:rsidR="003966C6" w:rsidRPr="00B87018">
        <w:rPr>
          <w:sz w:val="20"/>
          <w:szCs w:val="20"/>
        </w:rPr>
        <w:t xml:space="preserve">ont été faites dans l’organisation des conditions de travail </w:t>
      </w:r>
      <w:r w:rsidR="00E038AE" w:rsidRPr="00B87018">
        <w:rPr>
          <w:sz w:val="20"/>
          <w:szCs w:val="20"/>
        </w:rPr>
        <w:t xml:space="preserve">dans ces dernières années </w:t>
      </w:r>
      <w:r w:rsidR="003966C6" w:rsidRPr="00B87018">
        <w:rPr>
          <w:sz w:val="20"/>
          <w:szCs w:val="20"/>
        </w:rPr>
        <w:t>(cé</w:t>
      </w:r>
      <w:r w:rsidR="006846FA" w:rsidRPr="00B87018">
        <w:rPr>
          <w:sz w:val="20"/>
          <w:szCs w:val="20"/>
        </w:rPr>
        <w:t>sarienne gratuite, surveillance</w:t>
      </w:r>
      <w:r w:rsidR="003966C6" w:rsidRPr="00B87018">
        <w:rPr>
          <w:sz w:val="20"/>
          <w:szCs w:val="20"/>
        </w:rPr>
        <w:t xml:space="preserve"> du travail d’accouchement</w:t>
      </w:r>
      <w:r w:rsidR="00B602D0" w:rsidRPr="00B87018">
        <w:rPr>
          <w:sz w:val="20"/>
          <w:szCs w:val="20"/>
        </w:rPr>
        <w:t xml:space="preserve"> par le partogramme</w:t>
      </w:r>
      <w:r w:rsidR="003966C6" w:rsidRPr="00B87018">
        <w:rPr>
          <w:sz w:val="20"/>
          <w:szCs w:val="20"/>
        </w:rPr>
        <w:t xml:space="preserve"> et la </w:t>
      </w:r>
      <w:r w:rsidR="00B602D0" w:rsidRPr="00B87018">
        <w:rPr>
          <w:sz w:val="20"/>
          <w:szCs w:val="20"/>
        </w:rPr>
        <w:t xml:space="preserve">gratuité </w:t>
      </w:r>
      <w:r w:rsidR="003966C6" w:rsidRPr="00B87018">
        <w:rPr>
          <w:sz w:val="20"/>
          <w:szCs w:val="20"/>
        </w:rPr>
        <w:t>du sulfate de magnésium</w:t>
      </w:r>
      <w:r w:rsidR="00E038AE" w:rsidRPr="00B87018">
        <w:rPr>
          <w:sz w:val="20"/>
          <w:szCs w:val="20"/>
        </w:rPr>
        <w:t>)</w:t>
      </w:r>
      <w:r w:rsidR="003966C6" w:rsidRPr="00B87018">
        <w:rPr>
          <w:sz w:val="20"/>
          <w:szCs w:val="20"/>
        </w:rPr>
        <w:t xml:space="preserve">. </w:t>
      </w:r>
    </w:p>
    <w:p w:rsidR="00D905D1" w:rsidRPr="00AB47FF" w:rsidRDefault="00CF032F" w:rsidP="00CF032F">
      <w:pPr>
        <w:spacing w:before="120" w:after="40"/>
        <w:jc w:val="both"/>
        <w:outlineLvl w:val="0"/>
        <w:rPr>
          <w:b/>
          <w:sz w:val="20"/>
          <w:szCs w:val="20"/>
        </w:rPr>
      </w:pPr>
      <w:r w:rsidRPr="00AB47FF">
        <w:rPr>
          <w:b/>
          <w:sz w:val="20"/>
          <w:szCs w:val="20"/>
        </w:rPr>
        <w:t>CONCLUSION</w:t>
      </w:r>
    </w:p>
    <w:p w:rsidR="00806BFC" w:rsidRPr="00CF032F" w:rsidRDefault="00A86B74" w:rsidP="00CF032F">
      <w:pPr>
        <w:jc w:val="both"/>
        <w:outlineLvl w:val="0"/>
        <w:rPr>
          <w:sz w:val="20"/>
          <w:szCs w:val="20"/>
        </w:rPr>
      </w:pPr>
      <w:r w:rsidRPr="00A86B74">
        <w:rPr>
          <w:sz w:val="20"/>
          <w:szCs w:val="20"/>
          <w:lang w:bidi="fr-FR"/>
        </w:rPr>
        <w:t>Les aspects épidémiologiques et pronostiques de l’éclampsie incitent à privilégier les mesures préventives qui associent le dépistage des grossesses à risque, l’éducation, l’information et la prise en charge précoce des femmes enceintes</w:t>
      </w:r>
      <w:r>
        <w:rPr>
          <w:sz w:val="20"/>
          <w:szCs w:val="20"/>
          <w:lang w:bidi="fr-FR"/>
        </w:rPr>
        <w:t xml:space="preserve">. </w:t>
      </w:r>
      <w:r w:rsidR="00E6656E" w:rsidRPr="00AB47FF">
        <w:rPr>
          <w:sz w:val="20"/>
          <w:szCs w:val="20"/>
        </w:rPr>
        <w:t>Le suivi prénatal de qualité et l’amélioration de cond</w:t>
      </w:r>
      <w:r>
        <w:rPr>
          <w:sz w:val="20"/>
          <w:szCs w:val="20"/>
        </w:rPr>
        <w:t>itions de vie de la femme sont d</w:t>
      </w:r>
      <w:r w:rsidR="00E6656E" w:rsidRPr="00AB47FF">
        <w:rPr>
          <w:sz w:val="20"/>
          <w:szCs w:val="20"/>
        </w:rPr>
        <w:t>es moyens permettant de diminuer le taux élevé d’éclampsie et d’améliorer le pronostic materno fœtal de cette pathologie.</w:t>
      </w:r>
    </w:p>
    <w:p w:rsidR="00E6656E" w:rsidRPr="00AB47FF" w:rsidRDefault="00CF032F" w:rsidP="00CF032F">
      <w:pPr>
        <w:spacing w:before="120" w:after="40"/>
        <w:jc w:val="both"/>
        <w:rPr>
          <w:sz w:val="20"/>
          <w:szCs w:val="20"/>
        </w:rPr>
      </w:pPr>
      <w:bookmarkStart w:id="1" w:name="_Hlk48595858"/>
      <w:r w:rsidRPr="00AB47FF">
        <w:rPr>
          <w:b/>
          <w:bCs/>
          <w:sz w:val="20"/>
          <w:szCs w:val="20"/>
        </w:rPr>
        <w:t>RÉFÉRENCES</w:t>
      </w:r>
    </w:p>
    <w:bookmarkEnd w:id="1"/>
    <w:p w:rsidR="00393348" w:rsidRPr="006F4DA1" w:rsidRDefault="006F4DA1" w:rsidP="006F4DA1">
      <w:pPr>
        <w:pStyle w:val="Paragraphedeliste"/>
        <w:numPr>
          <w:ilvl w:val="0"/>
          <w:numId w:val="36"/>
        </w:numPr>
        <w:autoSpaceDE w:val="0"/>
        <w:autoSpaceDN w:val="0"/>
        <w:adjustRightInd w:val="0"/>
        <w:ind w:left="284" w:hanging="284"/>
        <w:jc w:val="both"/>
        <w:rPr>
          <w:rFonts w:ascii="Times New Roman" w:hAnsi="Times New Roman"/>
          <w:sz w:val="18"/>
          <w:szCs w:val="18"/>
        </w:rPr>
      </w:pPr>
      <w:r w:rsidRPr="006F4DA1">
        <w:rPr>
          <w:rFonts w:ascii="Times New Roman" w:hAnsi="Times New Roman"/>
          <w:bCs/>
          <w:sz w:val="18"/>
          <w:szCs w:val="18"/>
        </w:rPr>
        <w:t xml:space="preserve">Faye A., Picaud A., Ogwet-Igumu N., Nlome-Nze R A., Nicola Ph. </w:t>
      </w:r>
      <w:r w:rsidR="00393348" w:rsidRPr="006F4DA1">
        <w:rPr>
          <w:rFonts w:ascii="Times New Roman" w:hAnsi="Times New Roman"/>
          <w:sz w:val="18"/>
          <w:szCs w:val="18"/>
        </w:rPr>
        <w:t>L’éclampsie au CHU de Libreville, 53 cas pour 41285 accouchements de 1985 à 1989. Rev Fr Gynécol Obstét 1991 ; 86, 7-9 : 503-510.</w:t>
      </w:r>
    </w:p>
    <w:p w:rsidR="00393348" w:rsidRPr="006F4DA1" w:rsidRDefault="00393348" w:rsidP="006F4DA1">
      <w:pPr>
        <w:pStyle w:val="Paragraphedeliste"/>
        <w:numPr>
          <w:ilvl w:val="0"/>
          <w:numId w:val="36"/>
        </w:numPr>
        <w:autoSpaceDE w:val="0"/>
        <w:autoSpaceDN w:val="0"/>
        <w:adjustRightInd w:val="0"/>
        <w:ind w:left="284" w:hanging="284"/>
        <w:jc w:val="both"/>
        <w:rPr>
          <w:rFonts w:ascii="Times New Roman" w:hAnsi="Times New Roman"/>
          <w:sz w:val="18"/>
          <w:szCs w:val="18"/>
        </w:rPr>
      </w:pPr>
      <w:r w:rsidRPr="006F4DA1">
        <w:rPr>
          <w:rFonts w:ascii="Times New Roman" w:hAnsi="Times New Roman"/>
          <w:bCs/>
          <w:sz w:val="18"/>
          <w:szCs w:val="18"/>
        </w:rPr>
        <w:t>A</w:t>
      </w:r>
      <w:r w:rsidR="006F4DA1" w:rsidRPr="006F4DA1">
        <w:rPr>
          <w:rFonts w:ascii="Times New Roman" w:hAnsi="Times New Roman"/>
          <w:bCs/>
          <w:sz w:val="18"/>
          <w:szCs w:val="18"/>
        </w:rPr>
        <w:t>hmadou</w:t>
      </w:r>
      <w:r w:rsidRPr="006F4DA1">
        <w:rPr>
          <w:rFonts w:ascii="Times New Roman" w:hAnsi="Times New Roman"/>
          <w:bCs/>
          <w:sz w:val="18"/>
          <w:szCs w:val="18"/>
        </w:rPr>
        <w:t xml:space="preserve"> H. </w:t>
      </w:r>
      <w:r w:rsidRPr="006F4DA1">
        <w:rPr>
          <w:rFonts w:ascii="Times New Roman" w:hAnsi="Times New Roman"/>
          <w:sz w:val="18"/>
          <w:szCs w:val="18"/>
        </w:rPr>
        <w:t xml:space="preserve">Aspect épidémio-clinique de la prise en charge de l’éclampsie dans le centre de santé de référence de la commune V. Thèse Med, Bamako 2005, 40 </w:t>
      </w:r>
    </w:p>
    <w:p w:rsidR="00393348" w:rsidRPr="006F4DA1" w:rsidRDefault="006F4DA1" w:rsidP="006F4DA1">
      <w:pPr>
        <w:pStyle w:val="Paragraphedeliste"/>
        <w:numPr>
          <w:ilvl w:val="0"/>
          <w:numId w:val="36"/>
        </w:numPr>
        <w:autoSpaceDE w:val="0"/>
        <w:autoSpaceDN w:val="0"/>
        <w:adjustRightInd w:val="0"/>
        <w:ind w:left="284" w:hanging="284"/>
        <w:jc w:val="both"/>
        <w:rPr>
          <w:rFonts w:ascii="Times New Roman" w:hAnsi="Times New Roman"/>
          <w:sz w:val="18"/>
          <w:szCs w:val="18"/>
        </w:rPr>
      </w:pPr>
      <w:r w:rsidRPr="006F4DA1">
        <w:rPr>
          <w:rFonts w:ascii="Times New Roman" w:hAnsi="Times New Roman"/>
          <w:bCs/>
          <w:sz w:val="18"/>
          <w:szCs w:val="18"/>
        </w:rPr>
        <w:t xml:space="preserve">Cisse C T., Faye Dienne M E., Ngabo D., Mbaye M., Diagne P M., Moreau </w:t>
      </w:r>
      <w:r w:rsidR="00393348" w:rsidRPr="006F4DA1">
        <w:rPr>
          <w:rFonts w:ascii="Times New Roman" w:hAnsi="Times New Roman"/>
          <w:bCs/>
          <w:sz w:val="18"/>
          <w:szCs w:val="18"/>
        </w:rPr>
        <w:t xml:space="preserve">J C. </w:t>
      </w:r>
      <w:r w:rsidR="00393348" w:rsidRPr="006F4DA1">
        <w:rPr>
          <w:rFonts w:ascii="Times New Roman" w:hAnsi="Times New Roman"/>
          <w:sz w:val="18"/>
          <w:szCs w:val="18"/>
        </w:rPr>
        <w:t>Indications thérapeutiques et pronostic de l’éclampsie au CHU de Dakar. Gynécol. Obstet Biol Reprod 2003 ; 239.</w:t>
      </w:r>
    </w:p>
    <w:p w:rsidR="00393348" w:rsidRPr="006F4DA1" w:rsidRDefault="00C94EE0" w:rsidP="006F4DA1">
      <w:pPr>
        <w:pStyle w:val="Paragraphedeliste"/>
        <w:numPr>
          <w:ilvl w:val="0"/>
          <w:numId w:val="36"/>
        </w:numPr>
        <w:autoSpaceDE w:val="0"/>
        <w:autoSpaceDN w:val="0"/>
        <w:adjustRightInd w:val="0"/>
        <w:ind w:left="284" w:hanging="284"/>
        <w:jc w:val="both"/>
        <w:rPr>
          <w:rFonts w:ascii="Times New Roman" w:hAnsi="Times New Roman"/>
          <w:sz w:val="18"/>
          <w:szCs w:val="18"/>
        </w:rPr>
      </w:pPr>
      <w:r w:rsidRPr="006F4DA1">
        <w:rPr>
          <w:rFonts w:ascii="Times New Roman" w:hAnsi="Times New Roman"/>
          <w:bCs/>
          <w:sz w:val="18"/>
          <w:szCs w:val="18"/>
        </w:rPr>
        <w:t xml:space="preserve">Pambou O., Ekoundzola J R., Malanda </w:t>
      </w:r>
      <w:r w:rsidR="00393348" w:rsidRPr="006F4DA1">
        <w:rPr>
          <w:rFonts w:ascii="Times New Roman" w:hAnsi="Times New Roman"/>
          <w:bCs/>
          <w:sz w:val="18"/>
          <w:szCs w:val="18"/>
        </w:rPr>
        <w:t xml:space="preserve">J P., </w:t>
      </w:r>
      <w:r w:rsidR="006F4DA1" w:rsidRPr="006F4DA1">
        <w:rPr>
          <w:rFonts w:ascii="Times New Roman" w:hAnsi="Times New Roman"/>
          <w:bCs/>
          <w:sz w:val="18"/>
          <w:szCs w:val="18"/>
        </w:rPr>
        <w:t>Buambos</w:t>
      </w:r>
      <w:r w:rsidR="00393348" w:rsidRPr="006F4DA1">
        <w:rPr>
          <w:rFonts w:ascii="Times New Roman" w:hAnsi="Times New Roman"/>
          <w:bCs/>
          <w:sz w:val="18"/>
          <w:szCs w:val="18"/>
        </w:rPr>
        <w:t xml:space="preserve">. </w:t>
      </w:r>
      <w:r w:rsidR="00393348" w:rsidRPr="006F4DA1">
        <w:rPr>
          <w:rFonts w:ascii="Times New Roman" w:hAnsi="Times New Roman"/>
          <w:sz w:val="18"/>
          <w:szCs w:val="18"/>
        </w:rPr>
        <w:t>Prise en charge et pronostic de l’éclampsie au CHU de Brazzaville à propos d’une étude rétrospective de 100 cas.Med Af Noire 1999, 36, 11, 509.</w:t>
      </w:r>
    </w:p>
    <w:p w:rsidR="00393348" w:rsidRPr="006F4DA1" w:rsidRDefault="006F4DA1" w:rsidP="006F4DA1">
      <w:pPr>
        <w:pStyle w:val="Paragraphedeliste"/>
        <w:numPr>
          <w:ilvl w:val="0"/>
          <w:numId w:val="36"/>
        </w:numPr>
        <w:tabs>
          <w:tab w:val="left" w:pos="720"/>
        </w:tabs>
        <w:autoSpaceDE w:val="0"/>
        <w:autoSpaceDN w:val="0"/>
        <w:adjustRightInd w:val="0"/>
        <w:ind w:left="284" w:hanging="284"/>
        <w:jc w:val="both"/>
        <w:rPr>
          <w:rFonts w:ascii="Times New Roman" w:hAnsi="Times New Roman"/>
          <w:sz w:val="18"/>
          <w:szCs w:val="18"/>
        </w:rPr>
      </w:pPr>
      <w:r w:rsidRPr="006F4DA1">
        <w:rPr>
          <w:rFonts w:ascii="Times New Roman" w:hAnsi="Times New Roman"/>
          <w:bCs/>
          <w:sz w:val="18"/>
          <w:szCs w:val="18"/>
        </w:rPr>
        <w:t>Dembele</w:t>
      </w:r>
      <w:r w:rsidR="00393348" w:rsidRPr="006F4DA1">
        <w:rPr>
          <w:rFonts w:ascii="Times New Roman" w:hAnsi="Times New Roman"/>
          <w:bCs/>
          <w:sz w:val="18"/>
          <w:szCs w:val="18"/>
        </w:rPr>
        <w:t xml:space="preserve"> N F. </w:t>
      </w:r>
      <w:r w:rsidR="00393348" w:rsidRPr="006F4DA1">
        <w:rPr>
          <w:rFonts w:ascii="Times New Roman" w:hAnsi="Times New Roman"/>
          <w:sz w:val="18"/>
          <w:szCs w:val="18"/>
        </w:rPr>
        <w:t>Aspects cliniques de l’éclampsie à l’hôpital Gabriel Touré à propos de 65 cas.Thèse Med, Bamako 1995, 68.</w:t>
      </w:r>
    </w:p>
    <w:p w:rsidR="007A213E" w:rsidRPr="006F4DA1" w:rsidRDefault="007A213E" w:rsidP="006F4DA1">
      <w:pPr>
        <w:pStyle w:val="Paragraphedeliste"/>
        <w:numPr>
          <w:ilvl w:val="0"/>
          <w:numId w:val="36"/>
        </w:numPr>
        <w:tabs>
          <w:tab w:val="left" w:pos="720"/>
        </w:tabs>
        <w:autoSpaceDE w:val="0"/>
        <w:autoSpaceDN w:val="0"/>
        <w:adjustRightInd w:val="0"/>
        <w:ind w:left="284" w:hanging="284"/>
        <w:jc w:val="both"/>
        <w:rPr>
          <w:rFonts w:ascii="Times New Roman" w:hAnsi="Times New Roman"/>
          <w:sz w:val="18"/>
          <w:szCs w:val="18"/>
          <w:lang w:val="en-US"/>
        </w:rPr>
      </w:pPr>
      <w:r w:rsidRPr="006F4DA1">
        <w:rPr>
          <w:rFonts w:ascii="Times New Roman" w:hAnsi="Times New Roman"/>
          <w:bCs/>
          <w:sz w:val="18"/>
          <w:szCs w:val="18"/>
          <w:lang w:val="en-US"/>
        </w:rPr>
        <w:t>Thiam M, Goumbala M, Gning SB, Fall P-D, Cellier C, Perret J-L.</w:t>
      </w:r>
      <w:r w:rsidRPr="006F4DA1">
        <w:rPr>
          <w:rFonts w:ascii="Times New Roman" w:hAnsi="Times New Roman"/>
          <w:sz w:val="18"/>
          <w:szCs w:val="18"/>
          <w:lang w:val="en-US"/>
        </w:rPr>
        <w:t xml:space="preserve"> </w:t>
      </w:r>
      <w:r w:rsidRPr="006F4DA1">
        <w:rPr>
          <w:rFonts w:ascii="Times New Roman" w:hAnsi="Times New Roman"/>
          <w:sz w:val="18"/>
          <w:szCs w:val="18"/>
        </w:rPr>
        <w:t xml:space="preserve">Pronostic maternel et foetal de l’association hypertension et grossesse en Afrique sub-saharienne (Sénégal). /data/revues/03682315/00320001/35/ [Internet]. </w:t>
      </w:r>
      <w:r w:rsidRPr="006F4DA1">
        <w:rPr>
          <w:rFonts w:ascii="Times New Roman" w:hAnsi="Times New Roman"/>
          <w:sz w:val="18"/>
          <w:szCs w:val="18"/>
          <w:lang w:val="en-US"/>
        </w:rPr>
        <w:t xml:space="preserve">2008 Sep 3 [cited 2018 Aug 15]; Available from: </w:t>
      </w:r>
      <w:hyperlink r:id="rId11" w:history="1">
        <w:r w:rsidRPr="006F4DA1">
          <w:rPr>
            <w:rStyle w:val="Lienhypertexte"/>
            <w:rFonts w:ascii="Times New Roman" w:hAnsi="Times New Roman"/>
            <w:color w:val="auto"/>
            <w:sz w:val="18"/>
            <w:szCs w:val="18"/>
            <w:lang w:val="en-US"/>
          </w:rPr>
          <w:t>http://www.em-consulte.com/en/article/114631</w:t>
        </w:r>
      </w:hyperlink>
    </w:p>
    <w:p w:rsidR="007A213E" w:rsidRPr="006F4DA1" w:rsidRDefault="007A213E" w:rsidP="006F4DA1">
      <w:pPr>
        <w:pStyle w:val="Paragraphedeliste"/>
        <w:numPr>
          <w:ilvl w:val="0"/>
          <w:numId w:val="36"/>
        </w:numPr>
        <w:tabs>
          <w:tab w:val="left" w:pos="720"/>
        </w:tabs>
        <w:autoSpaceDE w:val="0"/>
        <w:autoSpaceDN w:val="0"/>
        <w:adjustRightInd w:val="0"/>
        <w:ind w:left="284" w:hanging="284"/>
        <w:jc w:val="both"/>
        <w:rPr>
          <w:rFonts w:ascii="Times New Roman" w:hAnsi="Times New Roman"/>
          <w:sz w:val="18"/>
          <w:szCs w:val="18"/>
        </w:rPr>
      </w:pPr>
      <w:r w:rsidRPr="006F4DA1">
        <w:rPr>
          <w:rFonts w:ascii="Times New Roman" w:hAnsi="Times New Roman"/>
          <w:bCs/>
          <w:sz w:val="18"/>
          <w:szCs w:val="18"/>
        </w:rPr>
        <w:t>Mounier-Vehier C, Amar J, Boivin J-M, Denolle T, Fauvel J-P, Plu-Bureau G, et al.</w:t>
      </w:r>
      <w:r w:rsidRPr="006F4DA1">
        <w:rPr>
          <w:rFonts w:ascii="Times New Roman" w:hAnsi="Times New Roman"/>
          <w:sz w:val="18"/>
          <w:szCs w:val="18"/>
        </w:rPr>
        <w:t xml:space="preserve"> Hypertension artérielle et grossesse. Consensus d’experts de la Société française d’hypertension artérielle. Presse Médicale. 2016;(45):682–99.</w:t>
      </w:r>
    </w:p>
    <w:p w:rsidR="00D046DE" w:rsidRPr="006F4DA1" w:rsidRDefault="00D046DE" w:rsidP="006F4DA1">
      <w:pPr>
        <w:pStyle w:val="Paragraphedeliste"/>
        <w:numPr>
          <w:ilvl w:val="0"/>
          <w:numId w:val="36"/>
        </w:numPr>
        <w:autoSpaceDE w:val="0"/>
        <w:autoSpaceDN w:val="0"/>
        <w:adjustRightInd w:val="0"/>
        <w:ind w:left="284" w:hanging="284"/>
        <w:jc w:val="both"/>
        <w:rPr>
          <w:rFonts w:ascii="Times New Roman" w:eastAsiaTheme="minorHAnsi" w:hAnsi="Times New Roman"/>
          <w:sz w:val="18"/>
          <w:szCs w:val="18"/>
        </w:rPr>
      </w:pPr>
      <w:r w:rsidRPr="006F4DA1">
        <w:rPr>
          <w:rFonts w:ascii="Times New Roman" w:eastAsiaTheme="minorHAnsi" w:hAnsi="Times New Roman"/>
          <w:bCs/>
          <w:sz w:val="18"/>
          <w:szCs w:val="18"/>
        </w:rPr>
        <w:t xml:space="preserve">Keïta M et col. : </w:t>
      </w:r>
      <w:r w:rsidRPr="006F4DA1">
        <w:rPr>
          <w:rFonts w:ascii="Times New Roman" w:eastAsiaTheme="minorHAnsi" w:hAnsi="Times New Roman"/>
          <w:sz w:val="18"/>
          <w:szCs w:val="18"/>
        </w:rPr>
        <w:t>épidémiologie et pronostic maternel de l’éclampsie en milieu de réanimation au centre hospitalier et universitaire du Point G de Bamako, mali médical 2016 tome xxx</w:t>
      </w:r>
      <w:r w:rsidRPr="006F4DA1">
        <w:rPr>
          <w:rFonts w:ascii="Times New Roman" w:eastAsiaTheme="minorHAnsi" w:hAnsi="Times New Roman"/>
          <w:bCs/>
          <w:sz w:val="18"/>
          <w:szCs w:val="18"/>
        </w:rPr>
        <w:t>I</w:t>
      </w:r>
      <w:r w:rsidRPr="006F4DA1">
        <w:rPr>
          <w:rFonts w:ascii="Times New Roman" w:eastAsiaTheme="minorHAnsi" w:hAnsi="Times New Roman"/>
          <w:sz w:val="18"/>
          <w:szCs w:val="18"/>
        </w:rPr>
        <w:t>, n°2</w:t>
      </w:r>
      <w:r w:rsidR="008D13AB" w:rsidRPr="006F4DA1">
        <w:rPr>
          <w:rFonts w:ascii="Times New Roman" w:eastAsiaTheme="minorHAnsi" w:hAnsi="Times New Roman"/>
          <w:sz w:val="18"/>
          <w:szCs w:val="18"/>
        </w:rPr>
        <w:t>.</w:t>
      </w:r>
    </w:p>
    <w:p w:rsidR="008D13AB" w:rsidRPr="006F4DA1" w:rsidRDefault="008D13AB" w:rsidP="006F4DA1">
      <w:pPr>
        <w:pStyle w:val="Paragraphedeliste"/>
        <w:numPr>
          <w:ilvl w:val="0"/>
          <w:numId w:val="36"/>
        </w:numPr>
        <w:autoSpaceDE w:val="0"/>
        <w:autoSpaceDN w:val="0"/>
        <w:adjustRightInd w:val="0"/>
        <w:ind w:left="284" w:hanging="284"/>
        <w:jc w:val="both"/>
        <w:rPr>
          <w:rFonts w:ascii="Times New Roman" w:eastAsia="BookmanOldStyle" w:hAnsi="Times New Roman"/>
          <w:sz w:val="18"/>
          <w:szCs w:val="18"/>
        </w:rPr>
      </w:pPr>
      <w:r w:rsidRPr="006F4DA1">
        <w:rPr>
          <w:rFonts w:ascii="Times New Roman" w:eastAsia="BookmanOldStyle" w:hAnsi="Times New Roman"/>
          <w:bCs/>
          <w:sz w:val="18"/>
          <w:szCs w:val="18"/>
        </w:rPr>
        <w:t>M. D. Beye, E. Diouf, O. Kane, M.D. Ndoye, A. Seydi, P.I Ndiaye, B. K. Sall</w:t>
      </w:r>
      <w:r w:rsidRPr="006F4DA1">
        <w:rPr>
          <w:rFonts w:ascii="Times New Roman" w:eastAsia="BookmanOldStyle" w:hAnsi="Times New Roman"/>
          <w:sz w:val="18"/>
          <w:szCs w:val="18"/>
        </w:rPr>
        <w:t>. Prise en charge de l’éclampsie grave en réanimation en milieu tropical africain. A propos de 28 cas. Annales Françaises d’Anesthésie et de réanimation 22 (2003) 25 – 29.</w:t>
      </w:r>
    </w:p>
    <w:p w:rsidR="008D13AB" w:rsidRPr="006F4DA1" w:rsidRDefault="008D13AB" w:rsidP="006F4DA1">
      <w:pPr>
        <w:pStyle w:val="Paragraphedeliste"/>
        <w:numPr>
          <w:ilvl w:val="0"/>
          <w:numId w:val="36"/>
        </w:numPr>
        <w:autoSpaceDE w:val="0"/>
        <w:autoSpaceDN w:val="0"/>
        <w:adjustRightInd w:val="0"/>
        <w:ind w:left="284" w:hanging="284"/>
        <w:jc w:val="both"/>
        <w:rPr>
          <w:rFonts w:ascii="Times New Roman" w:eastAsia="BookmanOldStyle" w:hAnsi="Times New Roman"/>
          <w:sz w:val="18"/>
          <w:szCs w:val="18"/>
        </w:rPr>
      </w:pPr>
      <w:r w:rsidRPr="006F4DA1">
        <w:rPr>
          <w:rFonts w:ascii="Times New Roman" w:eastAsia="BookmanOldStyle" w:hAnsi="Times New Roman"/>
          <w:sz w:val="18"/>
          <w:szCs w:val="18"/>
        </w:rPr>
        <w:t>Cissé CT, Ewagnignon E, Hojeige A, Diadhiou F. Eclampsie en milieu africain. Epidemiologie et pronostic au CHU de Dakar. SemHop Paris 1997 ; 73 :1062–7.</w:t>
      </w:r>
    </w:p>
    <w:p w:rsidR="00393348" w:rsidRPr="006F4DA1" w:rsidRDefault="006F4DA1" w:rsidP="006F4DA1">
      <w:pPr>
        <w:pStyle w:val="Paragraphedeliste"/>
        <w:numPr>
          <w:ilvl w:val="0"/>
          <w:numId w:val="36"/>
        </w:numPr>
        <w:autoSpaceDE w:val="0"/>
        <w:autoSpaceDN w:val="0"/>
        <w:adjustRightInd w:val="0"/>
        <w:ind w:left="284" w:hanging="284"/>
        <w:jc w:val="both"/>
        <w:rPr>
          <w:rFonts w:ascii="Times New Roman" w:hAnsi="Times New Roman"/>
          <w:sz w:val="18"/>
          <w:szCs w:val="18"/>
        </w:rPr>
      </w:pPr>
      <w:r w:rsidRPr="006F4DA1">
        <w:rPr>
          <w:rFonts w:ascii="Times New Roman" w:hAnsi="Times New Roman"/>
          <w:bCs/>
          <w:sz w:val="18"/>
          <w:szCs w:val="18"/>
        </w:rPr>
        <w:t>Diarra</w:t>
      </w:r>
      <w:r w:rsidR="00393348" w:rsidRPr="006F4DA1">
        <w:rPr>
          <w:rFonts w:ascii="Times New Roman" w:hAnsi="Times New Roman"/>
          <w:bCs/>
          <w:sz w:val="18"/>
          <w:szCs w:val="18"/>
        </w:rPr>
        <w:t xml:space="preserve"> I. </w:t>
      </w:r>
      <w:r w:rsidR="00393348" w:rsidRPr="006F4DA1">
        <w:rPr>
          <w:rFonts w:ascii="Times New Roman" w:hAnsi="Times New Roman"/>
          <w:sz w:val="18"/>
          <w:szCs w:val="18"/>
        </w:rPr>
        <w:t>Aspects épidémio- cliniques de l’éclampsie dans le service de Gynécologie Obstétrique de l’hôpital Gabriel Touré à propos de 50 cas. Thèse Med, Bamako 2005, 70.</w:t>
      </w:r>
    </w:p>
    <w:p w:rsidR="00393348" w:rsidRPr="006F4DA1" w:rsidRDefault="006F4DA1" w:rsidP="006F4DA1">
      <w:pPr>
        <w:pStyle w:val="Paragraphedeliste"/>
        <w:numPr>
          <w:ilvl w:val="0"/>
          <w:numId w:val="36"/>
        </w:numPr>
        <w:ind w:left="284" w:hanging="284"/>
        <w:jc w:val="both"/>
        <w:rPr>
          <w:rFonts w:ascii="Times New Roman" w:hAnsi="Times New Roman"/>
          <w:bCs/>
          <w:sz w:val="18"/>
          <w:szCs w:val="18"/>
        </w:rPr>
      </w:pPr>
      <w:r w:rsidRPr="006F4DA1">
        <w:rPr>
          <w:rFonts w:ascii="Times New Roman" w:hAnsi="Times New Roman"/>
          <w:bCs/>
          <w:sz w:val="18"/>
          <w:szCs w:val="18"/>
        </w:rPr>
        <w:t>Kamissoko</w:t>
      </w:r>
      <w:r w:rsidR="00393348" w:rsidRPr="006F4DA1">
        <w:rPr>
          <w:rFonts w:ascii="Times New Roman" w:hAnsi="Times New Roman"/>
          <w:bCs/>
          <w:sz w:val="18"/>
          <w:szCs w:val="18"/>
        </w:rPr>
        <w:t xml:space="preserve">.G : </w:t>
      </w:r>
      <w:r w:rsidR="00393348" w:rsidRPr="006F4DA1">
        <w:rPr>
          <w:rFonts w:ascii="Times New Roman" w:hAnsi="Times New Roman"/>
          <w:sz w:val="18"/>
          <w:szCs w:val="18"/>
        </w:rPr>
        <w:t>Eclampsie au CSRéf de Koutiala à propos de 35 cas. Thèse Méd. 2007, page 33.</w:t>
      </w:r>
    </w:p>
    <w:p w:rsidR="00393348" w:rsidRPr="006F4DA1" w:rsidRDefault="006F4DA1" w:rsidP="006F4DA1">
      <w:pPr>
        <w:pStyle w:val="Paragraphedeliste"/>
        <w:numPr>
          <w:ilvl w:val="0"/>
          <w:numId w:val="36"/>
        </w:numPr>
        <w:autoSpaceDE w:val="0"/>
        <w:autoSpaceDN w:val="0"/>
        <w:adjustRightInd w:val="0"/>
        <w:ind w:left="284" w:hanging="284"/>
        <w:jc w:val="both"/>
        <w:rPr>
          <w:rFonts w:ascii="Times New Roman" w:hAnsi="Times New Roman"/>
          <w:sz w:val="18"/>
          <w:szCs w:val="18"/>
        </w:rPr>
      </w:pPr>
      <w:r w:rsidRPr="006F4DA1">
        <w:rPr>
          <w:rFonts w:ascii="Times New Roman" w:hAnsi="Times New Roman"/>
          <w:bCs/>
          <w:sz w:val="18"/>
          <w:szCs w:val="18"/>
        </w:rPr>
        <w:t xml:space="preserve">Merger R., Levy J., Melchior </w:t>
      </w:r>
      <w:r w:rsidR="00393348" w:rsidRPr="006F4DA1">
        <w:rPr>
          <w:rFonts w:ascii="Times New Roman" w:hAnsi="Times New Roman"/>
          <w:bCs/>
          <w:sz w:val="18"/>
          <w:szCs w:val="18"/>
        </w:rPr>
        <w:t xml:space="preserve">J. </w:t>
      </w:r>
      <w:r w:rsidR="00393348" w:rsidRPr="006F4DA1">
        <w:rPr>
          <w:rFonts w:ascii="Times New Roman" w:hAnsi="Times New Roman"/>
          <w:sz w:val="18"/>
          <w:szCs w:val="18"/>
        </w:rPr>
        <w:t>Syndromes vasculo-rénaux et Pathologies rénales au cours de la grossesse. Précis d’obstétrique 6</w:t>
      </w:r>
      <w:r w:rsidR="00393348" w:rsidRPr="006F4DA1">
        <w:rPr>
          <w:rFonts w:ascii="Times New Roman" w:hAnsi="Times New Roman"/>
          <w:sz w:val="18"/>
          <w:szCs w:val="18"/>
          <w:vertAlign w:val="superscript"/>
        </w:rPr>
        <w:t>ème</w:t>
      </w:r>
      <w:r w:rsidR="00393348" w:rsidRPr="006F4DA1">
        <w:rPr>
          <w:rFonts w:ascii="Times New Roman" w:hAnsi="Times New Roman"/>
          <w:sz w:val="18"/>
          <w:szCs w:val="18"/>
        </w:rPr>
        <w:t xml:space="preserve"> édition Masson, Paris 1995, P437.</w:t>
      </w:r>
    </w:p>
    <w:p w:rsidR="00393348" w:rsidRPr="006F4DA1" w:rsidRDefault="006F4DA1" w:rsidP="006F4DA1">
      <w:pPr>
        <w:pStyle w:val="Paragraphedeliste"/>
        <w:numPr>
          <w:ilvl w:val="0"/>
          <w:numId w:val="36"/>
        </w:numPr>
        <w:tabs>
          <w:tab w:val="left" w:pos="4880"/>
        </w:tabs>
        <w:ind w:left="284" w:hanging="284"/>
        <w:jc w:val="both"/>
        <w:rPr>
          <w:rFonts w:ascii="Times New Roman" w:hAnsi="Times New Roman"/>
          <w:sz w:val="18"/>
          <w:szCs w:val="18"/>
        </w:rPr>
      </w:pPr>
      <w:r w:rsidRPr="006F4DA1">
        <w:rPr>
          <w:rFonts w:ascii="Times New Roman" w:hAnsi="Times New Roman"/>
          <w:bCs/>
          <w:sz w:val="18"/>
          <w:szCs w:val="18"/>
        </w:rPr>
        <w:t>Konate</w:t>
      </w:r>
      <w:r w:rsidR="00393348" w:rsidRPr="006F4DA1">
        <w:rPr>
          <w:rFonts w:ascii="Times New Roman" w:hAnsi="Times New Roman"/>
          <w:bCs/>
          <w:sz w:val="18"/>
          <w:szCs w:val="18"/>
        </w:rPr>
        <w:t xml:space="preserve"> S : </w:t>
      </w:r>
      <w:r w:rsidR="00393348" w:rsidRPr="006F4DA1">
        <w:rPr>
          <w:rFonts w:ascii="Times New Roman" w:hAnsi="Times New Roman"/>
          <w:sz w:val="18"/>
          <w:szCs w:val="18"/>
        </w:rPr>
        <w:t>Etude de l’éclampsie dans le service de gynéco-obstétrique du CHU du Point G. Thèse Méd. 2008. Pages 50.</w:t>
      </w:r>
    </w:p>
    <w:p w:rsidR="00393348" w:rsidRPr="006F4DA1" w:rsidRDefault="006F4DA1" w:rsidP="006F4DA1">
      <w:pPr>
        <w:pStyle w:val="Paragraphedeliste"/>
        <w:numPr>
          <w:ilvl w:val="0"/>
          <w:numId w:val="36"/>
        </w:numPr>
        <w:ind w:left="284" w:hanging="284"/>
        <w:jc w:val="both"/>
        <w:rPr>
          <w:rFonts w:ascii="Times New Roman" w:hAnsi="Times New Roman"/>
          <w:sz w:val="18"/>
          <w:szCs w:val="18"/>
        </w:rPr>
      </w:pPr>
      <w:r w:rsidRPr="006F4DA1">
        <w:rPr>
          <w:rFonts w:ascii="Times New Roman" w:hAnsi="Times New Roman"/>
          <w:sz w:val="18"/>
          <w:szCs w:val="18"/>
        </w:rPr>
        <w:t>Salifou Hamda Videhoun </w:t>
      </w:r>
      <w:r w:rsidR="00393348" w:rsidRPr="006F4DA1">
        <w:rPr>
          <w:rFonts w:ascii="Times New Roman" w:hAnsi="Times New Roman"/>
          <w:sz w:val="18"/>
          <w:szCs w:val="18"/>
        </w:rPr>
        <w:t>: Etude de l’éclampsie dans le service d’Anesthésie Réanimation Polyvalente au CHU du Point G : Thèse Méd. 2007 Bamako, pages  35, 82.</w:t>
      </w:r>
    </w:p>
    <w:p w:rsidR="00393348" w:rsidRPr="006F4DA1" w:rsidRDefault="006F4DA1" w:rsidP="006F4DA1">
      <w:pPr>
        <w:pStyle w:val="Paragraphedeliste"/>
        <w:numPr>
          <w:ilvl w:val="0"/>
          <w:numId w:val="36"/>
        </w:numPr>
        <w:tabs>
          <w:tab w:val="left" w:pos="4880"/>
        </w:tabs>
        <w:ind w:left="284" w:hanging="284"/>
        <w:jc w:val="both"/>
        <w:rPr>
          <w:rFonts w:ascii="Times New Roman" w:hAnsi="Times New Roman"/>
          <w:sz w:val="18"/>
          <w:szCs w:val="18"/>
        </w:rPr>
      </w:pPr>
      <w:r w:rsidRPr="006F4DA1">
        <w:rPr>
          <w:rFonts w:ascii="Times New Roman" w:hAnsi="Times New Roman"/>
          <w:bCs/>
          <w:sz w:val="18"/>
          <w:szCs w:val="18"/>
        </w:rPr>
        <w:t>Fofana</w:t>
      </w:r>
      <w:r w:rsidR="00393348" w:rsidRPr="006F4DA1">
        <w:rPr>
          <w:rFonts w:ascii="Times New Roman" w:hAnsi="Times New Roman"/>
          <w:bCs/>
          <w:sz w:val="18"/>
          <w:szCs w:val="18"/>
        </w:rPr>
        <w:t xml:space="preserve"> B : Etude épidémio-clinique et thérapeutique de l’éclampsie à l’hopital Fousseyni DAOU de Kayes</w:t>
      </w:r>
      <w:r w:rsidR="00393348" w:rsidRPr="006F4DA1">
        <w:rPr>
          <w:rFonts w:ascii="Times New Roman" w:hAnsi="Times New Roman"/>
          <w:sz w:val="18"/>
          <w:szCs w:val="18"/>
        </w:rPr>
        <w:t xml:space="preserve"> Thèse Mèd 2008. Page 45 </w:t>
      </w:r>
    </w:p>
    <w:p w:rsidR="00393348" w:rsidRPr="006F4DA1" w:rsidRDefault="00393348" w:rsidP="006F4DA1">
      <w:pPr>
        <w:pStyle w:val="Paragraphedeliste"/>
        <w:numPr>
          <w:ilvl w:val="0"/>
          <w:numId w:val="36"/>
        </w:numPr>
        <w:tabs>
          <w:tab w:val="left" w:pos="4880"/>
        </w:tabs>
        <w:ind w:left="284" w:hanging="284"/>
        <w:jc w:val="both"/>
        <w:rPr>
          <w:rFonts w:ascii="Times New Roman" w:hAnsi="Times New Roman"/>
          <w:sz w:val="18"/>
          <w:szCs w:val="18"/>
        </w:rPr>
      </w:pPr>
      <w:r w:rsidRPr="006F4DA1">
        <w:rPr>
          <w:rFonts w:ascii="Times New Roman" w:hAnsi="Times New Roman"/>
          <w:bCs/>
          <w:sz w:val="18"/>
          <w:szCs w:val="18"/>
        </w:rPr>
        <w:t>D</w:t>
      </w:r>
      <w:r w:rsidR="006F4DA1" w:rsidRPr="006F4DA1">
        <w:rPr>
          <w:rFonts w:ascii="Times New Roman" w:hAnsi="Times New Roman"/>
          <w:bCs/>
          <w:sz w:val="18"/>
          <w:szCs w:val="18"/>
        </w:rPr>
        <w:t>iakite</w:t>
      </w:r>
      <w:r w:rsidRPr="006F4DA1">
        <w:rPr>
          <w:rFonts w:ascii="Times New Roman" w:hAnsi="Times New Roman"/>
          <w:bCs/>
          <w:sz w:val="18"/>
          <w:szCs w:val="18"/>
        </w:rPr>
        <w:t xml:space="preserve"> M : Pronostic materno-fœtal de l’éclampsie</w:t>
      </w:r>
      <w:r w:rsidRPr="006F4DA1">
        <w:rPr>
          <w:rFonts w:ascii="Times New Roman" w:hAnsi="Times New Roman"/>
          <w:sz w:val="18"/>
          <w:szCs w:val="18"/>
        </w:rPr>
        <w:t xml:space="preserve"> le service de gynéco-obstétrique du CHU  Gabriel TOURE. Thèse Mèd 2008. Pages 75.</w:t>
      </w:r>
    </w:p>
    <w:p w:rsidR="00393348" w:rsidRPr="006F4DA1" w:rsidRDefault="006F4DA1" w:rsidP="006F4DA1">
      <w:pPr>
        <w:pStyle w:val="Paragraphedeliste"/>
        <w:numPr>
          <w:ilvl w:val="0"/>
          <w:numId w:val="36"/>
        </w:numPr>
        <w:tabs>
          <w:tab w:val="left" w:pos="720"/>
        </w:tabs>
        <w:autoSpaceDE w:val="0"/>
        <w:autoSpaceDN w:val="0"/>
        <w:adjustRightInd w:val="0"/>
        <w:ind w:left="284" w:hanging="284"/>
        <w:jc w:val="both"/>
        <w:rPr>
          <w:rFonts w:ascii="Times New Roman" w:hAnsi="Times New Roman"/>
          <w:sz w:val="18"/>
          <w:szCs w:val="18"/>
        </w:rPr>
      </w:pPr>
      <w:r w:rsidRPr="006F4DA1">
        <w:rPr>
          <w:rFonts w:ascii="Times New Roman" w:hAnsi="Times New Roman"/>
          <w:bCs/>
          <w:sz w:val="18"/>
          <w:szCs w:val="18"/>
        </w:rPr>
        <w:t xml:space="preserve">Cisse C T., Ewagnignon E., Hojeige A., Diadhiou </w:t>
      </w:r>
      <w:r w:rsidR="00393348" w:rsidRPr="006F4DA1">
        <w:rPr>
          <w:rFonts w:ascii="Times New Roman" w:hAnsi="Times New Roman"/>
          <w:bCs/>
          <w:sz w:val="18"/>
          <w:szCs w:val="18"/>
        </w:rPr>
        <w:t xml:space="preserve">F. </w:t>
      </w:r>
      <w:r w:rsidR="00393348" w:rsidRPr="006F4DA1">
        <w:rPr>
          <w:rFonts w:ascii="Times New Roman" w:hAnsi="Times New Roman"/>
          <w:sz w:val="18"/>
          <w:szCs w:val="18"/>
        </w:rPr>
        <w:t>Eclampsie en milieu africain : épidémiologie et pronostic au CHU de Dakar. Sem Hop. Paris, 1997, 73, 33-34 : 1062-1067.</w:t>
      </w:r>
    </w:p>
    <w:p w:rsidR="00393348" w:rsidRPr="006F4DA1" w:rsidRDefault="006F4DA1" w:rsidP="006F4DA1">
      <w:pPr>
        <w:pStyle w:val="Paragraphedeliste"/>
        <w:numPr>
          <w:ilvl w:val="0"/>
          <w:numId w:val="36"/>
        </w:numPr>
        <w:autoSpaceDE w:val="0"/>
        <w:autoSpaceDN w:val="0"/>
        <w:adjustRightInd w:val="0"/>
        <w:ind w:left="284" w:hanging="284"/>
        <w:jc w:val="both"/>
        <w:rPr>
          <w:rFonts w:ascii="Times New Roman" w:hAnsi="Times New Roman"/>
          <w:sz w:val="18"/>
          <w:szCs w:val="18"/>
        </w:rPr>
      </w:pPr>
      <w:r w:rsidRPr="006F4DA1">
        <w:rPr>
          <w:rFonts w:ascii="Times New Roman" w:hAnsi="Times New Roman"/>
          <w:bCs/>
          <w:sz w:val="18"/>
          <w:szCs w:val="18"/>
        </w:rPr>
        <w:t xml:space="preserve">Miguil M., Salami S., Mouhaoui M., El Youssoufi </w:t>
      </w:r>
      <w:r w:rsidR="00393348" w:rsidRPr="006F4DA1">
        <w:rPr>
          <w:rFonts w:ascii="Times New Roman" w:hAnsi="Times New Roman"/>
          <w:bCs/>
          <w:sz w:val="18"/>
          <w:szCs w:val="18"/>
        </w:rPr>
        <w:t xml:space="preserve">S. </w:t>
      </w:r>
      <w:r w:rsidR="00393348" w:rsidRPr="006F4DA1">
        <w:rPr>
          <w:rFonts w:ascii="Times New Roman" w:hAnsi="Times New Roman"/>
          <w:sz w:val="18"/>
          <w:szCs w:val="18"/>
        </w:rPr>
        <w:t>Aspects épidémiologiques et pronostiques de l’éclampsie au service d’anesthésie réanimation de la maternité du CHU Ibn Rochd de Casablanca. Cah Anesthésiol, Paris, 2003, 177-180.</w:t>
      </w:r>
    </w:p>
    <w:p w:rsidR="00393348" w:rsidRPr="006F4DA1" w:rsidRDefault="006F4DA1" w:rsidP="006F4DA1">
      <w:pPr>
        <w:pStyle w:val="Paragraphedeliste"/>
        <w:numPr>
          <w:ilvl w:val="0"/>
          <w:numId w:val="36"/>
        </w:numPr>
        <w:autoSpaceDE w:val="0"/>
        <w:autoSpaceDN w:val="0"/>
        <w:adjustRightInd w:val="0"/>
        <w:ind w:left="284" w:hanging="284"/>
        <w:jc w:val="both"/>
        <w:rPr>
          <w:rFonts w:ascii="Times New Roman" w:hAnsi="Times New Roman"/>
          <w:sz w:val="18"/>
          <w:szCs w:val="18"/>
        </w:rPr>
      </w:pPr>
      <w:r w:rsidRPr="006F4DA1">
        <w:rPr>
          <w:rFonts w:ascii="Times New Roman" w:hAnsi="Times New Roman"/>
          <w:bCs/>
          <w:sz w:val="18"/>
          <w:szCs w:val="18"/>
        </w:rPr>
        <w:t xml:space="preserve">Ferchiou M., Sghaier S., Zhioua F., Hafsia S., Akremi A., Chennoufi B., Mariah </w:t>
      </w:r>
      <w:r w:rsidR="00393348" w:rsidRPr="006F4DA1">
        <w:rPr>
          <w:rFonts w:ascii="Times New Roman" w:hAnsi="Times New Roman"/>
          <w:bCs/>
          <w:sz w:val="18"/>
          <w:szCs w:val="18"/>
        </w:rPr>
        <w:t xml:space="preserve">S. </w:t>
      </w:r>
      <w:r w:rsidR="00393348" w:rsidRPr="006F4DA1">
        <w:rPr>
          <w:rFonts w:ascii="Times New Roman" w:hAnsi="Times New Roman"/>
          <w:sz w:val="18"/>
          <w:szCs w:val="18"/>
        </w:rPr>
        <w:t>L’éclampsie: une urgence obstétricale toujours d’actualité. Maghreb Med 1995; 293.</w:t>
      </w:r>
    </w:p>
    <w:p w:rsidR="00393348" w:rsidRPr="006F4DA1" w:rsidRDefault="006F4DA1" w:rsidP="006F4DA1">
      <w:pPr>
        <w:pStyle w:val="Paragraphedeliste"/>
        <w:numPr>
          <w:ilvl w:val="0"/>
          <w:numId w:val="36"/>
        </w:numPr>
        <w:autoSpaceDE w:val="0"/>
        <w:autoSpaceDN w:val="0"/>
        <w:adjustRightInd w:val="0"/>
        <w:ind w:left="284" w:hanging="284"/>
        <w:jc w:val="both"/>
        <w:rPr>
          <w:rFonts w:ascii="Times New Roman" w:hAnsi="Times New Roman"/>
          <w:sz w:val="18"/>
          <w:szCs w:val="18"/>
        </w:rPr>
      </w:pPr>
      <w:r w:rsidRPr="006F4DA1">
        <w:rPr>
          <w:rFonts w:ascii="Times New Roman" w:hAnsi="Times New Roman"/>
          <w:bCs/>
          <w:sz w:val="18"/>
          <w:szCs w:val="18"/>
        </w:rPr>
        <w:t xml:space="preserve">Dumont A., De Bernis L., Bouvier Coll M H., Breart </w:t>
      </w:r>
      <w:r w:rsidR="00393348" w:rsidRPr="006F4DA1">
        <w:rPr>
          <w:rFonts w:ascii="Times New Roman" w:hAnsi="Times New Roman"/>
          <w:bCs/>
          <w:sz w:val="18"/>
          <w:szCs w:val="18"/>
        </w:rPr>
        <w:t xml:space="preserve">G et le groupe MOMA. </w:t>
      </w:r>
      <w:r w:rsidR="00393348" w:rsidRPr="006F4DA1">
        <w:rPr>
          <w:rFonts w:ascii="Times New Roman" w:hAnsi="Times New Roman"/>
          <w:sz w:val="18"/>
          <w:szCs w:val="18"/>
        </w:rPr>
        <w:t xml:space="preserve">Estimation du taux attendu de césarienne pour indications maternelles dans une population de femmes enceintes d’Afrique de l’Ouest (enquête MOMA) Gynecol Obstét Biol Reprod 2001; 31: 107-112. </w:t>
      </w:r>
    </w:p>
    <w:p w:rsidR="00393348" w:rsidRPr="00C94EE0" w:rsidRDefault="006F4DA1" w:rsidP="006F4DA1">
      <w:pPr>
        <w:pStyle w:val="Paragraphedeliste"/>
        <w:numPr>
          <w:ilvl w:val="0"/>
          <w:numId w:val="36"/>
        </w:numPr>
        <w:ind w:left="284" w:hanging="284"/>
        <w:jc w:val="both"/>
        <w:rPr>
          <w:rFonts w:ascii="Times New Roman" w:hAnsi="Times New Roman"/>
          <w:sz w:val="18"/>
          <w:szCs w:val="18"/>
        </w:rPr>
      </w:pPr>
      <w:r w:rsidRPr="00C94EE0">
        <w:rPr>
          <w:rFonts w:ascii="Times New Roman" w:hAnsi="Times New Roman"/>
          <w:sz w:val="18"/>
          <w:szCs w:val="18"/>
        </w:rPr>
        <w:t>Traore.B, Thera.T.A, Beye.Sa, Mounkoro.N, Teguete.I,</w:t>
      </w:r>
      <w:r w:rsidR="00C94EE0">
        <w:rPr>
          <w:rFonts w:ascii="Times New Roman" w:hAnsi="Times New Roman"/>
          <w:sz w:val="18"/>
          <w:szCs w:val="18"/>
        </w:rPr>
        <w:t xml:space="preserve"> </w:t>
      </w:r>
      <w:r w:rsidRPr="00C94EE0">
        <w:rPr>
          <w:rFonts w:ascii="Times New Roman" w:hAnsi="Times New Roman"/>
          <w:sz w:val="18"/>
          <w:szCs w:val="18"/>
        </w:rPr>
        <w:t xml:space="preserve">Dolo.A. </w:t>
      </w:r>
      <w:r w:rsidR="00393348" w:rsidRPr="00C94EE0">
        <w:rPr>
          <w:rFonts w:ascii="Times New Roman" w:hAnsi="Times New Roman"/>
          <w:sz w:val="18"/>
          <w:szCs w:val="18"/>
        </w:rPr>
        <w:t>Mortalité maternelle au service de gynécologie-obstétrique du centre hospitalier régional de Ségou au Mali. Etude rétrospective sur 138 cas. Mali médical.2010(XXV) :42-45</w:t>
      </w:r>
    </w:p>
    <w:p w:rsidR="00393348" w:rsidRPr="006F4DA1" w:rsidRDefault="00393348" w:rsidP="006F4DA1">
      <w:pPr>
        <w:pStyle w:val="Paragraphedeliste"/>
        <w:numPr>
          <w:ilvl w:val="0"/>
          <w:numId w:val="36"/>
        </w:numPr>
        <w:autoSpaceDE w:val="0"/>
        <w:autoSpaceDN w:val="0"/>
        <w:adjustRightInd w:val="0"/>
        <w:ind w:left="284" w:hanging="284"/>
        <w:jc w:val="both"/>
        <w:rPr>
          <w:rFonts w:ascii="Times New Roman" w:hAnsi="Times New Roman"/>
          <w:sz w:val="18"/>
          <w:szCs w:val="18"/>
        </w:rPr>
      </w:pPr>
      <w:r w:rsidRPr="006F4DA1">
        <w:rPr>
          <w:rFonts w:ascii="Times New Roman" w:hAnsi="Times New Roman"/>
          <w:bCs/>
          <w:sz w:val="18"/>
          <w:szCs w:val="18"/>
        </w:rPr>
        <w:t xml:space="preserve">18- </w:t>
      </w:r>
      <w:r w:rsidR="006F4DA1" w:rsidRPr="006F4DA1">
        <w:rPr>
          <w:rFonts w:ascii="Times New Roman" w:hAnsi="Times New Roman"/>
          <w:bCs/>
          <w:sz w:val="18"/>
          <w:szCs w:val="18"/>
        </w:rPr>
        <w:t>Pottecher</w:t>
      </w:r>
      <w:r w:rsidRPr="006F4DA1">
        <w:rPr>
          <w:rFonts w:ascii="Times New Roman" w:hAnsi="Times New Roman"/>
          <w:bCs/>
          <w:sz w:val="18"/>
          <w:szCs w:val="18"/>
        </w:rPr>
        <w:t xml:space="preserve"> TH et Al. </w:t>
      </w:r>
      <w:r w:rsidRPr="006F4DA1">
        <w:rPr>
          <w:rFonts w:ascii="Times New Roman" w:hAnsi="Times New Roman"/>
          <w:sz w:val="18"/>
          <w:szCs w:val="18"/>
        </w:rPr>
        <w:t>Réanimation des formes graves de pré éclampsie, texte court, société française d’anesthésie réanimation (SFAR) Paris 2000, 11.</w:t>
      </w:r>
    </w:p>
    <w:p w:rsidR="00393348" w:rsidRPr="006F4DA1" w:rsidRDefault="006F4DA1" w:rsidP="006F4DA1">
      <w:pPr>
        <w:pStyle w:val="Paragraphedeliste"/>
        <w:numPr>
          <w:ilvl w:val="0"/>
          <w:numId w:val="36"/>
        </w:numPr>
        <w:autoSpaceDE w:val="0"/>
        <w:autoSpaceDN w:val="0"/>
        <w:adjustRightInd w:val="0"/>
        <w:ind w:left="284" w:hanging="284"/>
        <w:jc w:val="both"/>
        <w:rPr>
          <w:rFonts w:ascii="Times New Roman" w:hAnsi="Times New Roman"/>
          <w:sz w:val="18"/>
          <w:szCs w:val="18"/>
        </w:rPr>
      </w:pPr>
      <w:r w:rsidRPr="006F4DA1">
        <w:rPr>
          <w:rFonts w:ascii="Times New Roman" w:hAnsi="Times New Roman"/>
          <w:bCs/>
          <w:sz w:val="18"/>
          <w:szCs w:val="18"/>
          <w:lang w:val="en-US"/>
        </w:rPr>
        <w:t>Baeta S., Akpadza K., Kator Kt., Hodonou Aks</w:t>
      </w:r>
      <w:r w:rsidR="00393348" w:rsidRPr="006F4DA1">
        <w:rPr>
          <w:rFonts w:ascii="Times New Roman" w:hAnsi="Times New Roman"/>
          <w:bCs/>
          <w:sz w:val="18"/>
          <w:szCs w:val="18"/>
          <w:lang w:val="en-US"/>
        </w:rPr>
        <w:t xml:space="preserve">. </w:t>
      </w:r>
      <w:r w:rsidR="00393348" w:rsidRPr="006F4DA1">
        <w:rPr>
          <w:rFonts w:ascii="Times New Roman" w:hAnsi="Times New Roman"/>
          <w:sz w:val="18"/>
          <w:szCs w:val="18"/>
        </w:rPr>
        <w:t>Eclampsie à la clinique de Gynéco – Obstétrique CHU TOKOIN – Lomé (TOGO).Revue de Médecine Noire d’Afrique parution 1997.</w:t>
      </w:r>
    </w:p>
    <w:p w:rsidR="00393348" w:rsidRPr="006F4DA1" w:rsidRDefault="00393348" w:rsidP="006F4DA1">
      <w:pPr>
        <w:pStyle w:val="Paragraphedeliste"/>
        <w:numPr>
          <w:ilvl w:val="0"/>
          <w:numId w:val="36"/>
        </w:numPr>
        <w:autoSpaceDE w:val="0"/>
        <w:autoSpaceDN w:val="0"/>
        <w:adjustRightInd w:val="0"/>
        <w:ind w:left="284" w:hanging="284"/>
        <w:jc w:val="both"/>
        <w:rPr>
          <w:rFonts w:ascii="Times New Roman" w:hAnsi="Times New Roman"/>
          <w:sz w:val="18"/>
          <w:szCs w:val="18"/>
        </w:rPr>
      </w:pPr>
      <w:r w:rsidRPr="006F4DA1">
        <w:rPr>
          <w:rFonts w:ascii="Times New Roman" w:hAnsi="Times New Roman"/>
          <w:bCs/>
          <w:sz w:val="18"/>
          <w:szCs w:val="18"/>
        </w:rPr>
        <w:t xml:space="preserve">GARBA T S. </w:t>
      </w:r>
      <w:r w:rsidRPr="006F4DA1">
        <w:rPr>
          <w:rFonts w:ascii="Times New Roman" w:hAnsi="Times New Roman"/>
          <w:sz w:val="18"/>
          <w:szCs w:val="18"/>
        </w:rPr>
        <w:t xml:space="preserve">Aspects obstétricaux de la prématurité à l’hôpital national du Point </w:t>
      </w:r>
      <w:r w:rsidR="00C94EE0">
        <w:rPr>
          <w:rFonts w:ascii="Times New Roman" w:hAnsi="Times New Roman"/>
          <w:sz w:val="18"/>
          <w:szCs w:val="18"/>
        </w:rPr>
        <w:t>G. Thèse Méd. Bamako 1995; 29.</w:t>
      </w:r>
    </w:p>
    <w:p w:rsidR="00393348" w:rsidRPr="006F4DA1" w:rsidRDefault="006F4DA1" w:rsidP="006F4DA1">
      <w:pPr>
        <w:pStyle w:val="Paragraphedeliste"/>
        <w:numPr>
          <w:ilvl w:val="0"/>
          <w:numId w:val="36"/>
        </w:numPr>
        <w:autoSpaceDE w:val="0"/>
        <w:autoSpaceDN w:val="0"/>
        <w:adjustRightInd w:val="0"/>
        <w:ind w:left="284" w:hanging="284"/>
        <w:jc w:val="both"/>
        <w:rPr>
          <w:rFonts w:ascii="Times New Roman" w:hAnsi="Times New Roman"/>
          <w:sz w:val="18"/>
          <w:szCs w:val="18"/>
        </w:rPr>
      </w:pPr>
      <w:r w:rsidRPr="006F4DA1">
        <w:rPr>
          <w:rFonts w:ascii="Times New Roman" w:hAnsi="Times New Roman"/>
          <w:bCs/>
          <w:sz w:val="18"/>
          <w:szCs w:val="18"/>
        </w:rPr>
        <w:t>N’diaye</w:t>
      </w:r>
      <w:r w:rsidR="00393348" w:rsidRPr="006F4DA1">
        <w:rPr>
          <w:rFonts w:ascii="Times New Roman" w:hAnsi="Times New Roman"/>
          <w:bCs/>
          <w:sz w:val="18"/>
          <w:szCs w:val="18"/>
        </w:rPr>
        <w:t xml:space="preserve"> F épouse </w:t>
      </w:r>
      <w:r w:rsidRPr="006F4DA1">
        <w:rPr>
          <w:rFonts w:ascii="Times New Roman" w:hAnsi="Times New Roman"/>
          <w:bCs/>
          <w:sz w:val="18"/>
          <w:szCs w:val="18"/>
        </w:rPr>
        <w:t>N’diaye</w:t>
      </w:r>
      <w:r w:rsidR="00393348" w:rsidRPr="006F4DA1">
        <w:rPr>
          <w:rFonts w:ascii="Times New Roman" w:hAnsi="Times New Roman"/>
          <w:bCs/>
          <w:sz w:val="18"/>
          <w:szCs w:val="18"/>
        </w:rPr>
        <w:t xml:space="preserve">. </w:t>
      </w:r>
      <w:r w:rsidR="00393348" w:rsidRPr="006F4DA1">
        <w:rPr>
          <w:rFonts w:ascii="Times New Roman" w:hAnsi="Times New Roman"/>
          <w:sz w:val="18"/>
          <w:szCs w:val="18"/>
        </w:rPr>
        <w:t>De la prématurité en milieu obstétrical bamakois, facteurs étiologiques, conséquences, prévention à l’hôpital national du Point G. Thèse Med, Bamako, 1979 ; 22.</w:t>
      </w:r>
    </w:p>
    <w:p w:rsidR="00393348" w:rsidRPr="006F4DA1" w:rsidRDefault="006F4DA1" w:rsidP="006F4DA1">
      <w:pPr>
        <w:pStyle w:val="Paragraphedeliste"/>
        <w:numPr>
          <w:ilvl w:val="0"/>
          <w:numId w:val="36"/>
        </w:numPr>
        <w:autoSpaceDE w:val="0"/>
        <w:autoSpaceDN w:val="0"/>
        <w:adjustRightInd w:val="0"/>
        <w:ind w:left="284" w:hanging="284"/>
        <w:jc w:val="both"/>
        <w:rPr>
          <w:rFonts w:ascii="Times New Roman" w:hAnsi="Times New Roman"/>
          <w:sz w:val="18"/>
          <w:szCs w:val="18"/>
        </w:rPr>
      </w:pPr>
      <w:r w:rsidRPr="006F4DA1">
        <w:rPr>
          <w:rFonts w:ascii="Times New Roman" w:hAnsi="Times New Roman"/>
          <w:bCs/>
          <w:sz w:val="18"/>
          <w:szCs w:val="18"/>
        </w:rPr>
        <w:t>Sanogo A</w:t>
      </w:r>
      <w:r w:rsidR="00393348" w:rsidRPr="006F4DA1">
        <w:rPr>
          <w:rFonts w:ascii="Times New Roman" w:hAnsi="Times New Roman"/>
          <w:bCs/>
          <w:sz w:val="18"/>
          <w:szCs w:val="18"/>
        </w:rPr>
        <w:t xml:space="preserve">. </w:t>
      </w:r>
      <w:r w:rsidR="00393348" w:rsidRPr="006F4DA1">
        <w:rPr>
          <w:rFonts w:ascii="Times New Roman" w:hAnsi="Times New Roman"/>
          <w:sz w:val="18"/>
          <w:szCs w:val="18"/>
        </w:rPr>
        <w:t>Hypertension artérielle et grossesse. Thèse Med, Bamako 2001, 86, P44.</w:t>
      </w:r>
    </w:p>
    <w:p w:rsidR="00BE579C" w:rsidRPr="006F4DA1" w:rsidRDefault="006F4DA1" w:rsidP="006F4DA1">
      <w:pPr>
        <w:pStyle w:val="Paragraphedeliste"/>
        <w:numPr>
          <w:ilvl w:val="0"/>
          <w:numId w:val="36"/>
        </w:numPr>
        <w:ind w:left="284" w:hanging="284"/>
        <w:jc w:val="both"/>
        <w:rPr>
          <w:rFonts w:ascii="Times New Roman" w:hAnsi="Times New Roman"/>
          <w:sz w:val="18"/>
          <w:szCs w:val="18"/>
        </w:rPr>
      </w:pPr>
      <w:bookmarkStart w:id="2" w:name="_Hlk48603676"/>
      <w:r w:rsidRPr="006F4DA1">
        <w:rPr>
          <w:rFonts w:ascii="Times New Roman" w:hAnsi="Times New Roman"/>
          <w:bCs/>
          <w:sz w:val="18"/>
          <w:szCs w:val="18"/>
        </w:rPr>
        <w:t>Christian D</w:t>
      </w:r>
      <w:r w:rsidR="00BE579C" w:rsidRPr="006F4DA1">
        <w:rPr>
          <w:rFonts w:ascii="Times New Roman" w:hAnsi="Times New Roman"/>
          <w:bCs/>
          <w:sz w:val="18"/>
          <w:szCs w:val="18"/>
        </w:rPr>
        <w:t>.</w:t>
      </w:r>
      <w:r w:rsidR="00BE579C" w:rsidRPr="006F4DA1">
        <w:rPr>
          <w:rFonts w:ascii="Times New Roman" w:hAnsi="Times New Roman"/>
          <w:sz w:val="18"/>
          <w:szCs w:val="18"/>
        </w:rPr>
        <w:t xml:space="preserve"> Prise en charge de l’éclampsie Service d’Anesthésie-Réanimation CHU de Clermont-Ferrand. J Gynecolog Obstet Biol Reprod, (2001), 30, 121-132. Aussi accessible sur le site : http://www.sfar.org/cexppreeclampsie.html</w:t>
      </w:r>
      <w:bookmarkEnd w:id="2"/>
    </w:p>
    <w:p w:rsidR="00B60DFA" w:rsidRPr="00AB47FF" w:rsidRDefault="00B60DFA" w:rsidP="00AB47FF">
      <w:pPr>
        <w:autoSpaceDE w:val="0"/>
        <w:autoSpaceDN w:val="0"/>
        <w:adjustRightInd w:val="0"/>
        <w:jc w:val="both"/>
        <w:rPr>
          <w:sz w:val="20"/>
          <w:szCs w:val="20"/>
        </w:rPr>
      </w:pPr>
    </w:p>
    <w:sectPr w:rsidR="00B60DFA" w:rsidRPr="00AB47FF" w:rsidSect="004D7D21">
      <w:type w:val="continuous"/>
      <w:pgSz w:w="11906" w:h="16838" w:code="9"/>
      <w:pgMar w:top="1134" w:right="851" w:bottom="1418" w:left="1134" w:header="708" w:footer="708" w:gutter="0"/>
      <w:cols w:num="2"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2601C" w:rsidRDefault="0092601C" w:rsidP="00E6656E">
      <w:r>
        <w:separator/>
      </w:r>
    </w:p>
  </w:endnote>
  <w:endnote w:type="continuationSeparator" w:id="0">
    <w:p w:rsidR="0092601C" w:rsidRDefault="0092601C" w:rsidP="00E6656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DejaVu Sans">
    <w:panose1 w:val="020B0603030804020204"/>
    <w:charset w:val="00"/>
    <w:family w:val="swiss"/>
    <w:pitch w:val="variable"/>
    <w:sig w:usb0="E7002EFF" w:usb1="D200FDFF" w:usb2="0A246029" w:usb3="00000000" w:csb0="000001FF" w:csb1="00000000"/>
  </w:font>
  <w:font w:name="F">
    <w:charset w:val="00"/>
    <w:family w:val="auto"/>
    <w:pitch w:val="variable"/>
    <w:sig w:usb0="00000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BookmanOldStyle">
    <w:altName w:val="Yu Gothic"/>
    <w:panose1 w:val="00000000000000000000"/>
    <w:charset w:val="80"/>
    <w:family w:val="auto"/>
    <w:notTrueType/>
    <w:pitch w:val="default"/>
    <w:sig w:usb0="00000001" w:usb1="08070000" w:usb2="00000010" w:usb3="00000000" w:csb0="00020000" w:csb1="00000000"/>
  </w:font>
  <w:font w:name="MS PGothic">
    <w:panose1 w:val="020B0600070205080204"/>
    <w:charset w:val="80"/>
    <w:family w:val="swiss"/>
    <w:pitch w:val="variable"/>
    <w:sig w:usb0="E00002FF" w:usb1="6AC7FDFB" w:usb2="08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601C" w:rsidRPr="009E549D" w:rsidRDefault="0092601C" w:rsidP="00425D65">
    <w:pPr>
      <w:pStyle w:val="Pieddepage"/>
      <w:tabs>
        <w:tab w:val="left" w:pos="4140"/>
      </w:tabs>
      <w:rPr>
        <w:sz w:val="18"/>
        <w:lang w:val="en-US"/>
      </w:rPr>
    </w:pPr>
    <w:r w:rsidRPr="009E549D">
      <w:rPr>
        <w:sz w:val="18"/>
        <w:lang w:val="en-US"/>
      </w:rPr>
      <w:t>Health Sci. Dis: Vol 2</w:t>
    </w:r>
    <w:r>
      <w:rPr>
        <w:sz w:val="18"/>
        <w:lang w:val="en-US"/>
      </w:rPr>
      <w:t>1</w:t>
    </w:r>
    <w:r w:rsidRPr="009E549D">
      <w:rPr>
        <w:sz w:val="18"/>
        <w:lang w:val="en-US"/>
      </w:rPr>
      <w:t xml:space="preserve"> (</w:t>
    </w:r>
    <w:r>
      <w:rPr>
        <w:sz w:val="18"/>
        <w:lang w:val="en-US"/>
      </w:rPr>
      <w:t>11</w:t>
    </w:r>
    <w:r w:rsidRPr="009E549D">
      <w:rPr>
        <w:sz w:val="18"/>
        <w:lang w:val="en-US"/>
      </w:rPr>
      <w:t xml:space="preserve">) </w:t>
    </w:r>
    <w:r>
      <w:rPr>
        <w:sz w:val="18"/>
        <w:lang w:val="en-US"/>
      </w:rPr>
      <w:t>November</w:t>
    </w:r>
    <w:r w:rsidRPr="009E549D">
      <w:rPr>
        <w:sz w:val="18"/>
        <w:lang w:val="en-US"/>
      </w:rPr>
      <w:t xml:space="preserve"> 2020</w:t>
    </w:r>
  </w:p>
  <w:p w:rsidR="0092601C" w:rsidRPr="00244BDF" w:rsidRDefault="0092601C" w:rsidP="00425D65">
    <w:pPr>
      <w:pStyle w:val="Pieddepage"/>
      <w:tabs>
        <w:tab w:val="left" w:pos="3008"/>
      </w:tabs>
      <w:rPr>
        <w:sz w:val="18"/>
        <w:lang w:val="en-US"/>
      </w:rPr>
    </w:pPr>
    <w:r w:rsidRPr="00553241">
      <w:rPr>
        <w:noProof/>
        <w:sz w:val="18"/>
        <w:lang w:val="en-US" w:eastAsia="en-US"/>
      </w:rPr>
      <w:pict>
        <v:group id="Groupe 87" o:spid="_x0000_s6145" style="position:absolute;margin-left:516.6pt;margin-top:790.5pt;width:33pt;height:25.35pt;z-index:-251656192;mso-position-horizontal-relative:page;mso-position-vertical-relative:page" coordorigin="1731,14550" coordsize="660,507" wrapcoords="9327 0 2945 1906 0 5082 0 16518 3436 20329 9327 20965 11782 20965 17673 20329 21109 15882 21109 5718 17182 1271 11782 0 9327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" o:allowincell="f">
          <v:shapetype id="_x0000_t4" coordsize="21600,21600" o:spt="4" path="m10800,l,10800,10800,21600,21600,10800xe">
            <v:stroke joinstyle="miter"/>
            <v:path gradientshapeok="t" o:connecttype="rect" textboxrect="5400,5400,16200,16200"/>
          </v:shapetype>
          <v:shape id="AutoShape 88" o:spid="_x0000_s6146" type="#_x0000_t4" style="position:absolute;left:1793;top:14550;width:536;height:50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7d3osYA&#10;AADcAAAADwAAAGRycy9kb3ducmV2LnhtbESPQUvDQBSE74X+h+UVerObWls1dltEKBSrh6aC10f2&#10;mQSzb2P2NYn/3i0IPQ4z8w2z3g6uVh21ofJsYD5LQBHn3lZcGPg47W4eQAVBtlh7JgO/FGC7GY/W&#10;mFrf85G6TAoVIRxSNFCKNKnWIS/JYZj5hjh6X751KFG2hbYt9hHuan2bJCvtsOK4UGJDLyXl39nZ&#10;GXg7LHg5XzTday+ZfBaVvfs5vRsznQzPT6CEBrmG/9t7a2D5eA+XM/EI6M0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17d3osYAAADcAAAADwAAAAAAAAAAAAAAAACYAgAAZHJz&#10;L2Rvd25yZXYueG1sUEsFBgAAAAAEAAQA9QAAAIsDAAAAAA==&#10;" filled="f" strokecolor="#a5a5a5"/>
          <v:rect id="Rectangle 89" o:spid="_x0000_s6147" style="position:absolute;left:1848;top:14616;width:427;height:37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vGXB8IA&#10;AADcAAAADwAAAGRycy9kb3ducmV2LnhtbERPz2vCMBS+C/4P4Qm7aepgQ6tRRBB2mc7qQW+P5tmU&#10;Ni+lyWz1r18OA48f3+/lure1uFPrS8cKppMEBHHudMmFgvNpN56B8AFZY+2YFDzIw3o1HCwx1a7j&#10;I92zUIgYwj5FBSaEJpXS54Ys+olriCN3c63FEGFbSN1iF8NtLd+T5FNaLDk2GGxoayivsl+r4Ody&#10;6LJr5TWW56o+PPfm+znrlXob9ZsFiEB9eIn/3V9awcc8ro1n4hGQq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68ZcHwgAAANwAAAAPAAAAAAAAAAAAAAAAAJgCAABkcnMvZG93&#10;bnJldi54bWxQSwUGAAAAAAQABAD1AAAAhwMAAAAA&#10;" filled="f" strokecolor="#a5a5a5"/>
          <v:shapetype id="_x0000_t202" coordsize="21600,21600" o:spt="202" path="m,l,21600r21600,l21600,xe">
            <v:stroke joinstyle="miter"/>
            <v:path gradientshapeok="t" o:connecttype="rect"/>
          </v:shapetype>
          <v:shape id="Text Box 90" o:spid="_x0000_s6148" type="#_x0000_t202" style="position:absolute;left:1731;top:14639;width:660;height:33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hqvIMUA&#10;AADcAAAADwAAAGRycy9kb3ducmV2LnhtbESPwWrDMBBE74X+g9hCLiWRE6ip3cghBEpzKtTNIcet&#10;tbGFrZWxFMf++6hQ6HGYmTfMdjfZTow0eONYwXqVgCCunDZcKzh9vy9fQfiArLFzTApm8rArHh+2&#10;mGt34y8ay1CLCGGfo4ImhD6X0lcNWfQr1xNH7+IGiyHKoZZ6wFuE205ukiSVFg3HhQZ7OjRUteXV&#10;KnjO2p9PvJw/xjAf1iY1ST/OJ6UWT9P+DUSgKfyH/9pHreAly+D3TDwCsrg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WGq8gxQAAANwAAAAPAAAAAAAAAAAAAAAAAJgCAABkcnMv&#10;ZG93bnJldi54bWxQSwUGAAAAAAQABAD1AAAAigMAAAAA&#10;" filled="f" stroked="f">
            <v:textbox inset="0,2.16pt,0,0">
              <w:txbxContent>
                <w:p w:rsidR="0092601C" w:rsidRPr="003838C4" w:rsidRDefault="0092601C" w:rsidP="00425D65">
                  <w:pPr>
                    <w:jc w:val="center"/>
                    <w:rPr>
                      <w:color w:val="17365D"/>
                      <w:sz w:val="16"/>
                      <w:szCs w:val="16"/>
                    </w:rPr>
                  </w:pPr>
                  <w:r w:rsidRPr="00553241">
                    <w:rPr>
                      <w:sz w:val="22"/>
                      <w:szCs w:val="22"/>
                    </w:rPr>
                    <w:fldChar w:fldCharType="begin"/>
                  </w:r>
                  <w:r>
                    <w:instrText>PAGE   \* MERGEFORMAT</w:instrText>
                  </w:r>
                  <w:r w:rsidRPr="00553241">
                    <w:rPr>
                      <w:sz w:val="22"/>
                      <w:szCs w:val="22"/>
                    </w:rPr>
                    <w:fldChar w:fldCharType="separate"/>
                  </w:r>
                  <w:r w:rsidR="00246B6B" w:rsidRPr="00246B6B">
                    <w:rPr>
                      <w:noProof/>
                      <w:color w:val="17365D"/>
                      <w:sz w:val="16"/>
                      <w:szCs w:val="16"/>
                    </w:rPr>
                    <w:t>1</w:t>
                  </w:r>
                  <w:r w:rsidRPr="003838C4">
                    <w:rPr>
                      <w:color w:val="17365D"/>
                      <w:sz w:val="16"/>
                      <w:szCs w:val="16"/>
                    </w:rPr>
                    <w:fldChar w:fldCharType="end"/>
                  </w:r>
                </w:p>
              </w:txbxContent>
            </v:textbox>
          </v:shape>
          <v:group id="Group 91" o:spid="_x0000_s6149" style="position:absolute;left:1775;top:14647;width:571;height:314" coordorigin="1705,14935" coordsize="682,37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Lblc5wwAAANwAAAAP&#10;AAAAAAAAAAAAAAAAAKoCAABkcnMvZG93bnJldi54bWxQSwUGAAAAAAQABAD6AAAAmgMAAAAA&#10;">
            <v:shape id="AutoShape 92" o:spid="_x0000_s6150" style="position:absolute;left:1782;top:14858;width:375;height:530;rotation:-90;visibility:visible" coordsize="21600,216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OnlXsYA&#10;AADcAAAADwAAAGRycy9kb3ducmV2LnhtbESPQWsCMRSE70L/Q3gFb5qoILoapVYshfbSrT309tg8&#10;s4ubl3WTrtt/3xQEj8PMfMOst72rRUdtqDxrmIwVCOLCm4qthuPnYbQAESKywdozafilANvNw2CN&#10;mfFX/qAuj1YkCIcMNZQxNpmUoSjJYRj7hjh5J986jEm2VpoWrwnuajlVai4dVpwWSmzouaTinP84&#10;DZcXq76OZvme72bnpT1879+63V7r4WP/tAIRqY/38K39ajTM1QT+z6QjIDd/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OnlXsYAAADcAAAADwAAAAAAAAAAAAAAAACYAgAAZHJz&#10;L2Rvd25yZXYueG1sUEsFBgAAAAAEAAQA9QAAAIsDAAAAAA==&#10;" adj="0,,0" path="m,l5400,21600r10800,l21600,,,xe" filled="f" strokecolor="#a5a5a5">
              <v:stroke joinstyle="miter"/>
              <v:formulas/>
              <v:path o:connecttype="custom" o:connectlocs="328,265;188,530;47,265;188,0" o:connectangles="0,0,0,0" textboxrect="4493,4483,17107,17117"/>
            </v:shape>
            <v:shape id="AutoShape 93" o:spid="_x0000_s6151" style="position:absolute;left:1934;top:14858;width:375;height:530;rotation:-90;flip:x;visibility:visible" coordsize="21600,216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8G/jMMA&#10;AADcAAAADwAAAGRycy9kb3ducmV2LnhtbESPQWvCQBSE74L/YXmF3sxGoSLRVUrU4tXUi7dH9jVZ&#10;mn0bdleT9td3BaHHYWa+YTa70XbiTj4YxwrmWQ6CuHbacKPg8nmcrUCEiKyxc0wKfijAbjudbLDQ&#10;buAz3avYiAThUKCCNsa+kDLULVkMmeuJk/flvMWYpG+k9jgkuO3kIs+X0qLhtNBiT2VL9Xd1swr6&#10;+WkcSn8t3z66fbM6/1aHgzFKvb6M72sQkcb4H362T1rBMl/A40w6AnL7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8G/jMMAAADcAAAADwAAAAAAAAAAAAAAAACYAgAAZHJzL2Rv&#10;d25yZXYueG1sUEsFBgAAAAAEAAQA9QAAAIgDAAAAAA==&#10;" adj="0,,0" path="m,l5400,21600r10800,l21600,,,xe" filled="f" strokecolor="#a5a5a5">
              <v:stroke joinstyle="miter"/>
              <v:formulas/>
              <v:path o:connecttype="custom" o:connectlocs="328,265;188,530;47,265;188,0" o:connectangles="0,0,0,0" textboxrect="4493,4483,17107,17117"/>
            </v:shape>
          </v:group>
          <w10:wrap type="tight" anchorx="margin" anchory="margin"/>
        </v:group>
      </w:pict>
    </w:r>
    <w:r w:rsidRPr="009E549D">
      <w:rPr>
        <w:sz w:val="18"/>
        <w:lang w:val="en-US"/>
      </w:rPr>
      <w:t xml:space="preserve">Available free at </w:t>
    </w:r>
    <w:hyperlink r:id="rId1" w:history="1">
      <w:r w:rsidRPr="009E549D">
        <w:rPr>
          <w:rStyle w:val="Lienhypertexte"/>
          <w:sz w:val="18"/>
          <w:lang w:val="en-US"/>
        </w:rPr>
        <w:t>www.hsd-fmsb.org</w:t>
      </w:r>
    </w:hyperlink>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2601C" w:rsidRDefault="0092601C" w:rsidP="00E6656E">
      <w:r>
        <w:separator/>
      </w:r>
    </w:p>
  </w:footnote>
  <w:footnote w:type="continuationSeparator" w:id="0">
    <w:p w:rsidR="0092601C" w:rsidRDefault="0092601C" w:rsidP="00E6656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601C" w:rsidRPr="00672E9B" w:rsidRDefault="0092601C" w:rsidP="002E52D3">
    <w:pPr>
      <w:rPr>
        <w:i/>
        <w:sz w:val="20"/>
      </w:rPr>
    </w:pPr>
    <w:r w:rsidRPr="00672E9B">
      <w:rPr>
        <w:bCs/>
        <w:sz w:val="20"/>
      </w:rPr>
      <w:t>Pronostic materno-fœtal de l’éclampsie</w:t>
    </w:r>
    <w:r>
      <w:rPr>
        <w:bCs/>
        <w:sz w:val="20"/>
      </w:rPr>
      <w:t xml:space="preserve"> à</w:t>
    </w:r>
    <w:r w:rsidRPr="00672E9B">
      <w:rPr>
        <w:bCs/>
        <w:sz w:val="20"/>
      </w:rPr>
      <w:t xml:space="preserve"> </w:t>
    </w:r>
    <w:r>
      <w:rPr>
        <w:bCs/>
        <w:sz w:val="20"/>
      </w:rPr>
      <w:t>S</w:t>
    </w:r>
    <w:r w:rsidRPr="00672E9B">
      <w:rPr>
        <w:bCs/>
        <w:sz w:val="20"/>
      </w:rPr>
      <w:t xml:space="preserve">égou au </w:t>
    </w:r>
    <w:r>
      <w:rPr>
        <w:bCs/>
        <w:sz w:val="20"/>
      </w:rPr>
      <w:t>M</w:t>
    </w:r>
    <w:r w:rsidRPr="00672E9B">
      <w:rPr>
        <w:bCs/>
        <w:sz w:val="20"/>
      </w:rPr>
      <w:t>ali</w:t>
    </w:r>
    <w:r>
      <w:rPr>
        <w:bCs/>
        <w:sz w:val="20"/>
      </w:rPr>
      <w:tab/>
    </w:r>
    <w:r>
      <w:rPr>
        <w:bCs/>
        <w:sz w:val="20"/>
      </w:rPr>
      <w:tab/>
    </w:r>
    <w:r>
      <w:rPr>
        <w:bCs/>
        <w:sz w:val="20"/>
      </w:rPr>
      <w:tab/>
    </w:r>
    <w:r>
      <w:rPr>
        <w:bCs/>
        <w:sz w:val="20"/>
      </w:rPr>
      <w:tab/>
    </w:r>
    <w:r w:rsidRPr="00672E9B">
      <w:rPr>
        <w:sz w:val="20"/>
      </w:rPr>
      <w:tab/>
    </w:r>
    <w:r w:rsidRPr="00672E9B">
      <w:rPr>
        <w:sz w:val="20"/>
      </w:rPr>
      <w:tab/>
      <w:t xml:space="preserve">   </w:t>
    </w:r>
    <w:r>
      <w:rPr>
        <w:sz w:val="20"/>
      </w:rPr>
      <w:t xml:space="preserve">     </w:t>
    </w:r>
    <w:r w:rsidRPr="00672E9B">
      <w:rPr>
        <w:sz w:val="20"/>
      </w:rPr>
      <w:t xml:space="preserve"> </w:t>
    </w:r>
    <w:r>
      <w:rPr>
        <w:i/>
        <w:sz w:val="20"/>
      </w:rPr>
      <w:t>Traoré</w:t>
    </w:r>
    <w:r w:rsidRPr="00672E9B">
      <w:rPr>
        <w:i/>
        <w:sz w:val="20"/>
      </w:rPr>
      <w:t xml:space="preserve"> et al</w:t>
    </w:r>
  </w:p>
  <w:p w:rsidR="0092601C" w:rsidRPr="00672E9B" w:rsidRDefault="0092601C" w:rsidP="002E52D3">
    <w:pPr>
      <w:spacing w:after="120"/>
    </w:pPr>
    <w:r w:rsidRPr="00672E9B">
      <w:rPr>
        <w:i/>
        <w:sz w:val="20"/>
      </w:rPr>
      <w:t>___________________________________________________________________________________________________</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9B627F"/>
    <w:multiLevelType w:val="hybridMultilevel"/>
    <w:tmpl w:val="4F4C9E18"/>
    <w:lvl w:ilvl="0" w:tplc="E7E009C6">
      <w:start w:val="1"/>
      <w:numFmt w:val="decimal"/>
      <w:lvlText w:val="%1-"/>
      <w:lvlJc w:val="left"/>
      <w:pPr>
        <w:ind w:left="720" w:hanging="360"/>
      </w:pPr>
      <w:rPr>
        <w:rFonts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0710226E"/>
    <w:multiLevelType w:val="hybridMultilevel"/>
    <w:tmpl w:val="FEE2A7F6"/>
    <w:lvl w:ilvl="0" w:tplc="040C000B">
      <w:start w:val="1"/>
      <w:numFmt w:val="bullet"/>
      <w:lvlText w:val=""/>
      <w:lvlJc w:val="left"/>
      <w:pPr>
        <w:ind w:left="720" w:hanging="360"/>
      </w:pPr>
      <w:rPr>
        <w:rFonts w:ascii="Wingdings" w:hAnsi="Wingdings" w:hint="default"/>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2">
    <w:nsid w:val="07B258FF"/>
    <w:multiLevelType w:val="hybridMultilevel"/>
    <w:tmpl w:val="21868A60"/>
    <w:lvl w:ilvl="0" w:tplc="0DA61222">
      <w:start w:val="5"/>
      <w:numFmt w:val="decimal"/>
      <w:lvlText w:val="%1-"/>
      <w:lvlJc w:val="left"/>
      <w:pPr>
        <w:tabs>
          <w:tab w:val="num" w:pos="360"/>
        </w:tabs>
        <w:ind w:left="360" w:hanging="360"/>
      </w:pPr>
    </w:lvl>
    <w:lvl w:ilvl="1" w:tplc="040C0019">
      <w:start w:val="1"/>
      <w:numFmt w:val="decimal"/>
      <w:lvlText w:val="%2."/>
      <w:lvlJc w:val="left"/>
      <w:pPr>
        <w:tabs>
          <w:tab w:val="num" w:pos="1440"/>
        </w:tabs>
        <w:ind w:left="1440" w:hanging="360"/>
      </w:pPr>
    </w:lvl>
    <w:lvl w:ilvl="2" w:tplc="040C001B">
      <w:start w:val="1"/>
      <w:numFmt w:val="decimal"/>
      <w:lvlText w:val="%3."/>
      <w:lvlJc w:val="left"/>
      <w:pPr>
        <w:tabs>
          <w:tab w:val="num" w:pos="2160"/>
        </w:tabs>
        <w:ind w:left="2160" w:hanging="360"/>
      </w:pPr>
    </w:lvl>
    <w:lvl w:ilvl="3" w:tplc="040C000F">
      <w:start w:val="1"/>
      <w:numFmt w:val="decimal"/>
      <w:lvlText w:val="%4."/>
      <w:lvlJc w:val="left"/>
      <w:pPr>
        <w:tabs>
          <w:tab w:val="num" w:pos="2880"/>
        </w:tabs>
        <w:ind w:left="2880" w:hanging="360"/>
      </w:pPr>
    </w:lvl>
    <w:lvl w:ilvl="4" w:tplc="040C0019">
      <w:start w:val="1"/>
      <w:numFmt w:val="decimal"/>
      <w:lvlText w:val="%5."/>
      <w:lvlJc w:val="left"/>
      <w:pPr>
        <w:tabs>
          <w:tab w:val="num" w:pos="3600"/>
        </w:tabs>
        <w:ind w:left="3600" w:hanging="360"/>
      </w:pPr>
    </w:lvl>
    <w:lvl w:ilvl="5" w:tplc="040C001B">
      <w:start w:val="1"/>
      <w:numFmt w:val="decimal"/>
      <w:lvlText w:val="%6."/>
      <w:lvlJc w:val="left"/>
      <w:pPr>
        <w:tabs>
          <w:tab w:val="num" w:pos="4320"/>
        </w:tabs>
        <w:ind w:left="4320" w:hanging="360"/>
      </w:pPr>
    </w:lvl>
    <w:lvl w:ilvl="6" w:tplc="040C000F">
      <w:start w:val="1"/>
      <w:numFmt w:val="decimal"/>
      <w:lvlText w:val="%7."/>
      <w:lvlJc w:val="left"/>
      <w:pPr>
        <w:tabs>
          <w:tab w:val="num" w:pos="5040"/>
        </w:tabs>
        <w:ind w:left="5040" w:hanging="360"/>
      </w:pPr>
    </w:lvl>
    <w:lvl w:ilvl="7" w:tplc="040C0019">
      <w:start w:val="1"/>
      <w:numFmt w:val="decimal"/>
      <w:lvlText w:val="%8."/>
      <w:lvlJc w:val="left"/>
      <w:pPr>
        <w:tabs>
          <w:tab w:val="num" w:pos="5760"/>
        </w:tabs>
        <w:ind w:left="5760" w:hanging="360"/>
      </w:pPr>
    </w:lvl>
    <w:lvl w:ilvl="8" w:tplc="040C001B">
      <w:start w:val="1"/>
      <w:numFmt w:val="decimal"/>
      <w:lvlText w:val="%9."/>
      <w:lvlJc w:val="left"/>
      <w:pPr>
        <w:tabs>
          <w:tab w:val="num" w:pos="6480"/>
        </w:tabs>
        <w:ind w:left="6480" w:hanging="360"/>
      </w:pPr>
    </w:lvl>
  </w:abstractNum>
  <w:abstractNum w:abstractNumId="3">
    <w:nsid w:val="0B8E0A4A"/>
    <w:multiLevelType w:val="hybridMultilevel"/>
    <w:tmpl w:val="C4045D6A"/>
    <w:lvl w:ilvl="0" w:tplc="040C000B">
      <w:start w:val="1"/>
      <w:numFmt w:val="bullet"/>
      <w:lvlText w:val=""/>
      <w:lvlJc w:val="left"/>
      <w:pPr>
        <w:ind w:left="720" w:hanging="360"/>
      </w:pPr>
      <w:rPr>
        <w:rFonts w:ascii="Wingdings" w:hAnsi="Wingdings" w:hint="default"/>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4">
    <w:nsid w:val="0F7B17A4"/>
    <w:multiLevelType w:val="hybridMultilevel"/>
    <w:tmpl w:val="289E8576"/>
    <w:lvl w:ilvl="0" w:tplc="040C000B">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5">
    <w:nsid w:val="10996956"/>
    <w:multiLevelType w:val="hybridMultilevel"/>
    <w:tmpl w:val="B678B868"/>
    <w:lvl w:ilvl="0" w:tplc="040C000B">
      <w:start w:val="1"/>
      <w:numFmt w:val="bullet"/>
      <w:lvlText w:val=""/>
      <w:lvlJc w:val="left"/>
      <w:pPr>
        <w:ind w:left="720" w:hanging="360"/>
      </w:pPr>
      <w:rPr>
        <w:rFonts w:ascii="Wingdings" w:hAnsi="Wingdings" w:hint="default"/>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6">
    <w:nsid w:val="129E59D1"/>
    <w:multiLevelType w:val="hybridMultilevel"/>
    <w:tmpl w:val="D2128BD8"/>
    <w:lvl w:ilvl="0" w:tplc="040C0009">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7">
    <w:nsid w:val="12BC79CD"/>
    <w:multiLevelType w:val="hybridMultilevel"/>
    <w:tmpl w:val="18E69C1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144C62C7"/>
    <w:multiLevelType w:val="hybridMultilevel"/>
    <w:tmpl w:val="60A40370"/>
    <w:lvl w:ilvl="0" w:tplc="040C000B">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205C1CB2"/>
    <w:multiLevelType w:val="hybridMultilevel"/>
    <w:tmpl w:val="170218F2"/>
    <w:lvl w:ilvl="0" w:tplc="040C000B">
      <w:start w:val="1"/>
      <w:numFmt w:val="bullet"/>
      <w:lvlText w:val=""/>
      <w:lvlJc w:val="left"/>
      <w:pPr>
        <w:ind w:left="360" w:hanging="360"/>
      </w:pPr>
      <w:rPr>
        <w:rFonts w:ascii="Wingdings" w:hAnsi="Wingdings" w:hint="default"/>
      </w:rPr>
    </w:lvl>
    <w:lvl w:ilvl="1" w:tplc="040C0003">
      <w:start w:val="1"/>
      <w:numFmt w:val="decimal"/>
      <w:lvlText w:val="%2."/>
      <w:lvlJc w:val="left"/>
      <w:pPr>
        <w:tabs>
          <w:tab w:val="num" w:pos="1080"/>
        </w:tabs>
        <w:ind w:left="1080" w:hanging="360"/>
      </w:pPr>
    </w:lvl>
    <w:lvl w:ilvl="2" w:tplc="040C0005">
      <w:start w:val="1"/>
      <w:numFmt w:val="decimal"/>
      <w:lvlText w:val="%3."/>
      <w:lvlJc w:val="left"/>
      <w:pPr>
        <w:tabs>
          <w:tab w:val="num" w:pos="1800"/>
        </w:tabs>
        <w:ind w:left="1800" w:hanging="360"/>
      </w:pPr>
    </w:lvl>
    <w:lvl w:ilvl="3" w:tplc="040C0001">
      <w:start w:val="1"/>
      <w:numFmt w:val="decimal"/>
      <w:lvlText w:val="%4."/>
      <w:lvlJc w:val="left"/>
      <w:pPr>
        <w:tabs>
          <w:tab w:val="num" w:pos="2520"/>
        </w:tabs>
        <w:ind w:left="2520" w:hanging="360"/>
      </w:pPr>
    </w:lvl>
    <w:lvl w:ilvl="4" w:tplc="040C0003">
      <w:start w:val="1"/>
      <w:numFmt w:val="decimal"/>
      <w:lvlText w:val="%5."/>
      <w:lvlJc w:val="left"/>
      <w:pPr>
        <w:tabs>
          <w:tab w:val="num" w:pos="3240"/>
        </w:tabs>
        <w:ind w:left="3240" w:hanging="360"/>
      </w:pPr>
    </w:lvl>
    <w:lvl w:ilvl="5" w:tplc="040C0005">
      <w:start w:val="1"/>
      <w:numFmt w:val="decimal"/>
      <w:lvlText w:val="%6."/>
      <w:lvlJc w:val="left"/>
      <w:pPr>
        <w:tabs>
          <w:tab w:val="num" w:pos="3960"/>
        </w:tabs>
        <w:ind w:left="3960" w:hanging="360"/>
      </w:pPr>
    </w:lvl>
    <w:lvl w:ilvl="6" w:tplc="040C0001">
      <w:start w:val="1"/>
      <w:numFmt w:val="decimal"/>
      <w:lvlText w:val="%7."/>
      <w:lvlJc w:val="left"/>
      <w:pPr>
        <w:tabs>
          <w:tab w:val="num" w:pos="4680"/>
        </w:tabs>
        <w:ind w:left="4680" w:hanging="360"/>
      </w:pPr>
    </w:lvl>
    <w:lvl w:ilvl="7" w:tplc="040C0003">
      <w:start w:val="1"/>
      <w:numFmt w:val="decimal"/>
      <w:lvlText w:val="%8."/>
      <w:lvlJc w:val="left"/>
      <w:pPr>
        <w:tabs>
          <w:tab w:val="num" w:pos="5400"/>
        </w:tabs>
        <w:ind w:left="5400" w:hanging="360"/>
      </w:pPr>
    </w:lvl>
    <w:lvl w:ilvl="8" w:tplc="040C0005">
      <w:start w:val="1"/>
      <w:numFmt w:val="decimal"/>
      <w:lvlText w:val="%9."/>
      <w:lvlJc w:val="left"/>
      <w:pPr>
        <w:tabs>
          <w:tab w:val="num" w:pos="6120"/>
        </w:tabs>
        <w:ind w:left="6120" w:hanging="360"/>
      </w:pPr>
    </w:lvl>
  </w:abstractNum>
  <w:abstractNum w:abstractNumId="10">
    <w:nsid w:val="21032F7F"/>
    <w:multiLevelType w:val="hybridMultilevel"/>
    <w:tmpl w:val="BEDA239C"/>
    <w:lvl w:ilvl="0" w:tplc="0409000D">
      <w:start w:val="1"/>
      <w:numFmt w:val="bullet"/>
      <w:lvlText w:val=""/>
      <w:lvlJc w:val="left"/>
      <w:pPr>
        <w:tabs>
          <w:tab w:val="num" w:pos="360"/>
        </w:tabs>
        <w:ind w:left="36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1">
    <w:nsid w:val="2181000E"/>
    <w:multiLevelType w:val="hybridMultilevel"/>
    <w:tmpl w:val="9EE2AAB4"/>
    <w:lvl w:ilvl="0" w:tplc="040C000B">
      <w:start w:val="1"/>
      <w:numFmt w:val="bullet"/>
      <w:lvlText w:val=""/>
      <w:lvlJc w:val="left"/>
      <w:pPr>
        <w:ind w:left="360" w:hanging="360"/>
      </w:pPr>
      <w:rPr>
        <w:rFonts w:ascii="Wingdings" w:hAnsi="Wingdings" w:hint="default"/>
      </w:rPr>
    </w:lvl>
    <w:lvl w:ilvl="1" w:tplc="040C0003">
      <w:start w:val="1"/>
      <w:numFmt w:val="decimal"/>
      <w:lvlText w:val="%2."/>
      <w:lvlJc w:val="left"/>
      <w:pPr>
        <w:tabs>
          <w:tab w:val="num" w:pos="1080"/>
        </w:tabs>
        <w:ind w:left="1080" w:hanging="360"/>
      </w:pPr>
    </w:lvl>
    <w:lvl w:ilvl="2" w:tplc="040C0005">
      <w:start w:val="1"/>
      <w:numFmt w:val="decimal"/>
      <w:lvlText w:val="%3."/>
      <w:lvlJc w:val="left"/>
      <w:pPr>
        <w:tabs>
          <w:tab w:val="num" w:pos="1800"/>
        </w:tabs>
        <w:ind w:left="1800" w:hanging="360"/>
      </w:pPr>
    </w:lvl>
    <w:lvl w:ilvl="3" w:tplc="040C0001">
      <w:start w:val="1"/>
      <w:numFmt w:val="decimal"/>
      <w:lvlText w:val="%4."/>
      <w:lvlJc w:val="left"/>
      <w:pPr>
        <w:tabs>
          <w:tab w:val="num" w:pos="2520"/>
        </w:tabs>
        <w:ind w:left="2520" w:hanging="360"/>
      </w:pPr>
    </w:lvl>
    <w:lvl w:ilvl="4" w:tplc="040C0003">
      <w:start w:val="1"/>
      <w:numFmt w:val="decimal"/>
      <w:lvlText w:val="%5."/>
      <w:lvlJc w:val="left"/>
      <w:pPr>
        <w:tabs>
          <w:tab w:val="num" w:pos="3240"/>
        </w:tabs>
        <w:ind w:left="3240" w:hanging="360"/>
      </w:pPr>
    </w:lvl>
    <w:lvl w:ilvl="5" w:tplc="040C0005">
      <w:start w:val="1"/>
      <w:numFmt w:val="decimal"/>
      <w:lvlText w:val="%6."/>
      <w:lvlJc w:val="left"/>
      <w:pPr>
        <w:tabs>
          <w:tab w:val="num" w:pos="3960"/>
        </w:tabs>
        <w:ind w:left="3960" w:hanging="360"/>
      </w:pPr>
    </w:lvl>
    <w:lvl w:ilvl="6" w:tplc="040C0001">
      <w:start w:val="1"/>
      <w:numFmt w:val="decimal"/>
      <w:lvlText w:val="%7."/>
      <w:lvlJc w:val="left"/>
      <w:pPr>
        <w:tabs>
          <w:tab w:val="num" w:pos="4680"/>
        </w:tabs>
        <w:ind w:left="4680" w:hanging="360"/>
      </w:pPr>
    </w:lvl>
    <w:lvl w:ilvl="7" w:tplc="040C0003">
      <w:start w:val="1"/>
      <w:numFmt w:val="decimal"/>
      <w:lvlText w:val="%8."/>
      <w:lvlJc w:val="left"/>
      <w:pPr>
        <w:tabs>
          <w:tab w:val="num" w:pos="5400"/>
        </w:tabs>
        <w:ind w:left="5400" w:hanging="360"/>
      </w:pPr>
    </w:lvl>
    <w:lvl w:ilvl="8" w:tplc="040C0005">
      <w:start w:val="1"/>
      <w:numFmt w:val="decimal"/>
      <w:lvlText w:val="%9."/>
      <w:lvlJc w:val="left"/>
      <w:pPr>
        <w:tabs>
          <w:tab w:val="num" w:pos="6120"/>
        </w:tabs>
        <w:ind w:left="6120" w:hanging="360"/>
      </w:pPr>
    </w:lvl>
  </w:abstractNum>
  <w:abstractNum w:abstractNumId="12">
    <w:nsid w:val="239B32B6"/>
    <w:multiLevelType w:val="hybridMultilevel"/>
    <w:tmpl w:val="3B98BEFC"/>
    <w:lvl w:ilvl="0" w:tplc="27B6C024">
      <w:start w:val="1"/>
      <w:numFmt w:val="decimal"/>
      <w:lvlText w:val="%1."/>
      <w:lvlJc w:val="left"/>
      <w:pPr>
        <w:ind w:left="720" w:hanging="360"/>
      </w:pPr>
      <w:rPr>
        <w:rFonts w:hint="default"/>
        <w:b w:val="0"/>
        <w:i w:val="0"/>
        <w:sz w:val="18"/>
        <w:vertAlign w:val="superscrip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nsid w:val="23FE04EA"/>
    <w:multiLevelType w:val="hybridMultilevel"/>
    <w:tmpl w:val="8EAA9FFC"/>
    <w:lvl w:ilvl="0" w:tplc="CC7E880A">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nsid w:val="258528E5"/>
    <w:multiLevelType w:val="hybridMultilevel"/>
    <w:tmpl w:val="FBEE99BE"/>
    <w:lvl w:ilvl="0" w:tplc="040C000D">
      <w:start w:val="1"/>
      <w:numFmt w:val="bullet"/>
      <w:lvlText w:val=""/>
      <w:lvlJc w:val="left"/>
      <w:pPr>
        <w:ind w:left="360" w:hanging="360"/>
      </w:pPr>
      <w:rPr>
        <w:rFonts w:ascii="Wingdings" w:hAnsi="Wingdings" w:hint="default"/>
      </w:rPr>
    </w:lvl>
    <w:lvl w:ilvl="1" w:tplc="040C0003">
      <w:start w:val="1"/>
      <w:numFmt w:val="decimal"/>
      <w:lvlText w:val="%2."/>
      <w:lvlJc w:val="left"/>
      <w:pPr>
        <w:tabs>
          <w:tab w:val="num" w:pos="1440"/>
        </w:tabs>
        <w:ind w:left="1440" w:hanging="360"/>
      </w:pPr>
      <w:rPr>
        <w:rFonts w:cs="Times New Roman"/>
      </w:rPr>
    </w:lvl>
    <w:lvl w:ilvl="2" w:tplc="040C0005">
      <w:start w:val="1"/>
      <w:numFmt w:val="decimal"/>
      <w:lvlText w:val="%3."/>
      <w:lvlJc w:val="left"/>
      <w:pPr>
        <w:tabs>
          <w:tab w:val="num" w:pos="2160"/>
        </w:tabs>
        <w:ind w:left="2160" w:hanging="360"/>
      </w:pPr>
      <w:rPr>
        <w:rFonts w:cs="Times New Roman"/>
      </w:rPr>
    </w:lvl>
    <w:lvl w:ilvl="3" w:tplc="040C0001">
      <w:start w:val="1"/>
      <w:numFmt w:val="decimal"/>
      <w:lvlText w:val="%4."/>
      <w:lvlJc w:val="left"/>
      <w:pPr>
        <w:tabs>
          <w:tab w:val="num" w:pos="2880"/>
        </w:tabs>
        <w:ind w:left="2880" w:hanging="360"/>
      </w:pPr>
      <w:rPr>
        <w:rFonts w:cs="Times New Roman"/>
      </w:rPr>
    </w:lvl>
    <w:lvl w:ilvl="4" w:tplc="040C0003">
      <w:start w:val="1"/>
      <w:numFmt w:val="decimal"/>
      <w:lvlText w:val="%5."/>
      <w:lvlJc w:val="left"/>
      <w:pPr>
        <w:tabs>
          <w:tab w:val="num" w:pos="3600"/>
        </w:tabs>
        <w:ind w:left="3600" w:hanging="360"/>
      </w:pPr>
      <w:rPr>
        <w:rFonts w:cs="Times New Roman"/>
      </w:rPr>
    </w:lvl>
    <w:lvl w:ilvl="5" w:tplc="040C0005">
      <w:start w:val="1"/>
      <w:numFmt w:val="decimal"/>
      <w:lvlText w:val="%6."/>
      <w:lvlJc w:val="left"/>
      <w:pPr>
        <w:tabs>
          <w:tab w:val="num" w:pos="4320"/>
        </w:tabs>
        <w:ind w:left="4320" w:hanging="360"/>
      </w:pPr>
      <w:rPr>
        <w:rFonts w:cs="Times New Roman"/>
      </w:rPr>
    </w:lvl>
    <w:lvl w:ilvl="6" w:tplc="040C0001">
      <w:start w:val="1"/>
      <w:numFmt w:val="decimal"/>
      <w:lvlText w:val="%7."/>
      <w:lvlJc w:val="left"/>
      <w:pPr>
        <w:tabs>
          <w:tab w:val="num" w:pos="5040"/>
        </w:tabs>
        <w:ind w:left="5040" w:hanging="360"/>
      </w:pPr>
      <w:rPr>
        <w:rFonts w:cs="Times New Roman"/>
      </w:rPr>
    </w:lvl>
    <w:lvl w:ilvl="7" w:tplc="040C0003">
      <w:start w:val="1"/>
      <w:numFmt w:val="decimal"/>
      <w:lvlText w:val="%8."/>
      <w:lvlJc w:val="left"/>
      <w:pPr>
        <w:tabs>
          <w:tab w:val="num" w:pos="5760"/>
        </w:tabs>
        <w:ind w:left="5760" w:hanging="360"/>
      </w:pPr>
      <w:rPr>
        <w:rFonts w:cs="Times New Roman"/>
      </w:rPr>
    </w:lvl>
    <w:lvl w:ilvl="8" w:tplc="040C0005">
      <w:start w:val="1"/>
      <w:numFmt w:val="decimal"/>
      <w:lvlText w:val="%9."/>
      <w:lvlJc w:val="left"/>
      <w:pPr>
        <w:tabs>
          <w:tab w:val="num" w:pos="6480"/>
        </w:tabs>
        <w:ind w:left="6480" w:hanging="360"/>
      </w:pPr>
      <w:rPr>
        <w:rFonts w:cs="Times New Roman"/>
      </w:rPr>
    </w:lvl>
  </w:abstractNum>
  <w:abstractNum w:abstractNumId="15">
    <w:nsid w:val="41603F29"/>
    <w:multiLevelType w:val="hybridMultilevel"/>
    <w:tmpl w:val="D9761BE6"/>
    <w:lvl w:ilvl="0" w:tplc="50485F84">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nsid w:val="423E7C14"/>
    <w:multiLevelType w:val="hybridMultilevel"/>
    <w:tmpl w:val="CC7E8954"/>
    <w:lvl w:ilvl="0" w:tplc="FE06E556">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
    <w:nsid w:val="43486FE5"/>
    <w:multiLevelType w:val="hybridMultilevel"/>
    <w:tmpl w:val="C7A828A0"/>
    <w:lvl w:ilvl="0" w:tplc="6194C222">
      <w:start w:val="2"/>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nsid w:val="43654EFF"/>
    <w:multiLevelType w:val="hybridMultilevel"/>
    <w:tmpl w:val="2318AEEA"/>
    <w:lvl w:ilvl="0" w:tplc="6194C222">
      <w:start w:val="2"/>
      <w:numFmt w:val="bullet"/>
      <w:lvlText w:val="-"/>
      <w:lvlJc w:val="left"/>
      <w:pPr>
        <w:tabs>
          <w:tab w:val="num" w:pos="360"/>
        </w:tabs>
        <w:ind w:left="360" w:hanging="360"/>
      </w:pPr>
      <w:rPr>
        <w:rFonts w:ascii="Arial" w:eastAsia="Times New Roman" w:hAnsi="Arial" w:cs="Arial" w:hint="default"/>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19">
    <w:nsid w:val="593C09CB"/>
    <w:multiLevelType w:val="hybridMultilevel"/>
    <w:tmpl w:val="FEACBF64"/>
    <w:lvl w:ilvl="0" w:tplc="040C000D">
      <w:start w:val="1"/>
      <w:numFmt w:val="bullet"/>
      <w:lvlText w:val=""/>
      <w:lvlJc w:val="left"/>
      <w:pPr>
        <w:ind w:left="720" w:hanging="360"/>
      </w:pPr>
      <w:rPr>
        <w:rFonts w:ascii="Wingdings" w:hAnsi="Wingdings" w:hint="default"/>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20">
    <w:nsid w:val="5FF224CF"/>
    <w:multiLevelType w:val="hybridMultilevel"/>
    <w:tmpl w:val="629EDC52"/>
    <w:lvl w:ilvl="0" w:tplc="040C000B">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nsid w:val="637B3B51"/>
    <w:multiLevelType w:val="hybridMultilevel"/>
    <w:tmpl w:val="69648236"/>
    <w:lvl w:ilvl="0" w:tplc="0409000D">
      <w:start w:val="1"/>
      <w:numFmt w:val="bullet"/>
      <w:lvlText w:val=""/>
      <w:lvlJc w:val="left"/>
      <w:pPr>
        <w:tabs>
          <w:tab w:val="num" w:pos="360"/>
        </w:tabs>
        <w:ind w:left="360" w:hanging="360"/>
      </w:pPr>
      <w:rPr>
        <w:rFonts w:ascii="Wingdings" w:hAnsi="Wingdings" w:hint="default"/>
      </w:rPr>
    </w:lvl>
    <w:lvl w:ilvl="1" w:tplc="04090003">
      <w:start w:val="1"/>
      <w:numFmt w:val="bullet"/>
      <w:lvlText w:val="o"/>
      <w:lvlJc w:val="left"/>
      <w:pPr>
        <w:tabs>
          <w:tab w:val="num" w:pos="1980"/>
        </w:tabs>
        <w:ind w:left="1980" w:hanging="360"/>
      </w:pPr>
      <w:rPr>
        <w:rFonts w:ascii="Courier New" w:hAnsi="Courier New" w:cs="Courier New"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2">
    <w:nsid w:val="72F90124"/>
    <w:multiLevelType w:val="hybridMultilevel"/>
    <w:tmpl w:val="C15C962A"/>
    <w:lvl w:ilvl="0" w:tplc="9372E0EE">
      <w:start w:val="1"/>
      <w:numFmt w:val="decimal"/>
      <w:lvlText w:val="%1."/>
      <w:lvlJc w:val="left"/>
      <w:pPr>
        <w:ind w:left="720" w:hanging="360"/>
      </w:pPr>
      <w:rPr>
        <w:rFonts w:ascii="Times New Roman" w:hAnsi="Times New Roman" w:hint="default"/>
        <w:b w:val="0"/>
        <w:i w:val="0"/>
        <w:sz w:val="18"/>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3">
    <w:nsid w:val="749674A8"/>
    <w:multiLevelType w:val="hybridMultilevel"/>
    <w:tmpl w:val="CDCEE994"/>
    <w:lvl w:ilvl="0" w:tplc="F0D2340A">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4">
    <w:nsid w:val="7F9E3775"/>
    <w:multiLevelType w:val="hybridMultilevel"/>
    <w:tmpl w:val="73563E6C"/>
    <w:lvl w:ilvl="0" w:tplc="040C000B">
      <w:start w:val="1"/>
      <w:numFmt w:val="bullet"/>
      <w:lvlText w:val=""/>
      <w:lvlJc w:val="left"/>
      <w:pPr>
        <w:ind w:left="360" w:hanging="360"/>
      </w:pPr>
      <w:rPr>
        <w:rFonts w:ascii="Wingdings" w:hAnsi="Wingdings" w:hint="default"/>
      </w:rPr>
    </w:lvl>
    <w:lvl w:ilvl="1" w:tplc="040C0003">
      <w:start w:val="1"/>
      <w:numFmt w:val="decimal"/>
      <w:lvlText w:val="%2."/>
      <w:lvlJc w:val="left"/>
      <w:pPr>
        <w:tabs>
          <w:tab w:val="num" w:pos="1080"/>
        </w:tabs>
        <w:ind w:left="1080" w:hanging="360"/>
      </w:pPr>
    </w:lvl>
    <w:lvl w:ilvl="2" w:tplc="040C0005">
      <w:start w:val="1"/>
      <w:numFmt w:val="decimal"/>
      <w:lvlText w:val="%3."/>
      <w:lvlJc w:val="left"/>
      <w:pPr>
        <w:tabs>
          <w:tab w:val="num" w:pos="1800"/>
        </w:tabs>
        <w:ind w:left="1800" w:hanging="360"/>
      </w:pPr>
    </w:lvl>
    <w:lvl w:ilvl="3" w:tplc="040C0001">
      <w:start w:val="1"/>
      <w:numFmt w:val="decimal"/>
      <w:lvlText w:val="%4."/>
      <w:lvlJc w:val="left"/>
      <w:pPr>
        <w:tabs>
          <w:tab w:val="num" w:pos="2520"/>
        </w:tabs>
        <w:ind w:left="2520" w:hanging="360"/>
      </w:pPr>
    </w:lvl>
    <w:lvl w:ilvl="4" w:tplc="040C0003">
      <w:start w:val="1"/>
      <w:numFmt w:val="decimal"/>
      <w:lvlText w:val="%5."/>
      <w:lvlJc w:val="left"/>
      <w:pPr>
        <w:tabs>
          <w:tab w:val="num" w:pos="3240"/>
        </w:tabs>
        <w:ind w:left="3240" w:hanging="360"/>
      </w:pPr>
    </w:lvl>
    <w:lvl w:ilvl="5" w:tplc="040C0005">
      <w:start w:val="1"/>
      <w:numFmt w:val="decimal"/>
      <w:lvlText w:val="%6."/>
      <w:lvlJc w:val="left"/>
      <w:pPr>
        <w:tabs>
          <w:tab w:val="num" w:pos="3960"/>
        </w:tabs>
        <w:ind w:left="3960" w:hanging="360"/>
      </w:pPr>
    </w:lvl>
    <w:lvl w:ilvl="6" w:tplc="040C0001">
      <w:start w:val="1"/>
      <w:numFmt w:val="decimal"/>
      <w:lvlText w:val="%7."/>
      <w:lvlJc w:val="left"/>
      <w:pPr>
        <w:tabs>
          <w:tab w:val="num" w:pos="4680"/>
        </w:tabs>
        <w:ind w:left="4680" w:hanging="360"/>
      </w:pPr>
    </w:lvl>
    <w:lvl w:ilvl="7" w:tplc="040C0003">
      <w:start w:val="1"/>
      <w:numFmt w:val="decimal"/>
      <w:lvlText w:val="%8."/>
      <w:lvlJc w:val="left"/>
      <w:pPr>
        <w:tabs>
          <w:tab w:val="num" w:pos="5400"/>
        </w:tabs>
        <w:ind w:left="5400" w:hanging="360"/>
      </w:pPr>
    </w:lvl>
    <w:lvl w:ilvl="8" w:tplc="040C0005">
      <w:start w:val="1"/>
      <w:numFmt w:val="decimal"/>
      <w:lvlText w:val="%9."/>
      <w:lvlJc w:val="left"/>
      <w:pPr>
        <w:tabs>
          <w:tab w:val="num" w:pos="6120"/>
        </w:tabs>
        <w:ind w:left="6120" w:hanging="360"/>
      </w:pPr>
    </w:lvl>
  </w:abstractNum>
  <w:num w:numId="1">
    <w:abstractNumId w:val="24"/>
  </w:num>
  <w:num w:numId="2">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9"/>
  </w:num>
  <w:num w:numId="4">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1"/>
  </w:num>
  <w:num w:numId="6">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num>
  <w:num w:numId="8">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num>
  <w:num w:numId="10">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num>
  <w:num w:numId="12">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
  </w:num>
  <w:num w:numId="14">
    <w:abstractNumId w:val="2"/>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8"/>
  </w:num>
  <w:num w:numId="16">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0"/>
  </w:num>
  <w:num w:numId="18">
    <w:abstractNumId w:val="1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1"/>
  </w:num>
  <w:num w:numId="20">
    <w:abstractNumId w:val="2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9"/>
  </w:num>
  <w:num w:numId="22">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5"/>
  </w:num>
  <w:num w:numId="24">
    <w:abstractNumId w:val="0"/>
  </w:num>
  <w:num w:numId="25">
    <w:abstractNumId w:val="7"/>
  </w:num>
  <w:num w:numId="26">
    <w:abstractNumId w:val="8"/>
  </w:num>
  <w:num w:numId="27">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0"/>
  </w:num>
  <w:num w:numId="29">
    <w:abstractNumId w:val="6"/>
  </w:num>
  <w:num w:numId="30">
    <w:abstractNumId w:val="14"/>
  </w:num>
  <w:num w:numId="31">
    <w:abstractNumId w:val="17"/>
  </w:num>
  <w:num w:numId="32">
    <w:abstractNumId w:val="4"/>
  </w:num>
  <w:num w:numId="33">
    <w:abstractNumId w:val="23"/>
  </w:num>
  <w:num w:numId="34">
    <w:abstractNumId w:val="12"/>
  </w:num>
  <w:num w:numId="35">
    <w:abstractNumId w:val="16"/>
  </w:num>
  <w:num w:numId="36">
    <w:abstractNumId w:val="22"/>
  </w:num>
  <w:num w:numId="37">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20"/>
  <w:displayHorizontalDrawingGridEvery w:val="2"/>
  <w:characterSpacingControl w:val="doNotCompress"/>
  <w:hdrShapeDefaults>
    <o:shapedefaults v:ext="edit" spidmax="6153"/>
    <o:shapelayout v:ext="edit">
      <o:idmap v:ext="edit" data="6"/>
    </o:shapelayout>
  </w:hdrShapeDefaults>
  <w:footnotePr>
    <w:footnote w:id="-1"/>
    <w:footnote w:id="0"/>
  </w:footnotePr>
  <w:endnotePr>
    <w:endnote w:id="-1"/>
    <w:endnote w:id="0"/>
  </w:endnotePr>
  <w:compat/>
  <w:rsids>
    <w:rsidRoot w:val="00257B52"/>
    <w:rsid w:val="00002A4A"/>
    <w:rsid w:val="00003379"/>
    <w:rsid w:val="000061CB"/>
    <w:rsid w:val="00007121"/>
    <w:rsid w:val="000168FB"/>
    <w:rsid w:val="00021786"/>
    <w:rsid w:val="00023FAE"/>
    <w:rsid w:val="00044EB6"/>
    <w:rsid w:val="0004635D"/>
    <w:rsid w:val="00052374"/>
    <w:rsid w:val="00073D35"/>
    <w:rsid w:val="00075106"/>
    <w:rsid w:val="00080ED1"/>
    <w:rsid w:val="0008437E"/>
    <w:rsid w:val="000874F8"/>
    <w:rsid w:val="000908BD"/>
    <w:rsid w:val="00090B30"/>
    <w:rsid w:val="000C0452"/>
    <w:rsid w:val="000C73D3"/>
    <w:rsid w:val="000C7C0A"/>
    <w:rsid w:val="000D16A5"/>
    <w:rsid w:val="000E303D"/>
    <w:rsid w:val="000E4026"/>
    <w:rsid w:val="000E744A"/>
    <w:rsid w:val="0010747E"/>
    <w:rsid w:val="00111B93"/>
    <w:rsid w:val="001120E4"/>
    <w:rsid w:val="00112C8A"/>
    <w:rsid w:val="00116BBA"/>
    <w:rsid w:val="00117C19"/>
    <w:rsid w:val="00132DD1"/>
    <w:rsid w:val="00132EE4"/>
    <w:rsid w:val="0014550F"/>
    <w:rsid w:val="0015193D"/>
    <w:rsid w:val="00151A07"/>
    <w:rsid w:val="0015697C"/>
    <w:rsid w:val="001930CE"/>
    <w:rsid w:val="00195510"/>
    <w:rsid w:val="001A1997"/>
    <w:rsid w:val="001A3ECA"/>
    <w:rsid w:val="001A59C7"/>
    <w:rsid w:val="001B3594"/>
    <w:rsid w:val="001B64C4"/>
    <w:rsid w:val="001C5D6F"/>
    <w:rsid w:val="00222E1C"/>
    <w:rsid w:val="002245D5"/>
    <w:rsid w:val="002375BA"/>
    <w:rsid w:val="00241188"/>
    <w:rsid w:val="00244BDF"/>
    <w:rsid w:val="00246B6B"/>
    <w:rsid w:val="00247314"/>
    <w:rsid w:val="002503F2"/>
    <w:rsid w:val="00257B52"/>
    <w:rsid w:val="002745E0"/>
    <w:rsid w:val="00281D5A"/>
    <w:rsid w:val="002949B2"/>
    <w:rsid w:val="00296827"/>
    <w:rsid w:val="002A17EE"/>
    <w:rsid w:val="002B1B73"/>
    <w:rsid w:val="002B4B79"/>
    <w:rsid w:val="002D61E0"/>
    <w:rsid w:val="002E52D3"/>
    <w:rsid w:val="002E6B4D"/>
    <w:rsid w:val="002E6C34"/>
    <w:rsid w:val="002F0633"/>
    <w:rsid w:val="002F1D62"/>
    <w:rsid w:val="002F5FD9"/>
    <w:rsid w:val="002F70C4"/>
    <w:rsid w:val="002F79D5"/>
    <w:rsid w:val="00301851"/>
    <w:rsid w:val="00302652"/>
    <w:rsid w:val="00305C6A"/>
    <w:rsid w:val="00317D57"/>
    <w:rsid w:val="00326CA8"/>
    <w:rsid w:val="003317CE"/>
    <w:rsid w:val="00332C55"/>
    <w:rsid w:val="00337E07"/>
    <w:rsid w:val="00340993"/>
    <w:rsid w:val="00340A03"/>
    <w:rsid w:val="003470B5"/>
    <w:rsid w:val="00362960"/>
    <w:rsid w:val="00363930"/>
    <w:rsid w:val="00370884"/>
    <w:rsid w:val="003806AC"/>
    <w:rsid w:val="00390630"/>
    <w:rsid w:val="003922FE"/>
    <w:rsid w:val="003931EC"/>
    <w:rsid w:val="00393348"/>
    <w:rsid w:val="003966C6"/>
    <w:rsid w:val="003A4087"/>
    <w:rsid w:val="003B0729"/>
    <w:rsid w:val="003B6FC3"/>
    <w:rsid w:val="003C2CCE"/>
    <w:rsid w:val="003D37BE"/>
    <w:rsid w:val="003D5569"/>
    <w:rsid w:val="003D6826"/>
    <w:rsid w:val="003F07FE"/>
    <w:rsid w:val="003F10FF"/>
    <w:rsid w:val="003F2BF9"/>
    <w:rsid w:val="003F6AA1"/>
    <w:rsid w:val="00406478"/>
    <w:rsid w:val="0041052D"/>
    <w:rsid w:val="00413DF8"/>
    <w:rsid w:val="0041601B"/>
    <w:rsid w:val="004167A7"/>
    <w:rsid w:val="00416DE5"/>
    <w:rsid w:val="00417338"/>
    <w:rsid w:val="00422DDD"/>
    <w:rsid w:val="00424651"/>
    <w:rsid w:val="00425D65"/>
    <w:rsid w:val="00425DFD"/>
    <w:rsid w:val="00444694"/>
    <w:rsid w:val="00454C24"/>
    <w:rsid w:val="00455331"/>
    <w:rsid w:val="00462DD0"/>
    <w:rsid w:val="00462E79"/>
    <w:rsid w:val="00466347"/>
    <w:rsid w:val="004864D5"/>
    <w:rsid w:val="00487034"/>
    <w:rsid w:val="00492AD9"/>
    <w:rsid w:val="004954AE"/>
    <w:rsid w:val="00497AE6"/>
    <w:rsid w:val="004B3618"/>
    <w:rsid w:val="004C7EC8"/>
    <w:rsid w:val="004D399E"/>
    <w:rsid w:val="004D7D21"/>
    <w:rsid w:val="00500B0D"/>
    <w:rsid w:val="00501E64"/>
    <w:rsid w:val="00511804"/>
    <w:rsid w:val="00512D42"/>
    <w:rsid w:val="00525B7A"/>
    <w:rsid w:val="005302FA"/>
    <w:rsid w:val="0053330E"/>
    <w:rsid w:val="00537DA7"/>
    <w:rsid w:val="00541460"/>
    <w:rsid w:val="00553241"/>
    <w:rsid w:val="00562859"/>
    <w:rsid w:val="00565344"/>
    <w:rsid w:val="0056536B"/>
    <w:rsid w:val="005670AD"/>
    <w:rsid w:val="00572121"/>
    <w:rsid w:val="0057654F"/>
    <w:rsid w:val="0057797E"/>
    <w:rsid w:val="00577A40"/>
    <w:rsid w:val="00591279"/>
    <w:rsid w:val="005A09A8"/>
    <w:rsid w:val="005A205D"/>
    <w:rsid w:val="005A6E0E"/>
    <w:rsid w:val="005B7234"/>
    <w:rsid w:val="005D01AC"/>
    <w:rsid w:val="005E7409"/>
    <w:rsid w:val="005F316A"/>
    <w:rsid w:val="005F46EF"/>
    <w:rsid w:val="005F5286"/>
    <w:rsid w:val="00600A6E"/>
    <w:rsid w:val="006013A1"/>
    <w:rsid w:val="00610752"/>
    <w:rsid w:val="00612AA5"/>
    <w:rsid w:val="0061634E"/>
    <w:rsid w:val="00617A28"/>
    <w:rsid w:val="0062413B"/>
    <w:rsid w:val="006252D4"/>
    <w:rsid w:val="00627E9A"/>
    <w:rsid w:val="0063298E"/>
    <w:rsid w:val="00634D67"/>
    <w:rsid w:val="0064196B"/>
    <w:rsid w:val="00643A1C"/>
    <w:rsid w:val="00646D5C"/>
    <w:rsid w:val="00654629"/>
    <w:rsid w:val="006549AC"/>
    <w:rsid w:val="00656848"/>
    <w:rsid w:val="006647B1"/>
    <w:rsid w:val="00672E9B"/>
    <w:rsid w:val="00674E7C"/>
    <w:rsid w:val="00675222"/>
    <w:rsid w:val="00675FCB"/>
    <w:rsid w:val="00676C17"/>
    <w:rsid w:val="006818BA"/>
    <w:rsid w:val="006846FA"/>
    <w:rsid w:val="00695495"/>
    <w:rsid w:val="006B1866"/>
    <w:rsid w:val="006B1C9B"/>
    <w:rsid w:val="006B299A"/>
    <w:rsid w:val="006B5B00"/>
    <w:rsid w:val="006C0043"/>
    <w:rsid w:val="006C24DA"/>
    <w:rsid w:val="006C344C"/>
    <w:rsid w:val="006C502D"/>
    <w:rsid w:val="006D21E8"/>
    <w:rsid w:val="006D2685"/>
    <w:rsid w:val="006D48E7"/>
    <w:rsid w:val="006E0C23"/>
    <w:rsid w:val="006E2B64"/>
    <w:rsid w:val="006E76D0"/>
    <w:rsid w:val="006F4DA1"/>
    <w:rsid w:val="006F5A48"/>
    <w:rsid w:val="007043AA"/>
    <w:rsid w:val="007136A8"/>
    <w:rsid w:val="0073348D"/>
    <w:rsid w:val="007425B6"/>
    <w:rsid w:val="00753AD3"/>
    <w:rsid w:val="00756FA4"/>
    <w:rsid w:val="00760F1D"/>
    <w:rsid w:val="0076692B"/>
    <w:rsid w:val="007702E6"/>
    <w:rsid w:val="00770D2C"/>
    <w:rsid w:val="007867ED"/>
    <w:rsid w:val="00787499"/>
    <w:rsid w:val="007A213E"/>
    <w:rsid w:val="007A28B8"/>
    <w:rsid w:val="007A7191"/>
    <w:rsid w:val="007B2DAB"/>
    <w:rsid w:val="007B4510"/>
    <w:rsid w:val="007D44CD"/>
    <w:rsid w:val="007D5548"/>
    <w:rsid w:val="007D79AD"/>
    <w:rsid w:val="007E661C"/>
    <w:rsid w:val="007F1FE7"/>
    <w:rsid w:val="00801902"/>
    <w:rsid w:val="00805BC0"/>
    <w:rsid w:val="00806BFC"/>
    <w:rsid w:val="00807BC0"/>
    <w:rsid w:val="00822BDC"/>
    <w:rsid w:val="008258CE"/>
    <w:rsid w:val="00830D27"/>
    <w:rsid w:val="008311CA"/>
    <w:rsid w:val="00832524"/>
    <w:rsid w:val="00833DDD"/>
    <w:rsid w:val="00845F18"/>
    <w:rsid w:val="00852791"/>
    <w:rsid w:val="008563C1"/>
    <w:rsid w:val="00875ECC"/>
    <w:rsid w:val="0087714E"/>
    <w:rsid w:val="008965C5"/>
    <w:rsid w:val="008A5F36"/>
    <w:rsid w:val="008C1AD7"/>
    <w:rsid w:val="008D0E4C"/>
    <w:rsid w:val="008D13AB"/>
    <w:rsid w:val="008D3233"/>
    <w:rsid w:val="008D4D50"/>
    <w:rsid w:val="008E234A"/>
    <w:rsid w:val="008F6AAE"/>
    <w:rsid w:val="00904464"/>
    <w:rsid w:val="00905759"/>
    <w:rsid w:val="00910DD2"/>
    <w:rsid w:val="00914097"/>
    <w:rsid w:val="009166EA"/>
    <w:rsid w:val="00921BE6"/>
    <w:rsid w:val="00925E44"/>
    <w:rsid w:val="0092601C"/>
    <w:rsid w:val="009353A7"/>
    <w:rsid w:val="00955D31"/>
    <w:rsid w:val="00962039"/>
    <w:rsid w:val="009650A9"/>
    <w:rsid w:val="00965B7E"/>
    <w:rsid w:val="00971F31"/>
    <w:rsid w:val="0097486A"/>
    <w:rsid w:val="00976BEA"/>
    <w:rsid w:val="009A64DD"/>
    <w:rsid w:val="009B2396"/>
    <w:rsid w:val="009B34F4"/>
    <w:rsid w:val="009C093B"/>
    <w:rsid w:val="009C50BD"/>
    <w:rsid w:val="00A11644"/>
    <w:rsid w:val="00A2038D"/>
    <w:rsid w:val="00A23AD5"/>
    <w:rsid w:val="00A34137"/>
    <w:rsid w:val="00A4207D"/>
    <w:rsid w:val="00A43495"/>
    <w:rsid w:val="00A540E5"/>
    <w:rsid w:val="00A75577"/>
    <w:rsid w:val="00A7776D"/>
    <w:rsid w:val="00A778BC"/>
    <w:rsid w:val="00A80DC8"/>
    <w:rsid w:val="00A8369B"/>
    <w:rsid w:val="00A84ACD"/>
    <w:rsid w:val="00A85902"/>
    <w:rsid w:val="00A86B74"/>
    <w:rsid w:val="00A955D7"/>
    <w:rsid w:val="00A95D13"/>
    <w:rsid w:val="00A97FC3"/>
    <w:rsid w:val="00AA09F4"/>
    <w:rsid w:val="00AA4BF5"/>
    <w:rsid w:val="00AB388F"/>
    <w:rsid w:val="00AB47FF"/>
    <w:rsid w:val="00AC2072"/>
    <w:rsid w:val="00AC3885"/>
    <w:rsid w:val="00AC73A2"/>
    <w:rsid w:val="00AD040D"/>
    <w:rsid w:val="00AD0B0E"/>
    <w:rsid w:val="00AD4F60"/>
    <w:rsid w:val="00AE3589"/>
    <w:rsid w:val="00AE57E5"/>
    <w:rsid w:val="00AE6453"/>
    <w:rsid w:val="00B00881"/>
    <w:rsid w:val="00B014E5"/>
    <w:rsid w:val="00B07B94"/>
    <w:rsid w:val="00B15DF8"/>
    <w:rsid w:val="00B26187"/>
    <w:rsid w:val="00B351DD"/>
    <w:rsid w:val="00B4019D"/>
    <w:rsid w:val="00B412E3"/>
    <w:rsid w:val="00B51E72"/>
    <w:rsid w:val="00B602D0"/>
    <w:rsid w:val="00B60617"/>
    <w:rsid w:val="00B60DFA"/>
    <w:rsid w:val="00B745D3"/>
    <w:rsid w:val="00B87018"/>
    <w:rsid w:val="00B92E70"/>
    <w:rsid w:val="00BB0378"/>
    <w:rsid w:val="00BC1615"/>
    <w:rsid w:val="00BD3BFE"/>
    <w:rsid w:val="00BE35E0"/>
    <w:rsid w:val="00BE579C"/>
    <w:rsid w:val="00C2392E"/>
    <w:rsid w:val="00C23FED"/>
    <w:rsid w:val="00C31769"/>
    <w:rsid w:val="00C33065"/>
    <w:rsid w:val="00C40F65"/>
    <w:rsid w:val="00C61A86"/>
    <w:rsid w:val="00C72EC6"/>
    <w:rsid w:val="00C759E9"/>
    <w:rsid w:val="00C94EE0"/>
    <w:rsid w:val="00CA382F"/>
    <w:rsid w:val="00CA64FF"/>
    <w:rsid w:val="00CA677E"/>
    <w:rsid w:val="00CB21E7"/>
    <w:rsid w:val="00CB4AAC"/>
    <w:rsid w:val="00CB4EF1"/>
    <w:rsid w:val="00CD7A27"/>
    <w:rsid w:val="00CE049C"/>
    <w:rsid w:val="00CE5F51"/>
    <w:rsid w:val="00CF032F"/>
    <w:rsid w:val="00CF4ABF"/>
    <w:rsid w:val="00D003CE"/>
    <w:rsid w:val="00D02D70"/>
    <w:rsid w:val="00D046DE"/>
    <w:rsid w:val="00D21260"/>
    <w:rsid w:val="00D2704F"/>
    <w:rsid w:val="00D273AB"/>
    <w:rsid w:val="00D42E11"/>
    <w:rsid w:val="00D52388"/>
    <w:rsid w:val="00D71977"/>
    <w:rsid w:val="00D727C7"/>
    <w:rsid w:val="00D72F8B"/>
    <w:rsid w:val="00D73B69"/>
    <w:rsid w:val="00D752E4"/>
    <w:rsid w:val="00D80D6D"/>
    <w:rsid w:val="00D905D1"/>
    <w:rsid w:val="00D9280C"/>
    <w:rsid w:val="00D94DA4"/>
    <w:rsid w:val="00D9567B"/>
    <w:rsid w:val="00D97D5C"/>
    <w:rsid w:val="00DB2189"/>
    <w:rsid w:val="00DB6C90"/>
    <w:rsid w:val="00DC3152"/>
    <w:rsid w:val="00DD2BAD"/>
    <w:rsid w:val="00DD5504"/>
    <w:rsid w:val="00DE45BF"/>
    <w:rsid w:val="00DE5186"/>
    <w:rsid w:val="00DE685E"/>
    <w:rsid w:val="00E02E89"/>
    <w:rsid w:val="00E038AE"/>
    <w:rsid w:val="00E146A3"/>
    <w:rsid w:val="00E14783"/>
    <w:rsid w:val="00E16AFC"/>
    <w:rsid w:val="00E25205"/>
    <w:rsid w:val="00E574F6"/>
    <w:rsid w:val="00E57DAD"/>
    <w:rsid w:val="00E652B7"/>
    <w:rsid w:val="00E6656E"/>
    <w:rsid w:val="00E731E5"/>
    <w:rsid w:val="00E817B0"/>
    <w:rsid w:val="00E81D7F"/>
    <w:rsid w:val="00E82A5B"/>
    <w:rsid w:val="00E92ACE"/>
    <w:rsid w:val="00E964E0"/>
    <w:rsid w:val="00E96B2B"/>
    <w:rsid w:val="00E97625"/>
    <w:rsid w:val="00EA1F23"/>
    <w:rsid w:val="00EA7633"/>
    <w:rsid w:val="00EB031D"/>
    <w:rsid w:val="00EC09A1"/>
    <w:rsid w:val="00EC6ABB"/>
    <w:rsid w:val="00EF42B0"/>
    <w:rsid w:val="00F05B39"/>
    <w:rsid w:val="00F12093"/>
    <w:rsid w:val="00F22DC0"/>
    <w:rsid w:val="00F244A2"/>
    <w:rsid w:val="00F32D33"/>
    <w:rsid w:val="00F32FF5"/>
    <w:rsid w:val="00F468C9"/>
    <w:rsid w:val="00F561CF"/>
    <w:rsid w:val="00F61691"/>
    <w:rsid w:val="00F75207"/>
    <w:rsid w:val="00F96B27"/>
    <w:rsid w:val="00FA24AD"/>
    <w:rsid w:val="00FB3F50"/>
    <w:rsid w:val="00FD0AF2"/>
    <w:rsid w:val="00FD275A"/>
    <w:rsid w:val="00FD3214"/>
    <w:rsid w:val="00FF2921"/>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615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656E"/>
    <w:pPr>
      <w:spacing w:after="0" w:line="240" w:lineRule="auto"/>
    </w:pPr>
    <w:rPr>
      <w:rFonts w:ascii="Times New Roman" w:eastAsia="Times New Roman" w:hAnsi="Times New Roman" w:cs="Times New Roman"/>
      <w:sz w:val="24"/>
      <w:szCs w:val="24"/>
      <w:lang w:eastAsia="fr-FR"/>
    </w:rPr>
  </w:style>
  <w:style w:type="paragraph" w:styleId="Titre1">
    <w:name w:val="heading 1"/>
    <w:basedOn w:val="Normal"/>
    <w:next w:val="Normal"/>
    <w:link w:val="Titre1Car"/>
    <w:uiPriority w:val="9"/>
    <w:qFormat/>
    <w:rsid w:val="00E6656E"/>
    <w:pPr>
      <w:keepNext/>
      <w:spacing w:before="240" w:after="60"/>
      <w:outlineLvl w:val="0"/>
    </w:pPr>
    <w:rPr>
      <w:rFonts w:ascii="Cambria" w:hAnsi="Cambria"/>
      <w:b/>
      <w:bCs/>
      <w:kern w:val="32"/>
      <w:sz w:val="32"/>
      <w:szCs w:val="32"/>
    </w:rPr>
  </w:style>
  <w:style w:type="paragraph" w:styleId="Titre2">
    <w:name w:val="heading 2"/>
    <w:basedOn w:val="Normal"/>
    <w:next w:val="Normal"/>
    <w:link w:val="Titre2Car"/>
    <w:uiPriority w:val="9"/>
    <w:unhideWhenUsed/>
    <w:qFormat/>
    <w:rsid w:val="00E6656E"/>
    <w:pPr>
      <w:keepNext/>
      <w:spacing w:before="240" w:after="60"/>
      <w:outlineLvl w:val="1"/>
    </w:pPr>
    <w:rPr>
      <w:rFonts w:ascii="Cambria" w:hAnsi="Cambria"/>
      <w:b/>
      <w:bCs/>
      <w:i/>
      <w:iCs/>
      <w:sz w:val="28"/>
      <w:szCs w:val="28"/>
    </w:rPr>
  </w:style>
  <w:style w:type="paragraph" w:styleId="Titre3">
    <w:name w:val="heading 3"/>
    <w:basedOn w:val="Normal"/>
    <w:next w:val="Normal"/>
    <w:link w:val="Titre3Car"/>
    <w:uiPriority w:val="9"/>
    <w:semiHidden/>
    <w:unhideWhenUsed/>
    <w:qFormat/>
    <w:rsid w:val="00E6656E"/>
    <w:pPr>
      <w:keepNext/>
      <w:spacing w:before="240" w:after="60"/>
      <w:outlineLvl w:val="2"/>
    </w:pPr>
    <w:rPr>
      <w:rFonts w:ascii="Cambria" w:hAnsi="Cambria"/>
      <w:b/>
      <w:bCs/>
      <w:sz w:val="26"/>
      <w:szCs w:val="26"/>
    </w:rPr>
  </w:style>
  <w:style w:type="paragraph" w:styleId="Titre4">
    <w:name w:val="heading 4"/>
    <w:basedOn w:val="Normal"/>
    <w:next w:val="Normal"/>
    <w:link w:val="Titre4Car"/>
    <w:uiPriority w:val="9"/>
    <w:unhideWhenUsed/>
    <w:qFormat/>
    <w:rsid w:val="00E6656E"/>
    <w:pPr>
      <w:keepNext/>
      <w:spacing w:before="240" w:after="60"/>
      <w:outlineLvl w:val="3"/>
    </w:pPr>
    <w:rPr>
      <w:rFonts w:ascii="Calibri" w:hAnsi="Calibri"/>
      <w:b/>
      <w:bCs/>
      <w:sz w:val="28"/>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E6656E"/>
    <w:rPr>
      <w:rFonts w:ascii="Cambria" w:eastAsia="Times New Roman" w:hAnsi="Cambria" w:cs="Times New Roman"/>
      <w:b/>
      <w:bCs/>
      <w:kern w:val="32"/>
      <w:sz w:val="32"/>
      <w:szCs w:val="32"/>
      <w:lang w:eastAsia="fr-FR"/>
    </w:rPr>
  </w:style>
  <w:style w:type="character" w:customStyle="1" w:styleId="Titre2Car">
    <w:name w:val="Titre 2 Car"/>
    <w:basedOn w:val="Policepardfaut"/>
    <w:link w:val="Titre2"/>
    <w:uiPriority w:val="9"/>
    <w:rsid w:val="00E6656E"/>
    <w:rPr>
      <w:rFonts w:ascii="Cambria" w:eastAsia="Times New Roman" w:hAnsi="Cambria" w:cs="Times New Roman"/>
      <w:b/>
      <w:bCs/>
      <w:i/>
      <w:iCs/>
      <w:sz w:val="28"/>
      <w:szCs w:val="28"/>
      <w:lang w:eastAsia="fr-FR"/>
    </w:rPr>
  </w:style>
  <w:style w:type="character" w:customStyle="1" w:styleId="Titre3Car">
    <w:name w:val="Titre 3 Car"/>
    <w:basedOn w:val="Policepardfaut"/>
    <w:link w:val="Titre3"/>
    <w:uiPriority w:val="9"/>
    <w:semiHidden/>
    <w:rsid w:val="00E6656E"/>
    <w:rPr>
      <w:rFonts w:ascii="Cambria" w:eastAsia="Times New Roman" w:hAnsi="Cambria" w:cs="Times New Roman"/>
      <w:b/>
      <w:bCs/>
      <w:sz w:val="26"/>
      <w:szCs w:val="26"/>
      <w:lang w:eastAsia="fr-FR"/>
    </w:rPr>
  </w:style>
  <w:style w:type="character" w:customStyle="1" w:styleId="Titre4Car">
    <w:name w:val="Titre 4 Car"/>
    <w:basedOn w:val="Policepardfaut"/>
    <w:link w:val="Titre4"/>
    <w:uiPriority w:val="9"/>
    <w:rsid w:val="00E6656E"/>
    <w:rPr>
      <w:rFonts w:ascii="Calibri" w:eastAsia="Times New Roman" w:hAnsi="Calibri" w:cs="Times New Roman"/>
      <w:b/>
      <w:bCs/>
      <w:sz w:val="28"/>
      <w:szCs w:val="28"/>
      <w:lang w:eastAsia="fr-FR"/>
    </w:rPr>
  </w:style>
  <w:style w:type="character" w:styleId="Lienhypertexte">
    <w:name w:val="Hyperlink"/>
    <w:uiPriority w:val="99"/>
    <w:unhideWhenUsed/>
    <w:rsid w:val="00E6656E"/>
    <w:rPr>
      <w:color w:val="0000FF"/>
      <w:u w:val="single"/>
    </w:rPr>
  </w:style>
  <w:style w:type="character" w:styleId="Lienhypertextesuivivisit">
    <w:name w:val="FollowedHyperlink"/>
    <w:uiPriority w:val="99"/>
    <w:semiHidden/>
    <w:unhideWhenUsed/>
    <w:rsid w:val="00E6656E"/>
    <w:rPr>
      <w:color w:val="800080"/>
      <w:u w:val="single"/>
    </w:rPr>
  </w:style>
  <w:style w:type="paragraph" w:styleId="En-tte">
    <w:name w:val="header"/>
    <w:basedOn w:val="Normal"/>
    <w:link w:val="En-tteCar"/>
    <w:unhideWhenUsed/>
    <w:rsid w:val="00E6656E"/>
    <w:pPr>
      <w:tabs>
        <w:tab w:val="center" w:pos="4536"/>
        <w:tab w:val="right" w:pos="9072"/>
      </w:tabs>
    </w:pPr>
  </w:style>
  <w:style w:type="character" w:customStyle="1" w:styleId="En-tteCar">
    <w:name w:val="En-tête Car"/>
    <w:basedOn w:val="Policepardfaut"/>
    <w:link w:val="En-tte"/>
    <w:rsid w:val="00E6656E"/>
    <w:rPr>
      <w:rFonts w:ascii="Times New Roman" w:eastAsia="Times New Roman" w:hAnsi="Times New Roman" w:cs="Times New Roman"/>
      <w:sz w:val="24"/>
      <w:szCs w:val="24"/>
      <w:lang w:eastAsia="fr-FR"/>
    </w:rPr>
  </w:style>
  <w:style w:type="paragraph" w:styleId="Pieddepage">
    <w:name w:val="footer"/>
    <w:basedOn w:val="Normal"/>
    <w:link w:val="PieddepageCar"/>
    <w:uiPriority w:val="99"/>
    <w:unhideWhenUsed/>
    <w:rsid w:val="00E6656E"/>
    <w:pPr>
      <w:tabs>
        <w:tab w:val="center" w:pos="4536"/>
        <w:tab w:val="right" w:pos="9072"/>
      </w:tabs>
    </w:pPr>
  </w:style>
  <w:style w:type="character" w:customStyle="1" w:styleId="PieddepageCar">
    <w:name w:val="Pied de page Car"/>
    <w:basedOn w:val="Policepardfaut"/>
    <w:link w:val="Pieddepage"/>
    <w:uiPriority w:val="99"/>
    <w:rsid w:val="00E6656E"/>
    <w:rPr>
      <w:rFonts w:ascii="Times New Roman" w:eastAsia="Times New Roman" w:hAnsi="Times New Roman" w:cs="Times New Roman"/>
      <w:sz w:val="24"/>
      <w:szCs w:val="24"/>
      <w:lang w:eastAsia="fr-FR"/>
    </w:rPr>
  </w:style>
  <w:style w:type="paragraph" w:styleId="Lgende">
    <w:name w:val="caption"/>
    <w:basedOn w:val="Normal"/>
    <w:next w:val="Normal"/>
    <w:unhideWhenUsed/>
    <w:qFormat/>
    <w:rsid w:val="00E6656E"/>
    <w:rPr>
      <w:b/>
      <w:bCs/>
      <w:sz w:val="20"/>
      <w:szCs w:val="20"/>
    </w:rPr>
  </w:style>
  <w:style w:type="paragraph" w:styleId="Corpsdetexte">
    <w:name w:val="Body Text"/>
    <w:basedOn w:val="Normal"/>
    <w:link w:val="CorpsdetexteCar"/>
    <w:semiHidden/>
    <w:unhideWhenUsed/>
    <w:rsid w:val="00E6656E"/>
    <w:pPr>
      <w:jc w:val="both"/>
    </w:pPr>
    <w:rPr>
      <w:rFonts w:ascii="Arial" w:hAnsi="Arial"/>
      <w:sz w:val="20"/>
    </w:rPr>
  </w:style>
  <w:style w:type="character" w:customStyle="1" w:styleId="CorpsdetexteCar">
    <w:name w:val="Corps de texte Car"/>
    <w:basedOn w:val="Policepardfaut"/>
    <w:link w:val="Corpsdetexte"/>
    <w:semiHidden/>
    <w:rsid w:val="00E6656E"/>
    <w:rPr>
      <w:rFonts w:ascii="Arial" w:eastAsia="Times New Roman" w:hAnsi="Arial" w:cs="Times New Roman"/>
      <w:sz w:val="20"/>
      <w:szCs w:val="24"/>
      <w:lang w:eastAsia="fr-FR"/>
    </w:rPr>
  </w:style>
  <w:style w:type="paragraph" w:styleId="Retraitcorpsdetexte">
    <w:name w:val="Body Text Indent"/>
    <w:basedOn w:val="Normal"/>
    <w:link w:val="RetraitcorpsdetexteCar"/>
    <w:uiPriority w:val="99"/>
    <w:semiHidden/>
    <w:unhideWhenUsed/>
    <w:rsid w:val="00E6656E"/>
    <w:pPr>
      <w:spacing w:after="120"/>
      <w:ind w:left="283"/>
    </w:pPr>
  </w:style>
  <w:style w:type="character" w:customStyle="1" w:styleId="RetraitcorpsdetexteCar">
    <w:name w:val="Retrait corps de texte Car"/>
    <w:basedOn w:val="Policepardfaut"/>
    <w:link w:val="Retraitcorpsdetexte"/>
    <w:uiPriority w:val="99"/>
    <w:semiHidden/>
    <w:rsid w:val="00E6656E"/>
    <w:rPr>
      <w:rFonts w:ascii="Times New Roman" w:eastAsia="Times New Roman" w:hAnsi="Times New Roman" w:cs="Times New Roman"/>
      <w:sz w:val="24"/>
      <w:szCs w:val="24"/>
      <w:lang w:eastAsia="fr-FR"/>
    </w:rPr>
  </w:style>
  <w:style w:type="paragraph" w:styleId="Corpsdetexte2">
    <w:name w:val="Body Text 2"/>
    <w:basedOn w:val="Normal"/>
    <w:link w:val="Corpsdetexte2Car"/>
    <w:uiPriority w:val="99"/>
    <w:unhideWhenUsed/>
    <w:rsid w:val="00E6656E"/>
    <w:pPr>
      <w:spacing w:after="120" w:line="480" w:lineRule="auto"/>
    </w:pPr>
  </w:style>
  <w:style w:type="character" w:customStyle="1" w:styleId="Corpsdetexte2Car">
    <w:name w:val="Corps de texte 2 Car"/>
    <w:basedOn w:val="Policepardfaut"/>
    <w:link w:val="Corpsdetexte2"/>
    <w:uiPriority w:val="99"/>
    <w:rsid w:val="00E6656E"/>
    <w:rPr>
      <w:rFonts w:ascii="Times New Roman" w:eastAsia="Times New Roman" w:hAnsi="Times New Roman" w:cs="Times New Roman"/>
      <w:sz w:val="24"/>
      <w:szCs w:val="24"/>
      <w:lang w:eastAsia="fr-FR"/>
    </w:rPr>
  </w:style>
  <w:style w:type="paragraph" w:styleId="Corpsdetexte3">
    <w:name w:val="Body Text 3"/>
    <w:basedOn w:val="Normal"/>
    <w:link w:val="Corpsdetexte3Car"/>
    <w:uiPriority w:val="99"/>
    <w:semiHidden/>
    <w:unhideWhenUsed/>
    <w:rsid w:val="00E6656E"/>
    <w:pPr>
      <w:spacing w:after="120"/>
    </w:pPr>
    <w:rPr>
      <w:sz w:val="16"/>
      <w:szCs w:val="16"/>
    </w:rPr>
  </w:style>
  <w:style w:type="character" w:customStyle="1" w:styleId="Corpsdetexte3Car">
    <w:name w:val="Corps de texte 3 Car"/>
    <w:basedOn w:val="Policepardfaut"/>
    <w:link w:val="Corpsdetexte3"/>
    <w:uiPriority w:val="99"/>
    <w:semiHidden/>
    <w:rsid w:val="00E6656E"/>
    <w:rPr>
      <w:rFonts w:ascii="Times New Roman" w:eastAsia="Times New Roman" w:hAnsi="Times New Roman" w:cs="Times New Roman"/>
      <w:sz w:val="16"/>
      <w:szCs w:val="16"/>
      <w:lang w:eastAsia="fr-FR"/>
    </w:rPr>
  </w:style>
  <w:style w:type="paragraph" w:styleId="Retraitcorpsdetexte2">
    <w:name w:val="Body Text Indent 2"/>
    <w:basedOn w:val="Normal"/>
    <w:link w:val="Retraitcorpsdetexte2Car"/>
    <w:uiPriority w:val="99"/>
    <w:semiHidden/>
    <w:unhideWhenUsed/>
    <w:rsid w:val="00E6656E"/>
    <w:pPr>
      <w:spacing w:after="120" w:line="480" w:lineRule="auto"/>
      <w:ind w:left="283"/>
    </w:pPr>
  </w:style>
  <w:style w:type="character" w:customStyle="1" w:styleId="Retraitcorpsdetexte2Car">
    <w:name w:val="Retrait corps de texte 2 Car"/>
    <w:basedOn w:val="Policepardfaut"/>
    <w:link w:val="Retraitcorpsdetexte2"/>
    <w:uiPriority w:val="99"/>
    <w:semiHidden/>
    <w:rsid w:val="00E6656E"/>
    <w:rPr>
      <w:rFonts w:ascii="Times New Roman" w:eastAsia="Times New Roman" w:hAnsi="Times New Roman" w:cs="Times New Roman"/>
      <w:sz w:val="24"/>
      <w:szCs w:val="24"/>
      <w:lang w:eastAsia="fr-FR"/>
    </w:rPr>
  </w:style>
  <w:style w:type="character" w:customStyle="1" w:styleId="SansinterligneCar">
    <w:name w:val="Sans interligne Car"/>
    <w:link w:val="Sansinterligne"/>
    <w:uiPriority w:val="1"/>
    <w:locked/>
    <w:rsid w:val="00E6656E"/>
  </w:style>
  <w:style w:type="paragraph" w:styleId="Sansinterligne">
    <w:name w:val="No Spacing"/>
    <w:link w:val="SansinterligneCar"/>
    <w:uiPriority w:val="1"/>
    <w:qFormat/>
    <w:rsid w:val="00E6656E"/>
    <w:pPr>
      <w:spacing w:after="0" w:line="240" w:lineRule="auto"/>
    </w:pPr>
  </w:style>
  <w:style w:type="paragraph" w:styleId="Paragraphedeliste">
    <w:name w:val="List Paragraph"/>
    <w:basedOn w:val="Normal"/>
    <w:uiPriority w:val="34"/>
    <w:qFormat/>
    <w:rsid w:val="00E6656E"/>
    <w:pPr>
      <w:spacing w:after="200" w:line="276" w:lineRule="auto"/>
      <w:ind w:left="720"/>
      <w:contextualSpacing/>
    </w:pPr>
    <w:rPr>
      <w:rFonts w:ascii="Calibri" w:hAnsi="Calibri"/>
      <w:sz w:val="22"/>
      <w:szCs w:val="22"/>
      <w:lang w:eastAsia="en-US"/>
    </w:rPr>
  </w:style>
  <w:style w:type="paragraph" w:customStyle="1" w:styleId="Standard">
    <w:name w:val="Standard"/>
    <w:rsid w:val="00E6656E"/>
    <w:pPr>
      <w:suppressAutoHyphens/>
      <w:autoSpaceDN w:val="0"/>
      <w:spacing w:after="200" w:line="276" w:lineRule="auto"/>
    </w:pPr>
    <w:rPr>
      <w:rFonts w:ascii="Calibri" w:eastAsia="DejaVu Sans" w:hAnsi="Calibri" w:cs="F"/>
      <w:kern w:val="3"/>
    </w:rPr>
  </w:style>
  <w:style w:type="paragraph" w:styleId="Textedebulles">
    <w:name w:val="Balloon Text"/>
    <w:basedOn w:val="Normal"/>
    <w:link w:val="TextedebullesCar"/>
    <w:uiPriority w:val="99"/>
    <w:semiHidden/>
    <w:unhideWhenUsed/>
    <w:rsid w:val="00E6656E"/>
    <w:rPr>
      <w:rFonts w:ascii="Tahoma" w:hAnsi="Tahoma"/>
      <w:sz w:val="16"/>
      <w:szCs w:val="16"/>
    </w:rPr>
  </w:style>
  <w:style w:type="character" w:customStyle="1" w:styleId="TextedebullesCar">
    <w:name w:val="Texte de bulles Car"/>
    <w:basedOn w:val="Policepardfaut"/>
    <w:link w:val="Textedebulles"/>
    <w:uiPriority w:val="99"/>
    <w:semiHidden/>
    <w:rsid w:val="00E6656E"/>
    <w:rPr>
      <w:rFonts w:ascii="Tahoma" w:eastAsia="Times New Roman" w:hAnsi="Tahoma" w:cs="Times New Roman"/>
      <w:sz w:val="16"/>
      <w:szCs w:val="16"/>
      <w:lang w:eastAsia="fr-FR"/>
    </w:rPr>
  </w:style>
  <w:style w:type="character" w:styleId="lev">
    <w:name w:val="Strong"/>
    <w:basedOn w:val="Policepardfaut"/>
    <w:uiPriority w:val="22"/>
    <w:qFormat/>
    <w:rsid w:val="00413DF8"/>
    <w:rPr>
      <w:b/>
      <w:bCs/>
    </w:rPr>
  </w:style>
  <w:style w:type="table" w:customStyle="1" w:styleId="PlainTable4">
    <w:name w:val="Plain Table 4"/>
    <w:basedOn w:val="TableauNormal"/>
    <w:uiPriority w:val="44"/>
    <w:rsid w:val="000C7C0A"/>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UnresolvedMention">
    <w:name w:val="Unresolved Mention"/>
    <w:basedOn w:val="Policepardfaut"/>
    <w:uiPriority w:val="99"/>
    <w:semiHidden/>
    <w:unhideWhenUsed/>
    <w:rsid w:val="007A213E"/>
    <w:rPr>
      <w:color w:val="605E5C"/>
      <w:shd w:val="clear" w:color="auto" w:fill="E1DFDD"/>
    </w:rPr>
  </w:style>
  <w:style w:type="paragraph" w:customStyle="1" w:styleId="Default">
    <w:name w:val="Default"/>
    <w:rsid w:val="003C2CCE"/>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A2">
    <w:name w:val="A2"/>
    <w:uiPriority w:val="99"/>
    <w:rsid w:val="003C2CCE"/>
    <w:rPr>
      <w:color w:val="000000"/>
    </w:rPr>
  </w:style>
  <w:style w:type="character" w:customStyle="1" w:styleId="A4">
    <w:name w:val="A4"/>
    <w:uiPriority w:val="99"/>
    <w:rsid w:val="001930CE"/>
    <w:rPr>
      <w:color w:val="000000"/>
      <w:sz w:val="20"/>
      <w:szCs w:val="20"/>
    </w:rPr>
  </w:style>
  <w:style w:type="table" w:styleId="Grilledutableau">
    <w:name w:val="Table Grid"/>
    <w:basedOn w:val="TableauNormal"/>
    <w:uiPriority w:val="39"/>
    <w:rsid w:val="00D905D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stemoyenne1-Accent11">
    <w:name w:val="Liste moyenne 1 - Accent 11"/>
    <w:basedOn w:val="TableauNormal"/>
    <w:uiPriority w:val="65"/>
    <w:rsid w:val="001C5D6F"/>
    <w:pPr>
      <w:spacing w:after="0" w:line="240" w:lineRule="auto"/>
    </w:pPr>
    <w:rPr>
      <w:color w:val="000000" w:themeColor="text1"/>
    </w:rPr>
    <w:tblPr>
      <w:tblStyleRowBandSize w:val="1"/>
      <w:tblStyleColBandSize w:val="1"/>
      <w:tblInd w:w="0" w:type="dxa"/>
      <w:tblBorders>
        <w:top w:val="single" w:sz="8" w:space="0" w:color="4472C4" w:themeColor="accent1"/>
        <w:bottom w:val="single" w:sz="8" w:space="0" w:color="4472C4"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472C4" w:themeColor="accent1"/>
        </w:tcBorders>
      </w:tcPr>
    </w:tblStylePr>
    <w:tblStylePr w:type="lastRow">
      <w:rPr>
        <w:b/>
        <w:bCs/>
        <w:color w:val="44546A" w:themeColor="text2"/>
      </w:rPr>
      <w:tblPr/>
      <w:tcPr>
        <w:tcBorders>
          <w:top w:val="single" w:sz="8" w:space="0" w:color="4472C4" w:themeColor="accent1"/>
          <w:bottom w:val="single" w:sz="8" w:space="0" w:color="4472C4" w:themeColor="accent1"/>
        </w:tcBorders>
      </w:tcPr>
    </w:tblStylePr>
    <w:tblStylePr w:type="firstCol">
      <w:rPr>
        <w:b/>
        <w:bCs/>
      </w:rPr>
    </w:tblStylePr>
    <w:tblStylePr w:type="lastCol">
      <w:rPr>
        <w:b/>
        <w:bCs/>
      </w:rPr>
      <w:tblPr/>
      <w:tcPr>
        <w:tcBorders>
          <w:top w:val="single" w:sz="8" w:space="0" w:color="4472C4" w:themeColor="accent1"/>
          <w:bottom w:val="single" w:sz="8" w:space="0" w:color="4472C4" w:themeColor="accent1"/>
        </w:tcBorders>
      </w:tcPr>
    </w:tblStylePr>
    <w:tblStylePr w:type="band1Vert">
      <w:tblPr/>
      <w:tcPr>
        <w:shd w:val="clear" w:color="auto" w:fill="D0DBF0" w:themeFill="accent1" w:themeFillTint="3F"/>
      </w:tcPr>
    </w:tblStylePr>
    <w:tblStylePr w:type="band1Horz">
      <w:tblPr/>
      <w:tcPr>
        <w:shd w:val="clear" w:color="auto" w:fill="D0DBF0" w:themeFill="accent1" w:themeFillTint="3F"/>
      </w:tcPr>
    </w:tblStylePr>
  </w:style>
  <w:style w:type="table" w:customStyle="1" w:styleId="Listemoyenne11">
    <w:name w:val="Liste moyenne 11"/>
    <w:basedOn w:val="TableauNormal"/>
    <w:uiPriority w:val="65"/>
    <w:rsid w:val="001C5D6F"/>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44546A"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idiniako@gmail.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em-consulte.com/en/article/114631" TargetMode="Externa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http://www.hsd-fmsb.org"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185</TotalTime>
  <Pages>7</Pages>
  <Words>4798</Words>
  <Characters>26392</Characters>
  <Application>Microsoft Office Word</Application>
  <DocSecurity>0</DocSecurity>
  <Lines>219</Lines>
  <Paragraphs>62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31128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M.SYLLA</dc:creator>
  <cp:lastModifiedBy>NAS</cp:lastModifiedBy>
  <cp:revision>12</cp:revision>
  <dcterms:created xsi:type="dcterms:W3CDTF">2020-10-19T11:27:00Z</dcterms:created>
  <dcterms:modified xsi:type="dcterms:W3CDTF">2020-10-20T06:48:00Z</dcterms:modified>
</cp:coreProperties>
</file>