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60" w:after="120" w:line="260" w:lineRule="auto"/>
        <w:textAlignment w:val="auto"/>
        <w:rPr>
          <w:rFonts w:ascii="Times New Roman" w:hAnsi="Times New Roman"/>
          <w:b/>
          <w:sz w:val="24"/>
          <w:lang w:val="en-US"/>
        </w:rPr>
      </w:pPr>
      <w:r>
        <w:rPr>
          <w:rFonts w:ascii="Times New Roman" w:hAnsi="Times New Roman"/>
          <w:sz w:val="24"/>
          <w:lang w:eastAsia="fr-FR"/>
        </w:rPr>
        <w:drawing>
          <wp:anchor distT="0" distB="0" distL="114300" distR="114300" simplePos="0" relativeHeight="251801600" behindDoc="1" locked="0" layoutInCell="1" allowOverlap="1">
            <wp:simplePos x="0" y="0"/>
            <wp:positionH relativeFrom="column">
              <wp:posOffset>-110490</wp:posOffset>
            </wp:positionH>
            <wp:positionV relativeFrom="paragraph">
              <wp:posOffset>-27940</wp:posOffset>
            </wp:positionV>
            <wp:extent cx="6438900" cy="562610"/>
            <wp:effectExtent l="0" t="0" r="0" b="8890"/>
            <wp:wrapTight wrapText="bothSides">
              <wp:wrapPolygon>
                <wp:start x="0" y="0"/>
                <wp:lineTo x="0" y="21210"/>
                <wp:lineTo x="21536" y="21210"/>
                <wp:lineTo x="21536" y="0"/>
                <wp:lineTo x="0" y="0"/>
              </wp:wrapPolygon>
            </wp:wrapTight>
            <wp:docPr id="6" name="Picture 2" descr="C:\Users\23767\Pictures\bannerhsd56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C:\Users\23767\Pictures\bannerhsd56jpg.png"/>
                    <pic:cNvPicPr>
                      <a:picLocks noChangeAspect="1" noChangeArrowheads="1"/>
                    </pic:cNvPicPr>
                  </pic:nvPicPr>
                  <pic:blipFill>
                    <a:blip r:embed="rId6" cstate="print"/>
                    <a:srcRect t="10641" b="4082"/>
                    <a:stretch>
                      <a:fillRect/>
                    </a:stretch>
                  </pic:blipFill>
                  <pic:spPr>
                    <a:xfrm>
                      <a:off x="0" y="0"/>
                      <a:ext cx="6438900" cy="562610"/>
                    </a:xfrm>
                    <a:prstGeom prst="rect">
                      <a:avLst/>
                    </a:prstGeom>
                    <a:noFill/>
                    <a:ln w="9525">
                      <a:noFill/>
                      <a:miter lim="800000"/>
                      <a:headEnd/>
                      <a:tailEnd/>
                    </a:ln>
                  </pic:spPr>
                </pic:pic>
              </a:graphicData>
            </a:graphic>
          </wp:anchor>
        </w:drawing>
      </w:r>
      <w:r>
        <w:rPr>
          <w:rFonts w:ascii="Times New Roman" w:hAnsi="Times New Roman"/>
          <w:b/>
          <w:sz w:val="24"/>
          <w:lang w:val="en-US"/>
        </w:rPr>
        <w:t>Article Original</w:t>
      </w:r>
    </w:p>
    <w:p>
      <w:pPr>
        <w:spacing w:after="0" w:line="240" w:lineRule="auto"/>
        <w:jc w:val="center"/>
        <w:rPr>
          <w:rFonts w:ascii="Times New Roman" w:hAnsi="Times New Roman" w:eastAsia="Times New Roman"/>
          <w:b/>
          <w:bCs/>
          <w:color w:val="17365D"/>
          <w:spacing w:val="5"/>
          <w:sz w:val="32"/>
          <w:szCs w:val="72"/>
        </w:rPr>
      </w:pPr>
      <w:r>
        <w:rPr>
          <w:rFonts w:hint="default" w:ascii="Times New Roman" w:hAnsi="Times New Roman" w:eastAsia="Times New Roman"/>
          <w:b/>
          <w:bCs/>
          <w:color w:val="17365D"/>
          <w:spacing w:val="5"/>
          <w:sz w:val="32"/>
          <w:szCs w:val="72"/>
        </w:rPr>
        <w:t xml:space="preserve">Prise en </w:t>
      </w:r>
      <w:r>
        <w:rPr>
          <w:rFonts w:hint="default" w:ascii="Times New Roman" w:hAnsi="Times New Roman" w:eastAsia="Times New Roman"/>
          <w:b/>
          <w:bCs/>
          <w:color w:val="17365D"/>
          <w:spacing w:val="5"/>
          <w:sz w:val="32"/>
          <w:szCs w:val="72"/>
          <w:lang w:val="fr-FR"/>
        </w:rPr>
        <w:t>C</w:t>
      </w:r>
      <w:r>
        <w:rPr>
          <w:rFonts w:hint="default" w:ascii="Times New Roman" w:hAnsi="Times New Roman" w:eastAsia="Times New Roman"/>
          <w:b/>
          <w:bCs/>
          <w:color w:val="17365D"/>
          <w:spacing w:val="5"/>
          <w:sz w:val="32"/>
          <w:szCs w:val="72"/>
        </w:rPr>
        <w:t xml:space="preserve">harge de la </w:t>
      </w:r>
      <w:r>
        <w:rPr>
          <w:rFonts w:hint="default" w:ascii="Times New Roman" w:hAnsi="Times New Roman" w:eastAsia="Times New Roman"/>
          <w:b/>
          <w:bCs/>
          <w:color w:val="17365D"/>
          <w:spacing w:val="5"/>
          <w:sz w:val="32"/>
          <w:szCs w:val="72"/>
          <w:lang w:val="fr-FR"/>
        </w:rPr>
        <w:t>P</w:t>
      </w:r>
      <w:r>
        <w:rPr>
          <w:rFonts w:hint="default" w:ascii="Times New Roman" w:hAnsi="Times New Roman" w:eastAsia="Times New Roman"/>
          <w:b/>
          <w:bCs/>
          <w:color w:val="17365D"/>
          <w:spacing w:val="5"/>
          <w:sz w:val="32"/>
          <w:szCs w:val="72"/>
        </w:rPr>
        <w:t>yonéphrose au CHU de Brazzaville</w:t>
      </w:r>
    </w:p>
    <w:p>
      <w:pPr>
        <w:spacing w:line="240" w:lineRule="auto"/>
        <w:jc w:val="center"/>
        <w:rPr>
          <w:rFonts w:hint="default" w:ascii="Times New Roman" w:hAnsi="Times New Roman" w:eastAsia="Times New Roman"/>
          <w:b/>
          <w:bCs/>
          <w:i/>
          <w:iCs/>
          <w:color w:val="4F81BD"/>
          <w:spacing w:val="15"/>
          <w:lang w:val="fr-FR" w:bidi="en-US"/>
        </w:rPr>
      </w:pPr>
      <w:r>
        <w:rPr>
          <w:rFonts w:hint="default" w:ascii="Times New Roman" w:hAnsi="Times New Roman" w:eastAsia="Times New Roman"/>
          <w:b/>
          <w:bCs/>
          <w:i/>
          <w:iCs/>
          <w:color w:val="4F81BD"/>
          <w:spacing w:val="15"/>
          <w:lang w:val="fr-FR" w:bidi="en-US"/>
        </w:rPr>
        <w:t>Management of pyonéphrosis at University Teaching Hospital of Brazzaville</w:t>
      </w:r>
    </w:p>
    <w:p>
      <w:pPr>
        <w:spacing w:after="0" w:line="240" w:lineRule="auto"/>
        <w:jc w:val="center"/>
        <w:rPr>
          <w:rFonts w:hint="default" w:ascii="Times New Roman" w:hAnsi="Times New Roman"/>
          <w:sz w:val="24"/>
          <w:szCs w:val="20"/>
          <w:vertAlign w:val="superscript"/>
          <w:lang w:val="fr-FR"/>
        </w:rPr>
      </w:pPr>
      <w:r>
        <w:rPr>
          <w:rFonts w:hint="default" w:ascii="Times New Roman" w:hAnsi="Times New Roman"/>
          <w:sz w:val="24"/>
          <w:szCs w:val="20"/>
        </w:rPr>
        <w:t xml:space="preserve">Ondongo Atipo AM, Ondziel Opara AS, Banga Mouss RB, Service M, Dimi Nianga IY, Odzébé AWS, </w:t>
      </w:r>
      <w:bookmarkStart w:id="0" w:name="_GoBack"/>
      <w:r>
        <w:rPr>
          <w:rFonts w:hint="default" w:ascii="Times New Roman" w:hAnsi="Times New Roman"/>
          <w:sz w:val="24"/>
          <w:szCs w:val="20"/>
        </w:rPr>
        <w:t>Bouya</w:t>
      </w:r>
      <w:bookmarkEnd w:id="0"/>
      <w:r>
        <w:rPr>
          <w:rFonts w:hint="default" w:ascii="Times New Roman" w:hAnsi="Times New Roman"/>
          <w:sz w:val="24"/>
          <w:szCs w:val="20"/>
        </w:rPr>
        <w:t xml:space="preserve"> PA</w:t>
      </w:r>
    </w:p>
    <w:tbl>
      <w:tblPr>
        <w:tblStyle w:val="7"/>
        <w:tblW w:w="10173" w:type="dxa"/>
        <w:tblInd w:w="0" w:type="dxa"/>
        <w:tblLayout w:type="fixed"/>
        <w:tblCellMar>
          <w:top w:w="0" w:type="dxa"/>
          <w:left w:w="108" w:type="dxa"/>
          <w:bottom w:w="0" w:type="dxa"/>
          <w:right w:w="108" w:type="dxa"/>
        </w:tblCellMar>
      </w:tblPr>
      <w:tblGrid>
        <w:gridCol w:w="3085"/>
        <w:gridCol w:w="7088"/>
      </w:tblGrid>
      <w:tr>
        <w:tblPrEx>
          <w:tblLayout w:type="fixed"/>
          <w:tblCellMar>
            <w:top w:w="0" w:type="dxa"/>
            <w:left w:w="108" w:type="dxa"/>
            <w:bottom w:w="0" w:type="dxa"/>
            <w:right w:w="108" w:type="dxa"/>
          </w:tblCellMar>
        </w:tblPrEx>
        <w:trPr>
          <w:trHeight w:val="158" w:hRule="atLeast"/>
        </w:trPr>
        <w:tc>
          <w:tcPr>
            <w:tcW w:w="3085" w:type="dxa"/>
          </w:tcPr>
          <w:p>
            <w:pPr>
              <w:spacing w:after="0" w:line="240" w:lineRule="auto"/>
              <w:rPr>
                <w:b/>
                <w:bCs/>
                <w:color w:val="365F91"/>
                <w:sz w:val="20"/>
                <w:szCs w:val="18"/>
              </w:rPr>
            </w:pPr>
          </w:p>
        </w:tc>
        <w:tc>
          <w:tcPr>
            <w:tcW w:w="7088" w:type="dxa"/>
          </w:tcPr>
          <w:p>
            <w:pPr>
              <w:spacing w:after="0" w:line="240" w:lineRule="auto"/>
              <w:jc w:val="both"/>
              <w:rPr>
                <w:rFonts w:ascii="Times New Roman" w:hAnsi="Times New Roman"/>
                <w:bCs/>
                <w:iCs/>
                <w:sz w:val="20"/>
                <w:szCs w:val="18"/>
              </w:rPr>
            </w:pPr>
          </w:p>
        </w:tc>
      </w:tr>
      <w:tr>
        <w:tblPrEx>
          <w:tblLayout w:type="fixed"/>
          <w:tblCellMar>
            <w:top w:w="0" w:type="dxa"/>
            <w:left w:w="108" w:type="dxa"/>
            <w:bottom w:w="0" w:type="dxa"/>
            <w:right w:w="108" w:type="dxa"/>
          </w:tblCellMar>
        </w:tblPrEx>
        <w:trPr>
          <w:trHeight w:val="98" w:hRule="atLeast"/>
        </w:trPr>
        <w:tc>
          <w:tcPr>
            <w:tcW w:w="3085" w:type="dxa"/>
            <w:vMerge w:val="restart"/>
            <w:shd w:val="clear" w:color="auto" w:fill="D3DFEE"/>
          </w:tcPr>
          <w:p>
            <w:pPr>
              <w:rPr>
                <w:b/>
                <w:bCs/>
                <w:color w:val="365F91"/>
                <w:sz w:val="20"/>
                <w:szCs w:val="18"/>
                <w:vertAlign w:val="superscript"/>
              </w:rPr>
            </w:pPr>
            <w:r>
              <w:rPr>
                <w:bCs/>
                <w:color w:val="5A5A5A"/>
                <w:sz w:val="20"/>
                <w:szCs w:val="20"/>
                <w:lang w:val="en-US"/>
              </w:rPr>
              <mc:AlternateContent>
                <mc:Choice Requires="wps">
                  <w:drawing>
                    <wp:anchor distT="0" distB="0" distL="114300" distR="114300" simplePos="0" relativeHeight="251800576" behindDoc="0" locked="0" layoutInCell="1" allowOverlap="1">
                      <wp:simplePos x="0" y="0"/>
                      <wp:positionH relativeFrom="column">
                        <wp:posOffset>41910</wp:posOffset>
                      </wp:positionH>
                      <wp:positionV relativeFrom="paragraph">
                        <wp:posOffset>144145</wp:posOffset>
                      </wp:positionV>
                      <wp:extent cx="1746250" cy="4034155"/>
                      <wp:effectExtent l="0" t="0" r="6350" b="4445"/>
                      <wp:wrapNone/>
                      <wp:docPr id="5" name="Zone de texte 5"/>
                      <wp:cNvGraphicFramePr/>
                      <a:graphic xmlns:a="http://schemas.openxmlformats.org/drawingml/2006/main">
                        <a:graphicData uri="http://schemas.microsoft.com/office/word/2010/wordprocessingShape">
                          <wps:wsp>
                            <wps:cNvSpPr txBox="1">
                              <a:spLocks noChangeArrowheads="1"/>
                            </wps:cNvSpPr>
                            <wps:spPr bwMode="auto">
                              <a:xfrm>
                                <a:off x="0" y="0"/>
                                <a:ext cx="1873250" cy="4235450"/>
                              </a:xfrm>
                              <a:prstGeom prst="rect">
                                <a:avLst/>
                              </a:prstGeom>
                              <a:solidFill>
                                <a:srgbClr val="FFFFFF"/>
                              </a:solidFill>
                              <a:ln>
                                <a:noFill/>
                              </a:ln>
                              <a:effectLst/>
                            </wps:spPr>
                            <wps:txbx>
                              <w:txbxContent>
                                <w:p>
                                  <w:pPr>
                                    <w:pStyle w:val="9"/>
                                    <w:numPr>
                                      <w:ilvl w:val="0"/>
                                      <w:numId w:val="1"/>
                                    </w:numPr>
                                    <w:spacing w:after="0" w:line="240" w:lineRule="auto"/>
                                    <w:ind w:left="426"/>
                                    <w:contextualSpacing w:val="0"/>
                                    <w:rPr>
                                      <w:rFonts w:ascii="Times New Roman" w:hAnsi="Times New Roman"/>
                                      <w:sz w:val="18"/>
                                      <w:szCs w:val="20"/>
                                    </w:rPr>
                                  </w:pPr>
                                </w:p>
                                <w:p>
                                  <w:pPr>
                                    <w:pStyle w:val="9"/>
                                    <w:numPr>
                                      <w:ilvl w:val="0"/>
                                      <w:numId w:val="0"/>
                                    </w:numPr>
                                    <w:spacing w:after="0" w:line="240" w:lineRule="auto"/>
                                    <w:contextualSpacing w:val="0"/>
                                    <w:rPr>
                                      <w:rFonts w:ascii="Times New Roman" w:hAnsi="Times New Roman"/>
                                      <w:sz w:val="18"/>
                                      <w:szCs w:val="20"/>
                                    </w:rPr>
                                  </w:pPr>
                                </w:p>
                                <w:p>
                                  <w:pPr>
                                    <w:pStyle w:val="9"/>
                                    <w:numPr>
                                      <w:ilvl w:val="0"/>
                                      <w:numId w:val="1"/>
                                    </w:numPr>
                                    <w:spacing w:after="0" w:line="240" w:lineRule="auto"/>
                                    <w:ind w:left="426"/>
                                    <w:contextualSpacing w:val="0"/>
                                    <w:rPr>
                                      <w:rFonts w:ascii="Times New Roman" w:hAnsi="Times New Roman"/>
                                      <w:sz w:val="18"/>
                                      <w:szCs w:val="20"/>
                                    </w:rPr>
                                  </w:pPr>
                                </w:p>
                                <w:p>
                                  <w:pPr>
                                    <w:spacing w:after="0" w:line="240" w:lineRule="auto"/>
                                    <w:rPr>
                                      <w:rFonts w:ascii="Times New Roman" w:hAnsi="Times New Roman"/>
                                      <w:sz w:val="18"/>
                                      <w:szCs w:val="20"/>
                                    </w:rPr>
                                  </w:pPr>
                                </w:p>
                                <w:p>
                                  <w:pPr>
                                    <w:spacing w:after="0" w:line="240" w:lineRule="auto"/>
                                    <w:ind w:left="6" w:leftChars="0" w:hanging="6" w:firstLineChars="0"/>
                                    <w:rPr>
                                      <w:rFonts w:ascii="Times New Roman" w:hAnsi="Times New Roman"/>
                                      <w:sz w:val="18"/>
                                      <w:szCs w:val="20"/>
                                    </w:rPr>
                                  </w:pPr>
                                  <w:r>
                                    <w:rPr>
                                      <w:rFonts w:ascii="Times New Roman" w:hAnsi="Times New Roman"/>
                                      <w:b/>
                                      <w:sz w:val="18"/>
                                      <w:szCs w:val="20"/>
                                    </w:rPr>
                                    <w:t>Auteur correspondan</w:t>
                                  </w:r>
                                  <w:r>
                                    <w:rPr>
                                      <w:rFonts w:ascii="Times New Roman" w:hAnsi="Times New Roman"/>
                                      <w:sz w:val="18"/>
                                      <w:szCs w:val="20"/>
                                    </w:rPr>
                                    <w:t>t :</w:t>
                                  </w:r>
                                </w:p>
                                <w:p>
                                  <w:pPr>
                                    <w:spacing w:after="0" w:line="240" w:lineRule="auto"/>
                                    <w:ind w:left="6" w:leftChars="0" w:hanging="6" w:firstLineChars="0"/>
                                    <w:rPr>
                                      <w:rFonts w:hint="default" w:ascii="Times New Roman" w:hAnsi="Times New Roman"/>
                                      <w:sz w:val="18"/>
                                      <w:szCs w:val="20"/>
                                    </w:rPr>
                                  </w:pPr>
                                  <w:r>
                                    <w:rPr>
                                      <w:rFonts w:hint="default" w:ascii="Times New Roman" w:hAnsi="Times New Roman"/>
                                      <w:sz w:val="18"/>
                                      <w:szCs w:val="20"/>
                                      <w:lang w:val="fr-FR"/>
                                    </w:rPr>
                                    <w:t>P</w:t>
                                  </w:r>
                                  <w:r>
                                    <w:rPr>
                                      <w:rFonts w:ascii="Times New Roman" w:hAnsi="Times New Roman"/>
                                      <w:sz w:val="18"/>
                                      <w:szCs w:val="20"/>
                                    </w:rPr>
                                    <w:t xml:space="preserve">r </w:t>
                                  </w:r>
                                  <w:r>
                                    <w:rPr>
                                      <w:rFonts w:hint="default" w:ascii="Times New Roman" w:hAnsi="Times New Roman" w:cs="Times New Roman"/>
                                      <w:b w:val="0"/>
                                      <w:bCs/>
                                      <w:sz w:val="18"/>
                                      <w:szCs w:val="18"/>
                                    </w:rPr>
                                    <w:t>ODZEBE AWS</w:t>
                                  </w:r>
                                </w:p>
                                <w:p>
                                  <w:pPr>
                                    <w:spacing w:after="0" w:line="240" w:lineRule="auto"/>
                                    <w:ind w:left="6" w:leftChars="0" w:hanging="6" w:firstLineChars="0"/>
                                    <w:rPr>
                                      <w:rFonts w:hint="default" w:ascii="Times New Roman" w:hAnsi="Times New Roman"/>
                                      <w:sz w:val="18"/>
                                      <w:szCs w:val="20"/>
                                      <w:lang w:val="fr-FR"/>
                                    </w:rPr>
                                  </w:pPr>
                                  <w:r>
                                    <w:rPr>
                                      <w:rFonts w:ascii="Times New Roman" w:hAnsi="Times New Roman"/>
                                      <w:sz w:val="18"/>
                                      <w:szCs w:val="20"/>
                                    </w:rPr>
                                    <w:t>Adresse e-mail :</w:t>
                                  </w:r>
                                  <w:r>
                                    <w:rPr>
                                      <w:rFonts w:hint="default" w:ascii="Times New Roman" w:hAnsi="Times New Roman"/>
                                      <w:sz w:val="18"/>
                                      <w:szCs w:val="20"/>
                                      <w:lang w:val="fr-FR"/>
                                    </w:rPr>
                                    <w:t xml:space="preserve"> </w:t>
                                  </w:r>
                                  <w:r>
                                    <w:rPr>
                                      <w:rFonts w:hint="default" w:ascii="Times New Roman" w:hAnsi="Times New Roman"/>
                                      <w:sz w:val="18"/>
                                      <w:szCs w:val="20"/>
                                      <w:lang w:val="fr-FR"/>
                                    </w:rPr>
                                    <w:fldChar w:fldCharType="begin"/>
                                  </w:r>
                                  <w:r>
                                    <w:rPr>
                                      <w:rFonts w:hint="default" w:ascii="Times New Roman" w:hAnsi="Times New Roman"/>
                                      <w:sz w:val="18"/>
                                      <w:szCs w:val="20"/>
                                      <w:lang w:val="fr-FR"/>
                                    </w:rPr>
                                    <w:instrText xml:space="preserve"> HYPERLINK "mailto:odzebe_s@yahoo.fr" </w:instrText>
                                  </w:r>
                                  <w:r>
                                    <w:rPr>
                                      <w:rFonts w:hint="default" w:ascii="Times New Roman" w:hAnsi="Times New Roman"/>
                                      <w:sz w:val="18"/>
                                      <w:szCs w:val="20"/>
                                      <w:lang w:val="fr-FR"/>
                                    </w:rPr>
                                    <w:fldChar w:fldCharType="separate"/>
                                  </w:r>
                                  <w:r>
                                    <w:rPr>
                                      <w:rStyle w:val="6"/>
                                      <w:rFonts w:hint="default" w:ascii="Times New Roman" w:hAnsi="Times New Roman"/>
                                      <w:sz w:val="18"/>
                                      <w:szCs w:val="20"/>
                                      <w:lang w:val="fr-FR"/>
                                    </w:rPr>
                                    <w:t>odzebe_s@yahoo.fr</w:t>
                                  </w:r>
                                  <w:r>
                                    <w:rPr>
                                      <w:rFonts w:hint="default" w:ascii="Times New Roman" w:hAnsi="Times New Roman"/>
                                      <w:sz w:val="18"/>
                                      <w:szCs w:val="20"/>
                                      <w:lang w:val="fr-FR"/>
                                    </w:rPr>
                                    <w:fldChar w:fldCharType="end"/>
                                  </w:r>
                                  <w:r>
                                    <w:rPr>
                                      <w:rFonts w:hint="default" w:ascii="Times New Roman" w:hAnsi="Times New Roman"/>
                                      <w:sz w:val="18"/>
                                      <w:szCs w:val="20"/>
                                      <w:lang w:val="fr-FR"/>
                                    </w:rPr>
                                    <w:t xml:space="preserve"> </w:t>
                                  </w:r>
                                </w:p>
                                <w:p>
                                  <w:pPr>
                                    <w:spacing w:after="0" w:line="240" w:lineRule="auto"/>
                                    <w:ind w:left="0" w:leftChars="0" w:firstLine="0" w:firstLineChars="0"/>
                                    <w:rPr>
                                      <w:rFonts w:ascii="Times New Roman" w:hAnsi="Times New Roman"/>
                                      <w:sz w:val="18"/>
                                      <w:szCs w:val="20"/>
                                    </w:rPr>
                                  </w:pPr>
                                  <w:r>
                                    <w:rPr>
                                      <w:rFonts w:ascii="Times New Roman" w:hAnsi="Times New Roman"/>
                                      <w:sz w:val="18"/>
                                      <w:szCs w:val="20"/>
                                    </w:rPr>
                                    <w:t>Boite postale :</w:t>
                                  </w:r>
                                </w:p>
                                <w:p>
                                  <w:pPr>
                                    <w:spacing w:after="0" w:line="240" w:lineRule="auto"/>
                                    <w:ind w:left="0" w:leftChars="0" w:firstLine="0" w:firstLineChars="0"/>
                                    <w:rPr>
                                      <w:rFonts w:ascii="Times New Roman" w:hAnsi="Times New Roman"/>
                                      <w:sz w:val="18"/>
                                      <w:szCs w:val="20"/>
                                    </w:rPr>
                                  </w:pPr>
                                </w:p>
                                <w:p>
                                  <w:pPr>
                                    <w:spacing w:after="0" w:line="240" w:lineRule="auto"/>
                                    <w:rPr>
                                      <w:rFonts w:hint="default" w:ascii="Times New Roman" w:hAnsi="Times New Roman"/>
                                      <w:sz w:val="18"/>
                                      <w:szCs w:val="20"/>
                                      <w:lang w:val="fr-FR"/>
                                    </w:rPr>
                                  </w:pPr>
                                  <w:r>
                                    <w:rPr>
                                      <w:rFonts w:ascii="Times New Roman" w:hAnsi="Times New Roman"/>
                                      <w:b/>
                                      <w:sz w:val="18"/>
                                      <w:szCs w:val="20"/>
                                    </w:rPr>
                                    <w:t xml:space="preserve">Mots-clés </w:t>
                                  </w:r>
                                  <w:r>
                                    <w:rPr>
                                      <w:rFonts w:ascii="Times New Roman" w:hAnsi="Times New Roman"/>
                                      <w:sz w:val="18"/>
                                      <w:szCs w:val="20"/>
                                    </w:rPr>
                                    <w:t xml:space="preserve">: </w:t>
                                  </w:r>
                                  <w:r>
                                    <w:rPr>
                                      <w:rFonts w:hint="default" w:ascii="Times New Roman" w:hAnsi="Times New Roman"/>
                                      <w:sz w:val="18"/>
                                      <w:szCs w:val="20"/>
                                      <w:lang w:val="fr-FR"/>
                                    </w:rPr>
                                    <w:t>P</w:t>
                                  </w:r>
                                  <w:r>
                                    <w:rPr>
                                      <w:rFonts w:hint="default" w:ascii="Times New Roman" w:hAnsi="Times New Roman"/>
                                      <w:sz w:val="18"/>
                                      <w:szCs w:val="20"/>
                                    </w:rPr>
                                    <w:t xml:space="preserve">yonéphroses, </w:t>
                                  </w:r>
                                  <w:r>
                                    <w:rPr>
                                      <w:rFonts w:hint="default" w:ascii="Times New Roman" w:hAnsi="Times New Roman"/>
                                      <w:sz w:val="18"/>
                                      <w:szCs w:val="20"/>
                                      <w:lang w:val="fr-FR"/>
                                    </w:rPr>
                                    <w:t>N</w:t>
                                  </w:r>
                                  <w:r>
                                    <w:rPr>
                                      <w:rFonts w:hint="default" w:ascii="Times New Roman" w:hAnsi="Times New Roman"/>
                                      <w:sz w:val="18"/>
                                      <w:szCs w:val="20"/>
                                    </w:rPr>
                                    <w:t>éphrectomie, CHU, Brazzaville</w:t>
                                  </w:r>
                                </w:p>
                                <w:p>
                                  <w:pPr>
                                    <w:spacing w:after="0" w:line="240" w:lineRule="auto"/>
                                    <w:rPr>
                                      <w:rFonts w:hint="default" w:ascii="Times New Roman" w:hAnsi="Times New Roman"/>
                                      <w:sz w:val="18"/>
                                      <w:szCs w:val="20"/>
                                    </w:rPr>
                                  </w:pPr>
                                </w:p>
                                <w:p>
                                  <w:pPr>
                                    <w:spacing w:after="0" w:line="240" w:lineRule="auto"/>
                                    <w:rPr>
                                      <w:rFonts w:hint="default" w:ascii="Times New Roman" w:hAnsi="Times New Roman"/>
                                      <w:sz w:val="20"/>
                                      <w:szCs w:val="20"/>
                                      <w:lang w:val="fr-FR"/>
                                    </w:rPr>
                                  </w:pPr>
                                  <w:r>
                                    <w:rPr>
                                      <w:rFonts w:ascii="Times New Roman" w:hAnsi="Times New Roman"/>
                                      <w:b/>
                                      <w:sz w:val="18"/>
                                      <w:szCs w:val="20"/>
                                      <w:lang w:val="en-US"/>
                                    </w:rPr>
                                    <w:t>Keywords</w:t>
                                  </w:r>
                                  <w:r>
                                    <w:rPr>
                                      <w:rFonts w:ascii="Times New Roman" w:hAnsi="Times New Roman"/>
                                      <w:sz w:val="18"/>
                                      <w:szCs w:val="20"/>
                                      <w:lang w:val="en-US"/>
                                    </w:rPr>
                                    <w:t xml:space="preserve">: </w:t>
                                  </w:r>
                                  <w:r>
                                    <w:rPr>
                                      <w:rFonts w:hint="default" w:ascii="Times New Roman" w:hAnsi="Times New Roman"/>
                                      <w:sz w:val="18"/>
                                      <w:szCs w:val="20"/>
                                      <w:lang w:val="fr-FR"/>
                                    </w:rPr>
                                    <w:t>Pyomephrosis, Nephrectomy, University Teaching Hospital, Brazzaville</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3pt;margin-top:11.35pt;height:317.65pt;width:137.5pt;z-index:251800576;mso-width-relative:page;mso-height-relative:page;" fillcolor="#FFFFFF" filled="t" stroked="f" coordsize="21600,21600" o:gfxdata="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bFnM41gAAAAgBAAAPAAAAAAAAAAEAIAAAACIAAABk&#10;cnMvZG93bnJldi54bWxQSwECFAAUAAAACACHTuJAN8r+ZggCAAADBAAADgAAAAAAAAABACAAAAAl&#10;AQAAZHJzL2Uyb0RvYy54bWxQSwUGAAAAAAYABgBZAQAAnwUAAAAA&#10;">
                      <v:fill on="t" focussize="0,0"/>
                      <v:stroke on="f"/>
                      <v:imagedata o:title=""/>
                      <o:lock v:ext="edit" aspectratio="f"/>
                      <v:textbox>
                        <w:txbxContent>
                          <w:p>
                            <w:pPr>
                              <w:pStyle w:val="9"/>
                              <w:numPr>
                                <w:ilvl w:val="0"/>
                                <w:numId w:val="1"/>
                              </w:numPr>
                              <w:spacing w:after="0" w:line="240" w:lineRule="auto"/>
                              <w:ind w:left="426"/>
                              <w:contextualSpacing w:val="0"/>
                              <w:rPr>
                                <w:rFonts w:ascii="Times New Roman" w:hAnsi="Times New Roman"/>
                                <w:sz w:val="18"/>
                                <w:szCs w:val="20"/>
                              </w:rPr>
                            </w:pPr>
                          </w:p>
                          <w:p>
                            <w:pPr>
                              <w:pStyle w:val="9"/>
                              <w:numPr>
                                <w:ilvl w:val="0"/>
                                <w:numId w:val="0"/>
                              </w:numPr>
                              <w:spacing w:after="0" w:line="240" w:lineRule="auto"/>
                              <w:contextualSpacing w:val="0"/>
                              <w:rPr>
                                <w:rFonts w:ascii="Times New Roman" w:hAnsi="Times New Roman"/>
                                <w:sz w:val="18"/>
                                <w:szCs w:val="20"/>
                              </w:rPr>
                            </w:pPr>
                          </w:p>
                          <w:p>
                            <w:pPr>
                              <w:pStyle w:val="9"/>
                              <w:numPr>
                                <w:ilvl w:val="0"/>
                                <w:numId w:val="1"/>
                              </w:numPr>
                              <w:spacing w:after="0" w:line="240" w:lineRule="auto"/>
                              <w:ind w:left="426"/>
                              <w:contextualSpacing w:val="0"/>
                              <w:rPr>
                                <w:rFonts w:ascii="Times New Roman" w:hAnsi="Times New Roman"/>
                                <w:sz w:val="18"/>
                                <w:szCs w:val="20"/>
                              </w:rPr>
                            </w:pPr>
                          </w:p>
                          <w:p>
                            <w:pPr>
                              <w:spacing w:after="0" w:line="240" w:lineRule="auto"/>
                              <w:rPr>
                                <w:rFonts w:ascii="Times New Roman" w:hAnsi="Times New Roman"/>
                                <w:sz w:val="18"/>
                                <w:szCs w:val="20"/>
                              </w:rPr>
                            </w:pPr>
                          </w:p>
                          <w:p>
                            <w:pPr>
                              <w:spacing w:after="0" w:line="240" w:lineRule="auto"/>
                              <w:ind w:left="6" w:leftChars="0" w:hanging="6" w:firstLineChars="0"/>
                              <w:rPr>
                                <w:rFonts w:ascii="Times New Roman" w:hAnsi="Times New Roman"/>
                                <w:sz w:val="18"/>
                                <w:szCs w:val="20"/>
                              </w:rPr>
                            </w:pPr>
                            <w:r>
                              <w:rPr>
                                <w:rFonts w:ascii="Times New Roman" w:hAnsi="Times New Roman"/>
                                <w:b/>
                                <w:sz w:val="18"/>
                                <w:szCs w:val="20"/>
                              </w:rPr>
                              <w:t>Auteur correspondan</w:t>
                            </w:r>
                            <w:r>
                              <w:rPr>
                                <w:rFonts w:ascii="Times New Roman" w:hAnsi="Times New Roman"/>
                                <w:sz w:val="18"/>
                                <w:szCs w:val="20"/>
                              </w:rPr>
                              <w:t>t :</w:t>
                            </w:r>
                          </w:p>
                          <w:p>
                            <w:pPr>
                              <w:spacing w:after="0" w:line="240" w:lineRule="auto"/>
                              <w:ind w:left="6" w:leftChars="0" w:hanging="6" w:firstLineChars="0"/>
                              <w:rPr>
                                <w:rFonts w:hint="default" w:ascii="Times New Roman" w:hAnsi="Times New Roman"/>
                                <w:sz w:val="18"/>
                                <w:szCs w:val="20"/>
                              </w:rPr>
                            </w:pPr>
                            <w:r>
                              <w:rPr>
                                <w:rFonts w:hint="default" w:ascii="Times New Roman" w:hAnsi="Times New Roman"/>
                                <w:sz w:val="18"/>
                                <w:szCs w:val="20"/>
                                <w:lang w:val="fr-FR"/>
                              </w:rPr>
                              <w:t>P</w:t>
                            </w:r>
                            <w:r>
                              <w:rPr>
                                <w:rFonts w:ascii="Times New Roman" w:hAnsi="Times New Roman"/>
                                <w:sz w:val="18"/>
                                <w:szCs w:val="20"/>
                              </w:rPr>
                              <w:t xml:space="preserve">r </w:t>
                            </w:r>
                            <w:r>
                              <w:rPr>
                                <w:rFonts w:hint="default" w:ascii="Times New Roman" w:hAnsi="Times New Roman" w:cs="Times New Roman"/>
                                <w:b w:val="0"/>
                                <w:bCs/>
                                <w:sz w:val="18"/>
                                <w:szCs w:val="18"/>
                              </w:rPr>
                              <w:t>ODZEBE AWS</w:t>
                            </w:r>
                          </w:p>
                          <w:p>
                            <w:pPr>
                              <w:spacing w:after="0" w:line="240" w:lineRule="auto"/>
                              <w:ind w:left="6" w:leftChars="0" w:hanging="6" w:firstLineChars="0"/>
                              <w:rPr>
                                <w:rFonts w:hint="default" w:ascii="Times New Roman" w:hAnsi="Times New Roman"/>
                                <w:sz w:val="18"/>
                                <w:szCs w:val="20"/>
                                <w:lang w:val="fr-FR"/>
                              </w:rPr>
                            </w:pPr>
                            <w:r>
                              <w:rPr>
                                <w:rFonts w:ascii="Times New Roman" w:hAnsi="Times New Roman"/>
                                <w:sz w:val="18"/>
                                <w:szCs w:val="20"/>
                              </w:rPr>
                              <w:t>Adresse e-mail :</w:t>
                            </w:r>
                            <w:r>
                              <w:rPr>
                                <w:rFonts w:hint="default" w:ascii="Times New Roman" w:hAnsi="Times New Roman"/>
                                <w:sz w:val="18"/>
                                <w:szCs w:val="20"/>
                                <w:lang w:val="fr-FR"/>
                              </w:rPr>
                              <w:t xml:space="preserve"> </w:t>
                            </w:r>
                            <w:r>
                              <w:rPr>
                                <w:rFonts w:hint="default" w:ascii="Times New Roman" w:hAnsi="Times New Roman"/>
                                <w:sz w:val="18"/>
                                <w:szCs w:val="20"/>
                                <w:lang w:val="fr-FR"/>
                              </w:rPr>
                              <w:fldChar w:fldCharType="begin"/>
                            </w:r>
                            <w:r>
                              <w:rPr>
                                <w:rFonts w:hint="default" w:ascii="Times New Roman" w:hAnsi="Times New Roman"/>
                                <w:sz w:val="18"/>
                                <w:szCs w:val="20"/>
                                <w:lang w:val="fr-FR"/>
                              </w:rPr>
                              <w:instrText xml:space="preserve"> HYPERLINK "mailto:odzebe_s@yahoo.fr" </w:instrText>
                            </w:r>
                            <w:r>
                              <w:rPr>
                                <w:rFonts w:hint="default" w:ascii="Times New Roman" w:hAnsi="Times New Roman"/>
                                <w:sz w:val="18"/>
                                <w:szCs w:val="20"/>
                                <w:lang w:val="fr-FR"/>
                              </w:rPr>
                              <w:fldChar w:fldCharType="separate"/>
                            </w:r>
                            <w:r>
                              <w:rPr>
                                <w:rStyle w:val="6"/>
                                <w:rFonts w:hint="default" w:ascii="Times New Roman" w:hAnsi="Times New Roman"/>
                                <w:sz w:val="18"/>
                                <w:szCs w:val="20"/>
                                <w:lang w:val="fr-FR"/>
                              </w:rPr>
                              <w:t>odzebe_s@yahoo.fr</w:t>
                            </w:r>
                            <w:r>
                              <w:rPr>
                                <w:rFonts w:hint="default" w:ascii="Times New Roman" w:hAnsi="Times New Roman"/>
                                <w:sz w:val="18"/>
                                <w:szCs w:val="20"/>
                                <w:lang w:val="fr-FR"/>
                              </w:rPr>
                              <w:fldChar w:fldCharType="end"/>
                            </w:r>
                            <w:r>
                              <w:rPr>
                                <w:rFonts w:hint="default" w:ascii="Times New Roman" w:hAnsi="Times New Roman"/>
                                <w:sz w:val="18"/>
                                <w:szCs w:val="20"/>
                                <w:lang w:val="fr-FR"/>
                              </w:rPr>
                              <w:t xml:space="preserve"> </w:t>
                            </w:r>
                          </w:p>
                          <w:p>
                            <w:pPr>
                              <w:spacing w:after="0" w:line="240" w:lineRule="auto"/>
                              <w:ind w:left="0" w:leftChars="0" w:firstLine="0" w:firstLineChars="0"/>
                              <w:rPr>
                                <w:rFonts w:ascii="Times New Roman" w:hAnsi="Times New Roman"/>
                                <w:sz w:val="18"/>
                                <w:szCs w:val="20"/>
                              </w:rPr>
                            </w:pPr>
                            <w:r>
                              <w:rPr>
                                <w:rFonts w:ascii="Times New Roman" w:hAnsi="Times New Roman"/>
                                <w:sz w:val="18"/>
                                <w:szCs w:val="20"/>
                              </w:rPr>
                              <w:t>Boite postale :</w:t>
                            </w:r>
                          </w:p>
                          <w:p>
                            <w:pPr>
                              <w:spacing w:after="0" w:line="240" w:lineRule="auto"/>
                              <w:ind w:left="0" w:leftChars="0" w:firstLine="0" w:firstLineChars="0"/>
                              <w:rPr>
                                <w:rFonts w:ascii="Times New Roman" w:hAnsi="Times New Roman"/>
                                <w:sz w:val="18"/>
                                <w:szCs w:val="20"/>
                              </w:rPr>
                            </w:pPr>
                          </w:p>
                          <w:p>
                            <w:pPr>
                              <w:spacing w:after="0" w:line="240" w:lineRule="auto"/>
                              <w:rPr>
                                <w:rFonts w:hint="default" w:ascii="Times New Roman" w:hAnsi="Times New Roman"/>
                                <w:sz w:val="18"/>
                                <w:szCs w:val="20"/>
                                <w:lang w:val="fr-FR"/>
                              </w:rPr>
                            </w:pPr>
                            <w:r>
                              <w:rPr>
                                <w:rFonts w:ascii="Times New Roman" w:hAnsi="Times New Roman"/>
                                <w:b/>
                                <w:sz w:val="18"/>
                                <w:szCs w:val="20"/>
                              </w:rPr>
                              <w:t xml:space="preserve">Mots-clés </w:t>
                            </w:r>
                            <w:r>
                              <w:rPr>
                                <w:rFonts w:ascii="Times New Roman" w:hAnsi="Times New Roman"/>
                                <w:sz w:val="18"/>
                                <w:szCs w:val="20"/>
                              </w:rPr>
                              <w:t xml:space="preserve">: </w:t>
                            </w:r>
                            <w:r>
                              <w:rPr>
                                <w:rFonts w:hint="default" w:ascii="Times New Roman" w:hAnsi="Times New Roman"/>
                                <w:sz w:val="18"/>
                                <w:szCs w:val="20"/>
                                <w:lang w:val="fr-FR"/>
                              </w:rPr>
                              <w:t>P</w:t>
                            </w:r>
                            <w:r>
                              <w:rPr>
                                <w:rFonts w:hint="default" w:ascii="Times New Roman" w:hAnsi="Times New Roman"/>
                                <w:sz w:val="18"/>
                                <w:szCs w:val="20"/>
                              </w:rPr>
                              <w:t xml:space="preserve">yonéphroses, </w:t>
                            </w:r>
                            <w:r>
                              <w:rPr>
                                <w:rFonts w:hint="default" w:ascii="Times New Roman" w:hAnsi="Times New Roman"/>
                                <w:sz w:val="18"/>
                                <w:szCs w:val="20"/>
                                <w:lang w:val="fr-FR"/>
                              </w:rPr>
                              <w:t>N</w:t>
                            </w:r>
                            <w:r>
                              <w:rPr>
                                <w:rFonts w:hint="default" w:ascii="Times New Roman" w:hAnsi="Times New Roman"/>
                                <w:sz w:val="18"/>
                                <w:szCs w:val="20"/>
                              </w:rPr>
                              <w:t>éphrectomie, CHU, Brazzaville</w:t>
                            </w:r>
                          </w:p>
                          <w:p>
                            <w:pPr>
                              <w:spacing w:after="0" w:line="240" w:lineRule="auto"/>
                              <w:rPr>
                                <w:rFonts w:hint="default" w:ascii="Times New Roman" w:hAnsi="Times New Roman"/>
                                <w:sz w:val="18"/>
                                <w:szCs w:val="20"/>
                              </w:rPr>
                            </w:pPr>
                          </w:p>
                          <w:p>
                            <w:pPr>
                              <w:spacing w:after="0" w:line="240" w:lineRule="auto"/>
                              <w:rPr>
                                <w:rFonts w:hint="default" w:ascii="Times New Roman" w:hAnsi="Times New Roman"/>
                                <w:sz w:val="20"/>
                                <w:szCs w:val="20"/>
                                <w:lang w:val="fr-FR"/>
                              </w:rPr>
                            </w:pPr>
                            <w:r>
                              <w:rPr>
                                <w:rFonts w:ascii="Times New Roman" w:hAnsi="Times New Roman"/>
                                <w:b/>
                                <w:sz w:val="18"/>
                                <w:szCs w:val="20"/>
                                <w:lang w:val="en-US"/>
                              </w:rPr>
                              <w:t>Keywords</w:t>
                            </w:r>
                            <w:r>
                              <w:rPr>
                                <w:rFonts w:ascii="Times New Roman" w:hAnsi="Times New Roman"/>
                                <w:sz w:val="18"/>
                                <w:szCs w:val="20"/>
                                <w:lang w:val="en-US"/>
                              </w:rPr>
                              <w:t xml:space="preserve">: </w:t>
                            </w:r>
                            <w:r>
                              <w:rPr>
                                <w:rFonts w:hint="default" w:ascii="Times New Roman" w:hAnsi="Times New Roman"/>
                                <w:sz w:val="18"/>
                                <w:szCs w:val="20"/>
                                <w:lang w:val="fr-FR"/>
                              </w:rPr>
                              <w:t>Pyomephrosis, Nephrectomy, University Teaching Hospital, Brazzaville</w:t>
                            </w:r>
                          </w:p>
                        </w:txbxContent>
                      </v:textbox>
                    </v:shape>
                  </w:pict>
                </mc:Fallback>
              </mc:AlternateContent>
            </w:r>
          </w:p>
        </w:tc>
        <w:tc>
          <w:tcPr>
            <w:tcW w:w="7088" w:type="dxa"/>
            <w:shd w:val="clear" w:color="auto" w:fill="D3DFEE"/>
          </w:tcPr>
          <w:p>
            <w:pPr>
              <w:spacing w:after="0" w:line="240" w:lineRule="auto"/>
              <w:ind w:left="34"/>
              <w:jc w:val="both"/>
              <w:rPr>
                <w:rFonts w:hint="default" w:ascii="Times New Roman" w:hAnsi="Times New Roman"/>
                <w:b/>
                <w:bCs/>
                <w:iCs/>
                <w:sz w:val="20"/>
                <w:szCs w:val="18"/>
                <w:lang w:val="fr-FR"/>
              </w:rPr>
            </w:pPr>
            <w:r>
              <w:rPr>
                <w:rFonts w:ascii="Times New Roman" w:hAnsi="Times New Roman"/>
                <w:b/>
                <w:bCs/>
                <w:iCs/>
                <w:sz w:val="20"/>
                <w:szCs w:val="18"/>
              </w:rPr>
              <w:t>RÉSUMÉ</w:t>
            </w:r>
          </w:p>
        </w:tc>
      </w:tr>
      <w:tr>
        <w:tblPrEx>
          <w:tblLayout w:type="fixed"/>
          <w:tblCellMar>
            <w:top w:w="0" w:type="dxa"/>
            <w:left w:w="108" w:type="dxa"/>
            <w:bottom w:w="0" w:type="dxa"/>
            <w:right w:w="108" w:type="dxa"/>
          </w:tblCellMar>
        </w:tblPrEx>
        <w:trPr>
          <w:trHeight w:val="4179" w:hRule="atLeast"/>
        </w:trPr>
        <w:tc>
          <w:tcPr>
            <w:tcW w:w="3085" w:type="dxa"/>
            <w:vMerge w:val="continue"/>
          </w:tcPr>
          <w:p>
            <w:pPr>
              <w:rPr>
                <w:b/>
                <w:bCs/>
                <w:color w:val="365F91"/>
                <w:sz w:val="20"/>
                <w:szCs w:val="18"/>
                <w:vertAlign w:val="superscript"/>
              </w:rPr>
            </w:pPr>
          </w:p>
        </w:tc>
        <w:tc>
          <w:tcPr>
            <w:tcW w:w="7088" w:type="dxa"/>
          </w:tcPr>
          <w:p>
            <w:pPr>
              <w:spacing w:after="0" w:line="240" w:lineRule="auto"/>
              <w:jc w:val="both"/>
              <w:rPr>
                <w:rFonts w:ascii="Times New Roman" w:hAnsi="Times New Roman"/>
                <w:sz w:val="20"/>
                <w:szCs w:val="18"/>
                <w:lang w:val="en-US" w:bidi="fr-FR"/>
              </w:rPr>
            </w:pPr>
            <w:r>
              <w:rPr>
                <w:rFonts w:hint="default" w:ascii="Times New Roman" w:hAnsi="Times New Roman" w:cs="Times New Roman"/>
                <w:b/>
                <w:sz w:val="18"/>
                <w:szCs w:val="18"/>
              </w:rPr>
              <w:t>Introduction</w:t>
            </w:r>
            <w:r>
              <w:rPr>
                <w:rFonts w:hint="default" w:ascii="Times New Roman" w:hAnsi="Times New Roman" w:cs="Times New Roman"/>
                <w:b/>
                <w:sz w:val="18"/>
                <w:szCs w:val="18"/>
                <w:lang w:val="fr-FR"/>
              </w:rPr>
              <w:t xml:space="preserve">. </w:t>
            </w:r>
            <w:r>
              <w:rPr>
                <w:rFonts w:hint="default" w:ascii="Times New Roman" w:hAnsi="Times New Roman" w:cs="Times New Roman"/>
                <w:sz w:val="18"/>
                <w:szCs w:val="18"/>
              </w:rPr>
              <w:t xml:space="preserve">La pyonéphrose correspond à une infection rare et grave du rein, pouvant engager le pronostic fonctionnel de celui-ci ou vital du patient. L’objectif de ce travail était d’étudier les aspects diagnostiques, thérapeutiques et évolutifs de la pyonéphrose. </w:t>
            </w:r>
            <w:r>
              <w:rPr>
                <w:rFonts w:hint="default" w:ascii="Times New Roman" w:hAnsi="Times New Roman" w:cs="Times New Roman"/>
                <w:b/>
                <w:sz w:val="18"/>
                <w:szCs w:val="18"/>
              </w:rPr>
              <w:t>Patients et méthodes</w:t>
            </w:r>
            <w:r>
              <w:rPr>
                <w:rFonts w:hint="default" w:ascii="Times New Roman" w:hAnsi="Times New Roman" w:cs="Times New Roman"/>
                <w:b/>
                <w:sz w:val="18"/>
                <w:szCs w:val="18"/>
                <w:lang w:val="fr-FR"/>
              </w:rPr>
              <w:t>.</w:t>
            </w:r>
            <w:r>
              <w:rPr>
                <w:rFonts w:hint="default" w:ascii="Times New Roman" w:hAnsi="Times New Roman" w:cs="Times New Roman"/>
                <w:sz w:val="18"/>
                <w:szCs w:val="18"/>
              </w:rPr>
              <w:t xml:space="preserve"> Nous avons réalisé une étude rétrospective descriptive dans le service d’urologie du CHU de Brazzaville durant une période de 5 ans, allant du 1</w:t>
            </w:r>
            <w:r>
              <w:rPr>
                <w:rFonts w:hint="default" w:ascii="Times New Roman" w:hAnsi="Times New Roman" w:cs="Times New Roman"/>
                <w:sz w:val="18"/>
                <w:szCs w:val="18"/>
                <w:vertAlign w:val="superscript"/>
              </w:rPr>
              <w:t>er</w:t>
            </w:r>
            <w:r>
              <w:rPr>
                <w:rFonts w:hint="default" w:ascii="Times New Roman" w:hAnsi="Times New Roman" w:cs="Times New Roman"/>
                <w:sz w:val="18"/>
                <w:szCs w:val="18"/>
              </w:rPr>
              <w:t xml:space="preserve"> janvier 2014 au 31 décembre 2018. </w:t>
            </w:r>
            <w:r>
              <w:rPr>
                <w:rFonts w:hint="default" w:ascii="Times New Roman" w:hAnsi="Times New Roman" w:cs="Times New Roman"/>
                <w:b/>
                <w:sz w:val="18"/>
                <w:szCs w:val="18"/>
              </w:rPr>
              <w:t>Résultats</w:t>
            </w:r>
            <w:r>
              <w:rPr>
                <w:rFonts w:hint="default" w:ascii="Times New Roman" w:hAnsi="Times New Roman" w:cs="Times New Roman"/>
                <w:b/>
                <w:sz w:val="18"/>
                <w:szCs w:val="18"/>
                <w:lang w:val="fr-FR"/>
              </w:rPr>
              <w:t>.</w:t>
            </w:r>
            <w:r>
              <w:rPr>
                <w:rFonts w:hint="default" w:ascii="Times New Roman" w:hAnsi="Times New Roman" w:cs="Times New Roman"/>
                <w:sz w:val="18"/>
                <w:szCs w:val="18"/>
              </w:rPr>
              <w:t xml:space="preserve"> Elle a concerné 23 </w:t>
            </w:r>
            <w:r>
              <w:rPr>
                <w:rFonts w:hint="default" w:ascii="Times New Roman" w:hAnsi="Times New Roman" w:eastAsia="Calibri" w:cs="Times New Roman"/>
                <w:color w:val="000000" w:themeColor="text1"/>
                <w:sz w:val="18"/>
                <w:szCs w:val="18"/>
                <w14:textFill>
                  <w14:solidFill>
                    <w14:schemeClr w14:val="tx1"/>
                  </w14:solidFill>
                </w14:textFill>
              </w:rPr>
              <w:t>patients hospitalisés pour pyonéphrose, soit une fréquence de 0,92</w:t>
            </w:r>
            <w:r>
              <w:rPr>
                <w:rFonts w:hint="default" w:ascii="Times New Roman" w:hAnsi="Times New Roman" w:eastAsia="Calibri" w:cs="Times New Roman"/>
                <w:color w:val="000000" w:themeColor="text1"/>
                <w:sz w:val="18"/>
                <w:szCs w:val="18"/>
                <w:lang w:val="fr-FR"/>
                <w14:textFill>
                  <w14:solidFill>
                    <w14:schemeClr w14:val="tx1"/>
                  </w14:solidFill>
                </w14:textFill>
              </w:rPr>
              <w:t xml:space="preserve"> </w:t>
            </w:r>
            <w:r>
              <w:rPr>
                <w:rFonts w:hint="default" w:ascii="Times New Roman" w:hAnsi="Times New Roman" w:eastAsia="Calibri" w:cs="Times New Roman"/>
                <w:color w:val="000000" w:themeColor="text1"/>
                <w:sz w:val="18"/>
                <w:szCs w:val="18"/>
                <w14:textFill>
                  <w14:solidFill>
                    <w14:schemeClr w14:val="tx1"/>
                  </w14:solidFill>
                </w14:textFill>
              </w:rPr>
              <w:t xml:space="preserve">%. Le sex-ratio était </w:t>
            </w:r>
            <w:r>
              <w:rPr>
                <w:rFonts w:hint="default" w:ascii="Times New Roman" w:hAnsi="Times New Roman" w:cs="Times New Roman"/>
                <w:color w:val="000000" w:themeColor="text1"/>
                <w:sz w:val="18"/>
                <w:szCs w:val="18"/>
                <w14:textFill>
                  <w14:solidFill>
                    <w14:schemeClr w14:val="tx1"/>
                  </w14:solidFill>
                </w14:textFill>
              </w:rPr>
              <w:t>de 10 hommes pour 13 femmes (0,77). L’âge des patients était compris entre 7 et 72 ans, avec une moyenne de 50,13</w:t>
            </w:r>
            <w:r>
              <w:rPr>
                <w:rFonts w:hint="default" w:ascii="Times New Roman" w:hAnsi="Times New Roman" w:cs="Times New Roman"/>
                <w:color w:val="000000" w:themeColor="text1"/>
                <w:sz w:val="18"/>
                <w:szCs w:val="18"/>
                <w:lang w:val="fr-FR"/>
                <w14:textFill>
                  <w14:solidFill>
                    <w14:schemeClr w14:val="tx1"/>
                  </w14:solidFill>
                </w14:textFill>
              </w:rPr>
              <w:t xml:space="preserve"> </w:t>
            </w:r>
            <w:r>
              <w:rPr>
                <w:rFonts w:hint="default" w:ascii="Times New Roman" w:hAnsi="Times New Roman" w:cs="Times New Roman"/>
                <w:color w:val="000000" w:themeColor="text1"/>
                <w:sz w:val="18"/>
                <w:szCs w:val="18"/>
                <w14:textFill>
                  <w14:solidFill>
                    <w14:schemeClr w14:val="tx1"/>
                  </w14:solidFill>
                </w14:textFill>
              </w:rPr>
              <w:t>+/- 15 ans. Le motif de consultation était dominé par la douleur de la fosse lombaire dans 65,2</w:t>
            </w:r>
            <w:r>
              <w:rPr>
                <w:rFonts w:hint="default" w:ascii="Times New Roman" w:hAnsi="Times New Roman" w:cs="Times New Roman"/>
                <w:color w:val="000000" w:themeColor="text1"/>
                <w:sz w:val="18"/>
                <w:szCs w:val="18"/>
                <w:lang w:val="fr-FR"/>
                <w14:textFill>
                  <w14:solidFill>
                    <w14:schemeClr w14:val="tx1"/>
                  </w14:solidFill>
                </w14:textFill>
              </w:rPr>
              <w:t xml:space="preserve"> </w:t>
            </w:r>
            <w:r>
              <w:rPr>
                <w:rFonts w:hint="default" w:ascii="Times New Roman" w:hAnsi="Times New Roman" w:cs="Times New Roman"/>
                <w:color w:val="000000" w:themeColor="text1"/>
                <w:sz w:val="18"/>
                <w:szCs w:val="18"/>
                <w14:textFill>
                  <w14:solidFill>
                    <w14:schemeClr w14:val="tx1"/>
                  </w14:solidFill>
                </w14:textFill>
              </w:rPr>
              <w:t>% des cas. L’examen clinique avait permis de retrouver une douleur à la palpation de la fosse lombaire dans 82,6</w:t>
            </w:r>
            <w:r>
              <w:rPr>
                <w:rFonts w:hint="default" w:ascii="Times New Roman" w:hAnsi="Times New Roman" w:cs="Times New Roman"/>
                <w:color w:val="000000" w:themeColor="text1"/>
                <w:sz w:val="18"/>
                <w:szCs w:val="18"/>
                <w:lang w:val="fr-FR"/>
                <w14:textFill>
                  <w14:solidFill>
                    <w14:schemeClr w14:val="tx1"/>
                  </w14:solidFill>
                </w14:textFill>
              </w:rPr>
              <w:t xml:space="preserve"> </w:t>
            </w:r>
            <w:r>
              <w:rPr>
                <w:rFonts w:hint="default" w:ascii="Times New Roman" w:hAnsi="Times New Roman" w:cs="Times New Roman"/>
                <w:color w:val="000000" w:themeColor="text1"/>
                <w:sz w:val="18"/>
                <w:szCs w:val="18"/>
                <w14:textFill>
                  <w14:solidFill>
                    <w14:schemeClr w14:val="tx1"/>
                  </w14:solidFill>
                </w14:textFill>
              </w:rPr>
              <w:t>% des cas, suivi d’une fièvre dans 56,5</w:t>
            </w:r>
            <w:r>
              <w:rPr>
                <w:rFonts w:hint="default" w:ascii="Times New Roman" w:hAnsi="Times New Roman" w:cs="Times New Roman"/>
                <w:color w:val="000000" w:themeColor="text1"/>
                <w:sz w:val="18"/>
                <w:szCs w:val="18"/>
                <w:lang w:val="fr-FR"/>
                <w14:textFill>
                  <w14:solidFill>
                    <w14:schemeClr w14:val="tx1"/>
                  </w14:solidFill>
                </w14:textFill>
              </w:rPr>
              <w:t xml:space="preserve"> </w:t>
            </w:r>
            <w:r>
              <w:rPr>
                <w:rFonts w:hint="default" w:ascii="Times New Roman" w:hAnsi="Times New Roman" w:cs="Times New Roman"/>
                <w:color w:val="000000" w:themeColor="text1"/>
                <w:sz w:val="18"/>
                <w:szCs w:val="18"/>
                <w14:textFill>
                  <w14:solidFill>
                    <w14:schemeClr w14:val="tx1"/>
                  </w14:solidFill>
                </w14:textFill>
              </w:rPr>
              <w:t xml:space="preserve">% cas. </w:t>
            </w:r>
            <w:r>
              <w:rPr>
                <w:rFonts w:hint="default" w:ascii="Times New Roman" w:hAnsi="Times New Roman" w:cs="Times New Roman"/>
                <w:sz w:val="18"/>
                <w:szCs w:val="18"/>
              </w:rPr>
              <w:t xml:space="preserve">L’échographie, l’UIV et l’Uro-DM avaient permis d’affirmer le diagnostic dans la majorité des cas. L’étiologie était lithiasique dans </w:t>
            </w:r>
            <w:r>
              <w:rPr>
                <w:rFonts w:hint="default" w:ascii="Times New Roman" w:hAnsi="Times New Roman" w:cs="Times New Roman"/>
                <w:color w:val="000000" w:themeColor="text1"/>
                <w:sz w:val="18"/>
                <w:szCs w:val="18"/>
                <w14:textFill>
                  <w14:solidFill>
                    <w14:schemeClr w14:val="tx1"/>
                  </w14:solidFill>
                </w14:textFill>
              </w:rPr>
              <w:t>56,52</w:t>
            </w:r>
            <w:r>
              <w:rPr>
                <w:rFonts w:hint="default" w:ascii="Times New Roman" w:hAnsi="Times New Roman" w:cs="Times New Roman"/>
                <w:color w:val="000000" w:themeColor="text1"/>
                <w:sz w:val="18"/>
                <w:szCs w:val="18"/>
                <w:lang w:val="fr-FR"/>
                <w14:textFill>
                  <w14:solidFill>
                    <w14:schemeClr w14:val="tx1"/>
                  </w14:solidFill>
                </w14:textFill>
              </w:rPr>
              <w:t xml:space="preserve"> </w:t>
            </w:r>
            <w:r>
              <w:rPr>
                <w:rFonts w:hint="default" w:ascii="Times New Roman" w:hAnsi="Times New Roman" w:cs="Times New Roman"/>
                <w:color w:val="000000" w:themeColor="text1"/>
                <w:sz w:val="18"/>
                <w:szCs w:val="18"/>
                <w14:textFill>
                  <w14:solidFill>
                    <w14:schemeClr w14:val="tx1"/>
                  </w14:solidFill>
                </w14:textFill>
              </w:rPr>
              <w:t>% cas</w:t>
            </w:r>
            <w:r>
              <w:rPr>
                <w:rFonts w:hint="default" w:ascii="Times New Roman" w:hAnsi="Times New Roman" w:cs="Times New Roman"/>
                <w:sz w:val="18"/>
                <w:szCs w:val="18"/>
              </w:rPr>
              <w:t>. Le traitement avait consisté en une réanimation associée à une antibiothérapie dans tous les cas. La néphrectomie totale était réalisée dans 95,6</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 des cas, elle était précédée de dérivation urinaire par néphrostomie percutanée d’attente dans 50</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 des cas</w:t>
            </w:r>
            <w:r>
              <w:rPr>
                <w:rFonts w:hint="default" w:ascii="Times New Roman" w:hAnsi="Times New Roman" w:cs="Times New Roman"/>
                <w:color w:val="000000" w:themeColor="text1"/>
                <w:sz w:val="18"/>
                <w:szCs w:val="18"/>
                <w14:textFill>
                  <w14:solidFill>
                    <w14:schemeClr w14:val="tx1"/>
                  </w14:solidFill>
                </w14:textFill>
              </w:rPr>
              <w:t>. Les complications post opératoires étaient observées dans 31,8</w:t>
            </w:r>
            <w:r>
              <w:rPr>
                <w:rFonts w:hint="default" w:ascii="Times New Roman" w:hAnsi="Times New Roman" w:cs="Times New Roman"/>
                <w:color w:val="000000" w:themeColor="text1"/>
                <w:sz w:val="18"/>
                <w:szCs w:val="18"/>
                <w:lang w:val="fr-FR"/>
                <w14:textFill>
                  <w14:solidFill>
                    <w14:schemeClr w14:val="tx1"/>
                  </w14:solidFill>
                </w14:textFill>
              </w:rPr>
              <w:t xml:space="preserve"> </w:t>
            </w:r>
            <w:r>
              <w:rPr>
                <w:rFonts w:hint="default" w:ascii="Times New Roman" w:hAnsi="Times New Roman" w:cs="Times New Roman"/>
                <w:color w:val="000000" w:themeColor="text1"/>
                <w:sz w:val="18"/>
                <w:szCs w:val="18"/>
                <w14:textFill>
                  <w14:solidFill>
                    <w14:schemeClr w14:val="tx1"/>
                  </w14:solidFill>
                </w14:textFill>
              </w:rPr>
              <w:t>% des cas.</w:t>
            </w:r>
            <w:r>
              <w:rPr>
                <w:rFonts w:hint="default" w:ascii="Times New Roman" w:hAnsi="Times New Roman" w:cs="Times New Roman"/>
                <w:color w:val="000000" w:themeColor="text1"/>
                <w:sz w:val="18"/>
                <w:szCs w:val="18"/>
                <w:lang w:val="fr-FR"/>
                <w14:textFill>
                  <w14:solidFill>
                    <w14:schemeClr w14:val="tx1"/>
                  </w14:solidFill>
                </w14:textFill>
              </w:rPr>
              <w:t xml:space="preserve"> </w:t>
            </w:r>
            <w:r>
              <w:rPr>
                <w:rFonts w:hint="default" w:ascii="Times New Roman" w:hAnsi="Times New Roman" w:cs="Times New Roman"/>
                <w:b/>
                <w:color w:val="000000" w:themeColor="text1"/>
                <w:sz w:val="18"/>
                <w:szCs w:val="18"/>
                <w14:textFill>
                  <w14:solidFill>
                    <w14:schemeClr w14:val="tx1"/>
                  </w14:solidFill>
                </w14:textFill>
              </w:rPr>
              <w:t>Conclusion</w:t>
            </w:r>
            <w:r>
              <w:rPr>
                <w:rFonts w:hint="default" w:ascii="Times New Roman" w:hAnsi="Times New Roman" w:cs="Times New Roman"/>
                <w:b/>
                <w:color w:val="000000" w:themeColor="text1"/>
                <w:sz w:val="18"/>
                <w:szCs w:val="18"/>
                <w:lang w:val="fr-FR"/>
                <w14:textFill>
                  <w14:solidFill>
                    <w14:schemeClr w14:val="tx1"/>
                  </w14:solidFill>
                </w14:textFill>
              </w:rPr>
              <w:t>.</w:t>
            </w:r>
            <w:r>
              <w:rPr>
                <w:rFonts w:hint="default" w:ascii="Times New Roman" w:hAnsi="Times New Roman" w:cs="Times New Roman"/>
                <w:b/>
                <w:color w:val="000000" w:themeColor="text1"/>
                <w:sz w:val="18"/>
                <w:szCs w:val="18"/>
                <w14:textFill>
                  <w14:solidFill>
                    <w14:schemeClr w14:val="tx1"/>
                  </w14:solidFill>
                </w14:textFill>
              </w:rPr>
              <w:t xml:space="preserve"> </w:t>
            </w:r>
            <w:r>
              <w:rPr>
                <w:rFonts w:hint="default" w:ascii="Times New Roman" w:hAnsi="Times New Roman" w:cs="Times New Roman"/>
                <w:color w:val="000000" w:themeColor="text1"/>
                <w:sz w:val="18"/>
                <w:szCs w:val="18"/>
                <w14:textFill>
                  <w14:solidFill>
                    <w14:schemeClr w14:val="tx1"/>
                  </w14:solidFill>
                </w14:textFill>
              </w:rPr>
              <w:t>La pyonéphrose est une affection peu fréquente dans notre contexte de travail. Les examens d’imagerie permettent de poser le diagnostic. Sa prise en charge nécessite une antibiothérapie adéquate associée à une néphrostomie et/ou une néphrectomie</w:t>
            </w:r>
          </w:p>
        </w:tc>
      </w:tr>
      <w:tr>
        <w:tblPrEx>
          <w:tblLayout w:type="fixed"/>
          <w:tblCellMar>
            <w:top w:w="0" w:type="dxa"/>
            <w:left w:w="108" w:type="dxa"/>
            <w:bottom w:w="0" w:type="dxa"/>
            <w:right w:w="108" w:type="dxa"/>
          </w:tblCellMar>
        </w:tblPrEx>
        <w:trPr>
          <w:trHeight w:val="184" w:hRule="atLeast"/>
        </w:trPr>
        <w:tc>
          <w:tcPr>
            <w:tcW w:w="3085" w:type="dxa"/>
            <w:vMerge w:val="restart"/>
            <w:shd w:val="clear" w:color="auto" w:fill="D3DFEE"/>
          </w:tcPr>
          <w:p>
            <w:pPr>
              <w:rPr>
                <w:b/>
                <w:bCs/>
                <w:color w:val="365F91"/>
                <w:sz w:val="20"/>
                <w:szCs w:val="18"/>
                <w:vertAlign w:val="superscript"/>
                <w:lang w:val="en-US"/>
              </w:rPr>
            </w:pPr>
          </w:p>
        </w:tc>
        <w:tc>
          <w:tcPr>
            <w:tcW w:w="7088" w:type="dxa"/>
            <w:shd w:val="clear" w:color="auto" w:fill="D3DFEE"/>
          </w:tcPr>
          <w:p>
            <w:pPr>
              <w:spacing w:after="0" w:line="240" w:lineRule="auto"/>
              <w:ind w:left="34"/>
              <w:jc w:val="both"/>
              <w:rPr>
                <w:rFonts w:ascii="Times New Roman" w:hAnsi="Times New Roman"/>
                <w:b/>
                <w:bCs/>
                <w:iCs/>
                <w:sz w:val="20"/>
                <w:szCs w:val="18"/>
              </w:rPr>
            </w:pPr>
            <w:r>
              <w:rPr>
                <w:rFonts w:ascii="Times New Roman" w:hAnsi="Times New Roman"/>
                <w:b/>
                <w:bCs/>
                <w:iCs/>
                <w:sz w:val="20"/>
                <w:szCs w:val="18"/>
              </w:rPr>
              <w:t>ABSTRACT</w:t>
            </w:r>
          </w:p>
        </w:tc>
      </w:tr>
      <w:tr>
        <w:tblPrEx>
          <w:tblLayout w:type="fixed"/>
          <w:tblCellMar>
            <w:top w:w="0" w:type="dxa"/>
            <w:left w:w="108" w:type="dxa"/>
            <w:bottom w:w="0" w:type="dxa"/>
            <w:right w:w="108" w:type="dxa"/>
          </w:tblCellMar>
        </w:tblPrEx>
        <w:trPr>
          <w:trHeight w:val="3972" w:hRule="atLeast"/>
        </w:trPr>
        <w:tc>
          <w:tcPr>
            <w:tcW w:w="3085" w:type="dxa"/>
            <w:vMerge w:val="continue"/>
          </w:tcPr>
          <w:p>
            <w:pPr>
              <w:rPr>
                <w:b/>
                <w:bCs/>
                <w:color w:val="365F91"/>
                <w:sz w:val="20"/>
                <w:szCs w:val="18"/>
                <w:vertAlign w:val="superscript"/>
              </w:rPr>
            </w:pPr>
          </w:p>
        </w:tc>
        <w:tc>
          <w:tcPr>
            <w:tcW w:w="7088" w:type="dxa"/>
          </w:tcPr>
          <w:p>
            <w:pPr>
              <w:spacing w:after="0" w:line="240" w:lineRule="auto"/>
              <w:jc w:val="both"/>
              <w:rPr>
                <w:rFonts w:ascii="Times New Roman" w:hAnsi="Times New Roman"/>
                <w:strike/>
                <w:sz w:val="18"/>
                <w:szCs w:val="16"/>
              </w:rPr>
            </w:pPr>
            <w:r>
              <w:rPr>
                <w:rFonts w:hint="default" w:ascii="Times New Roman" w:hAnsi="Times New Roman" w:cs="Times New Roman"/>
                <w:b/>
                <w:bCs/>
                <w:sz w:val="18"/>
                <w:szCs w:val="18"/>
              </w:rPr>
              <w:t>Introduction</w:t>
            </w:r>
            <w:r>
              <w:rPr>
                <w:rFonts w:hint="default" w:ascii="Times New Roman" w:hAnsi="Times New Roman" w:cs="Times New Roman"/>
                <w:b/>
                <w:bCs/>
                <w:sz w:val="18"/>
                <w:szCs w:val="18"/>
                <w:lang w:val="fr-FR"/>
              </w:rPr>
              <w:t>.</w:t>
            </w:r>
            <w:r>
              <w:rPr>
                <w:rFonts w:hint="default" w:ascii="Times New Roman" w:hAnsi="Times New Roman" w:cs="Times New Roman"/>
                <w:sz w:val="18"/>
                <w:szCs w:val="18"/>
              </w:rPr>
              <w:t xml:space="preserve"> Pyonephrosis corresponds to a rare and serious infection of the kidney, which can affect the functional of the kidney or vital prognosis of patient. The aim of this work was to study the epidemiological, diagnostic, therapeutic and progressive aspects of pyonephrosis. </w:t>
            </w:r>
            <w:r>
              <w:rPr>
                <w:rFonts w:hint="default" w:ascii="Times New Roman" w:hAnsi="Times New Roman" w:cs="Times New Roman"/>
                <w:b/>
                <w:bCs/>
                <w:sz w:val="18"/>
                <w:szCs w:val="18"/>
              </w:rPr>
              <w:t>Patients and methods</w:t>
            </w:r>
            <w:r>
              <w:rPr>
                <w:rFonts w:hint="default" w:ascii="Times New Roman" w:hAnsi="Times New Roman" w:cs="Times New Roman"/>
                <w:b/>
                <w:bCs/>
                <w:sz w:val="18"/>
                <w:szCs w:val="18"/>
                <w:lang w:val="fr-FR"/>
              </w:rPr>
              <w:t>.</w:t>
            </w:r>
            <w:r>
              <w:rPr>
                <w:rFonts w:hint="default" w:ascii="Times New Roman" w:hAnsi="Times New Roman" w:cs="Times New Roman"/>
                <w:sz w:val="18"/>
                <w:szCs w:val="18"/>
              </w:rPr>
              <w:t xml:space="preserve"> We carried out a descriptive retrospective study in the urology department of the Teaching Hospital of Brazzaville for a period of 5 years, going from January 1, 2014 to December 31, 2018.</w:t>
            </w:r>
            <w:r>
              <w:rPr>
                <w:rFonts w:hint="default" w:ascii="Times New Roman" w:hAnsi="Times New Roman" w:cs="Times New Roman"/>
                <w:sz w:val="18"/>
                <w:szCs w:val="18"/>
                <w:lang w:val="fr-FR"/>
              </w:rPr>
              <w:t xml:space="preserve"> </w:t>
            </w:r>
            <w:r>
              <w:rPr>
                <w:rFonts w:hint="default" w:ascii="Times New Roman" w:hAnsi="Times New Roman" w:cs="Times New Roman"/>
                <w:b/>
                <w:bCs/>
                <w:sz w:val="18"/>
                <w:szCs w:val="18"/>
              </w:rPr>
              <w:t>Results</w:t>
            </w:r>
            <w:r>
              <w:rPr>
                <w:rFonts w:hint="default" w:ascii="Times New Roman" w:hAnsi="Times New Roman" w:cs="Times New Roman"/>
                <w:b/>
                <w:bCs/>
                <w:sz w:val="18"/>
                <w:szCs w:val="18"/>
                <w:lang w:val="fr-FR"/>
              </w:rPr>
              <w:t>.</w:t>
            </w:r>
            <w:r>
              <w:rPr>
                <w:rFonts w:hint="default" w:ascii="Times New Roman" w:hAnsi="Times New Roman" w:cs="Times New Roman"/>
                <w:sz w:val="18"/>
                <w:szCs w:val="18"/>
              </w:rPr>
              <w:t xml:space="preserve"> It concerned 23 patients hospitalized for pyonephrosis, a frequency of 0.92%. The sex ratio was 10 men for 13 women (0.77). The age of the patients was between 7 and 72 years, with an average of 50.13 +/- 15 years. The reason for consultation was dominated by pain in the lumbar fossa in 65.2% of cases. The clinical examination found pain on palpation of the lumbar fossa in 82.6% of cases, followed by fever in 56.5% of cases. Ultrasound, UIV and Uro-DM confirmed the diagnosis in the majority of cases. The etiology was lithiasic in 56.52% of cases.</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The treatment consisted of resuscitation combined with antibiotic therapy in all cases. Total nephrectomy was performed in 95.6% of cases, it was preceded by urinary derivation by percutaneous waiting nephrostomy in 50% of cases. Postoperative complications were observed in 31.8% of cases.</w:t>
            </w:r>
            <w:r>
              <w:rPr>
                <w:rFonts w:hint="default" w:ascii="Times New Roman" w:hAnsi="Times New Roman" w:cs="Times New Roman"/>
                <w:sz w:val="18"/>
                <w:szCs w:val="18"/>
                <w:lang w:val="fr-FR"/>
              </w:rPr>
              <w:t xml:space="preserve"> </w:t>
            </w:r>
            <w:r>
              <w:rPr>
                <w:rFonts w:hint="default" w:ascii="Times New Roman" w:hAnsi="Times New Roman" w:cs="Times New Roman"/>
                <w:b/>
                <w:bCs/>
                <w:sz w:val="18"/>
                <w:szCs w:val="18"/>
              </w:rPr>
              <w:t>Conclusion</w:t>
            </w:r>
            <w:r>
              <w:rPr>
                <w:rFonts w:hint="default" w:ascii="Times New Roman" w:hAnsi="Times New Roman" w:cs="Times New Roman"/>
                <w:b/>
                <w:bCs/>
                <w:sz w:val="18"/>
                <w:szCs w:val="18"/>
                <w:lang w:val="fr-FR"/>
              </w:rPr>
              <w:t>.</w:t>
            </w:r>
            <w:r>
              <w:rPr>
                <w:rFonts w:hint="default" w:ascii="Times New Roman" w:hAnsi="Times New Roman" w:cs="Times New Roman"/>
                <w:sz w:val="18"/>
                <w:szCs w:val="18"/>
              </w:rPr>
              <w:t xml:space="preserve"> Pyonephrosis is an uncommon pathology in our work context. Imaging tests are used to make the diagnosis. Its management requires adequate antibiotic therapy associated with a nephrostomy and / or nephrectomy.</w:t>
            </w:r>
          </w:p>
        </w:tc>
      </w:tr>
    </w:tbl>
    <w:p>
      <w:pPr>
        <w:spacing w:before="120" w:after="40" w:line="240" w:lineRule="auto"/>
        <w:jc w:val="both"/>
        <w:rPr>
          <w:rFonts w:ascii="Times New Roman" w:hAnsi="Times New Roman"/>
          <w:b/>
          <w:sz w:val="20"/>
          <w:szCs w:val="20"/>
        </w:rPr>
      </w:pPr>
    </w:p>
    <w:p>
      <w:pPr>
        <w:spacing w:before="120" w:after="40" w:line="240" w:lineRule="auto"/>
        <w:jc w:val="both"/>
        <w:rPr>
          <w:rFonts w:ascii="Times New Roman" w:hAnsi="Times New Roman"/>
          <w:b/>
          <w:sz w:val="20"/>
          <w:szCs w:val="20"/>
        </w:rPr>
        <w:sectPr>
          <w:headerReference r:id="rId3" w:type="default"/>
          <w:footerReference r:id="rId4" w:type="default"/>
          <w:pgSz w:w="11850" w:h="16783"/>
          <w:pgMar w:top="1134" w:right="850" w:bottom="1417" w:left="1134" w:header="708" w:footer="708" w:gutter="0"/>
          <w:cols w:space="708" w:num="1"/>
          <w:docGrid w:linePitch="360" w:charSpace="0"/>
        </w:sectPr>
      </w:pP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ascii="Times New Roman" w:hAnsi="Times New Roman"/>
          <w:b/>
          <w:sz w:val="20"/>
          <w:szCs w:val="20"/>
        </w:rPr>
      </w:pPr>
      <w:r>
        <w:rPr>
          <w:rFonts w:ascii="Times New Roman" w:hAnsi="Times New Roman"/>
          <w:b/>
          <w:sz w:val="20"/>
          <w:szCs w:val="20"/>
        </w:rPr>
        <w:t>INTRODUCTION</w:t>
      </w:r>
    </w:p>
    <w:p>
      <w:p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iCs/>
          <w:sz w:val="20"/>
          <w:szCs w:val="20"/>
        </w:rPr>
        <w:t>La pyonéphrose se définit comme la présence d’une collection purulente dans les cavités rénales avec destruction partielle ou totale du parenchyme rénal associée à une péri néphrite importante. Elle est le plus souvent secondaire à un obstacle au niveau de la voie excrétrice urinaire [1].</w:t>
      </w:r>
      <w:r>
        <w:rPr>
          <w:rFonts w:hint="default" w:ascii="Times New Roman" w:hAnsi="Times New Roman" w:cs="Times New Roman"/>
          <w:sz w:val="20"/>
          <w:szCs w:val="20"/>
        </w:rPr>
        <w:t xml:space="preserve"> Il s’agit d’une infection rénale grave pouvant engager le pronostic vital du malade en raison de la septicémie qu’elle occasionne, mais aussi le pronostic fonctionnel du rein concerné.</w:t>
      </w:r>
    </w:p>
    <w:p>
      <w:p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De nos jours l’apport de la tomodensitométrie a rendu aisé le diagnostic de la pyonéphrose. Son traitement est bien codifié, il fait recours à la néphrectomie totale.</w:t>
      </w:r>
    </w:p>
    <w:p>
      <w:p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Cette affection est devenue de plus en plus rare dans les pays développés, demeure cependant fréquente dans les pays où l’accès aux soins reste difficile [2]. En Afrique sub-saharienne très peu d’étude ont été faite sur ce sujet. Et au Congo, il n’existe aucune donnée sur la pyonéphrose.</w:t>
      </w:r>
    </w:p>
    <w:p>
      <w:p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C’est dans ce contexte que nous avons entrepris cette étude qui a pour but de d’étudier les aspects cliniques, paracliniques, thérapeutiques et évolutifs de la pyonéphrose dans notre environnement de travail.</w:t>
      </w:r>
    </w:p>
    <w:p>
      <w:pPr>
        <w:keepNext w:val="0"/>
        <w:keepLines w:val="0"/>
        <w:pageBreakBefore w:val="0"/>
        <w:widowControl/>
        <w:kinsoku/>
        <w:wordWrap/>
        <w:overflowPunct/>
        <w:topLinePunct w:val="0"/>
        <w:bidi w:val="0"/>
        <w:snapToGrid/>
        <w:spacing w:before="120" w:after="40" w:line="240" w:lineRule="auto"/>
        <w:textAlignment w:val="auto"/>
        <w:rPr>
          <w:rFonts w:hint="default" w:ascii="Times New Roman" w:hAnsi="Times New Roman" w:cs="Times New Roman"/>
          <w:b/>
          <w:sz w:val="20"/>
          <w:szCs w:val="20"/>
        </w:rPr>
      </w:pPr>
      <w:r>
        <w:rPr>
          <w:rFonts w:hint="default" w:ascii="Times New Roman" w:hAnsi="Times New Roman" w:cs="Times New Roman"/>
          <w:b/>
          <w:sz w:val="20"/>
          <w:szCs w:val="20"/>
        </w:rPr>
        <w:t>PATIENTS ET MÉTHODES</w:t>
      </w:r>
    </w:p>
    <w:p>
      <w:pPr>
        <w:tabs>
          <w:tab w:val="left" w:pos="284"/>
        </w:tabs>
        <w:spacing w:after="0" w:line="240" w:lineRule="auto"/>
        <w:jc w:val="both"/>
        <w:rPr>
          <w:rFonts w:hint="default" w:ascii="Times New Roman" w:hAnsi="Times New Roman" w:cs="Times New Roman"/>
          <w:bCs/>
          <w:sz w:val="20"/>
          <w:szCs w:val="20"/>
        </w:rPr>
      </w:pPr>
      <w:r>
        <w:rPr>
          <w:rFonts w:hint="default" w:ascii="Times New Roman" w:hAnsi="Times New Roman" w:cs="Times New Roman"/>
          <w:bCs/>
          <w:sz w:val="20"/>
          <w:szCs w:val="20"/>
        </w:rPr>
        <w:t xml:space="preserve">Il s’est agi d’une étude rétrospective et descriptive, </w:t>
      </w:r>
      <w:r>
        <w:rPr>
          <w:rFonts w:hint="default" w:ascii="Times New Roman" w:hAnsi="Times New Roman" w:eastAsia="Calibri" w:cs="Times New Roman"/>
          <w:sz w:val="20"/>
          <w:szCs w:val="20"/>
        </w:rPr>
        <w:t>réalisée dans le service d’urologie-andrologie du Centre Hospitalier Universitaire de Brazzaville (CHUB)</w:t>
      </w:r>
      <w:r>
        <w:rPr>
          <w:rFonts w:hint="default" w:ascii="Times New Roman" w:hAnsi="Times New Roman" w:cs="Times New Roman"/>
          <w:sz w:val="20"/>
          <w:szCs w:val="20"/>
        </w:rPr>
        <w:t xml:space="preserve"> durant une période de 5 ans, </w:t>
      </w:r>
      <w:r>
        <w:rPr>
          <w:rFonts w:hint="default" w:ascii="Times New Roman" w:hAnsi="Times New Roman" w:cs="Times New Roman"/>
          <w:sz w:val="20"/>
          <w:szCs w:val="20"/>
          <w:lang w:val="fr-FR"/>
        </w:rPr>
        <w:t xml:space="preserve">allant du </w:t>
      </w:r>
      <w:r>
        <w:rPr>
          <w:rFonts w:hint="default" w:ascii="Times New Roman" w:hAnsi="Times New Roman" w:cs="Times New Roman"/>
          <w:sz w:val="20"/>
          <w:szCs w:val="20"/>
        </w:rPr>
        <w:t>1</w:t>
      </w:r>
      <w:r>
        <w:rPr>
          <w:rFonts w:hint="default" w:ascii="Times New Roman" w:hAnsi="Times New Roman" w:cs="Times New Roman"/>
          <w:sz w:val="20"/>
          <w:szCs w:val="20"/>
          <w:vertAlign w:val="superscript"/>
        </w:rPr>
        <w:t>er</w:t>
      </w:r>
      <w:r>
        <w:rPr>
          <w:rFonts w:hint="default" w:ascii="Times New Roman" w:hAnsi="Times New Roman" w:cs="Times New Roman"/>
          <w:sz w:val="20"/>
          <w:szCs w:val="20"/>
        </w:rPr>
        <w:t xml:space="preserve"> janvier 2014 au 31 décembre</w:t>
      </w:r>
      <w:r>
        <w:rPr>
          <w:rFonts w:hint="default" w:ascii="Times New Roman" w:hAnsi="Times New Roman" w:cs="Times New Roman"/>
          <w:bCs/>
          <w:sz w:val="20"/>
          <w:szCs w:val="20"/>
        </w:rPr>
        <w:t xml:space="preserve"> 2018.</w:t>
      </w:r>
    </w:p>
    <w:p>
      <w:pPr>
        <w:tabs>
          <w:tab w:val="left" w:pos="284"/>
        </w:tabs>
        <w:spacing w:after="0" w:line="240" w:lineRule="auto"/>
        <w:jc w:val="both"/>
        <w:rPr>
          <w:rFonts w:hint="default" w:ascii="Times New Roman" w:hAnsi="Times New Roman" w:cs="Times New Roman"/>
          <w:sz w:val="20"/>
          <w:szCs w:val="20"/>
        </w:rPr>
      </w:pPr>
      <w:r>
        <w:rPr>
          <w:rFonts w:hint="default" w:ascii="Times New Roman" w:hAnsi="Times New Roman" w:cs="Times New Roman"/>
          <w:bCs/>
          <w:sz w:val="20"/>
          <w:szCs w:val="20"/>
        </w:rPr>
        <w:t xml:space="preserve">Elle a inclus tous les </w:t>
      </w:r>
      <w:r>
        <w:rPr>
          <w:rFonts w:hint="default" w:ascii="Times New Roman" w:hAnsi="Times New Roman" w:cs="Times New Roman"/>
          <w:sz w:val="20"/>
          <w:szCs w:val="20"/>
        </w:rPr>
        <w:t>patients de tous les âges, sans distinction de sexe, admis dans le service d’urologie du CHUB pour une pyonéphrose. Nous avons exclu trois dossiers des patients hospitalisés pour pyonéphrose qui étaient incomplets.</w:t>
      </w:r>
    </w:p>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Le diagnostic de pyonéphrose était évoqué au plan clinique par l’existence d’une douleur de la fosse lombaire associée à un syndrome infectieux et confirmé sur le plan paraclinique par une collection du pus dans les cavités pyélo-calicielles avec destruction du parenchyme rénal à l’échographie, à l’UIV ou à l’uroscanner.</w:t>
      </w:r>
    </w:p>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La collecte des données était faite sur une fiche d’enquête à partir des dossiers des malades et du registre d’admission du service.</w:t>
      </w:r>
    </w:p>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 xml:space="preserve">Les variables étudiées étaient </w:t>
      </w:r>
      <w:r>
        <w:rPr>
          <w:rFonts w:hint="default" w:ascii="Times New Roman" w:hAnsi="Times New Roman" w:cs="Times New Roman"/>
          <w:sz w:val="20"/>
          <w:szCs w:val="20"/>
          <w:lang w:val="fr-FR"/>
        </w:rPr>
        <w:t>démographiques</w:t>
      </w:r>
      <w:r>
        <w:rPr>
          <w:rFonts w:hint="default" w:ascii="Times New Roman" w:hAnsi="Times New Roman" w:cs="Times New Roman"/>
          <w:sz w:val="20"/>
          <w:szCs w:val="20"/>
        </w:rPr>
        <w:t xml:space="preserve"> (la fréquence, l’âge, le sexe, la profession) ; cliniques (le délai de consultation en urologie, les antécédents, les circonstances de découverte, les données de l’examen clinique) ; paracliniques </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(la fonction rénale, le taux d’hémoglobine à la numération formule sanguine, l’uroculture, l’échographie de l’arbre urinaire, l’Urographie Intraveineuse et l’Uro-TDM); thérapeutiques (les antalgiques, l’antibiothérapie, la néphrostomie préopératoire, la technique de néphrectomie, la voie d’abord, l’exploration per opératoire, le geste réalisé, les gestes chirurgicaux associés, le type de drainage), évolutives (les suites opératoires immédiates et à long terme).</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Les patients ont été suivi sur une période de 24 mois.</w:t>
      </w:r>
    </w:p>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Le traitement des données, la réalisation des tableaux et des graphiques ont été réalisé avec le logiciel Microsoft Excel version 2016.</w:t>
      </w:r>
    </w:p>
    <w:p>
      <w:pPr>
        <w:keepNext w:val="0"/>
        <w:keepLines w:val="0"/>
        <w:pageBreakBefore w:val="0"/>
        <w:widowControl/>
        <w:kinsoku/>
        <w:wordWrap/>
        <w:overflowPunct/>
        <w:topLinePunct w:val="0"/>
        <w:bidi w:val="0"/>
        <w:snapToGrid/>
        <w:spacing w:before="120" w:after="40" w:line="240" w:lineRule="auto"/>
        <w:textAlignment w:val="auto"/>
        <w:rPr>
          <w:rFonts w:hint="default" w:ascii="Times New Roman" w:hAnsi="Times New Roman" w:cs="Times New Roman"/>
          <w:b/>
          <w:sz w:val="20"/>
          <w:szCs w:val="20"/>
        </w:rPr>
      </w:pPr>
      <w:r>
        <w:rPr>
          <w:rFonts w:hint="default" w:ascii="Times New Roman" w:hAnsi="Times New Roman" w:cs="Times New Roman"/>
          <w:b/>
          <w:sz w:val="20"/>
          <w:szCs w:val="20"/>
        </w:rPr>
        <w:t>RÉSULTATS</w:t>
      </w:r>
    </w:p>
    <w:p>
      <w:pPr>
        <w:keepNext w:val="0"/>
        <w:keepLines w:val="0"/>
        <w:pageBreakBefore w:val="0"/>
        <w:widowControl/>
        <w:kinsoku/>
        <w:wordWrap/>
        <w:overflowPunct/>
        <w:topLinePunct w:val="0"/>
        <w:bidi w:val="0"/>
        <w:snapToGrid/>
        <w:spacing w:before="60" w:after="2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Données épidémiologiques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Durant la période d’étude 23 dossiers des patients hospitalisés pour pyonéphrose ont été colligé sur 1153 dossiers des patients hospitalisés, soit une fréquence de 0,9</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Le nombre de cas recensés par année variait de 3 à 5 avec une moyenne 4,6 cas/an. La pyonéphrose représent</w:t>
      </w:r>
      <w:r>
        <w:rPr>
          <w:rFonts w:hint="default" w:ascii="Times New Roman" w:hAnsi="Times New Roman" w:cs="Times New Roman"/>
          <w:sz w:val="20"/>
          <w:szCs w:val="20"/>
          <w:lang w:val="fr-FR"/>
        </w:rPr>
        <w:t>ait</w:t>
      </w:r>
      <w:r>
        <w:rPr>
          <w:rFonts w:hint="default" w:ascii="Times New Roman" w:hAnsi="Times New Roman" w:cs="Times New Roman"/>
          <w:sz w:val="20"/>
          <w:szCs w:val="20"/>
        </w:rPr>
        <w:t xml:space="preserve"> 13,6</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de l’ensemble des patients admis pour pathologie infectieuse urologique.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L’âge moyen de la population était de 50,3</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15 ans avec des extrêmes de 7 et 70 ans et une médiane de 35 ans.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Le sex-ratio était </w:t>
      </w:r>
      <w:r>
        <w:rPr>
          <w:rFonts w:hint="default" w:ascii="Times New Roman" w:hAnsi="Times New Roman" w:cs="Times New Roman"/>
          <w:sz w:val="20"/>
          <w:szCs w:val="20"/>
          <w:lang w:val="fr-FR"/>
        </w:rPr>
        <w:t xml:space="preserve">de </w:t>
      </w:r>
      <w:r>
        <w:rPr>
          <w:rFonts w:hint="default" w:ascii="Times New Roman" w:hAnsi="Times New Roman" w:cs="Times New Roman"/>
          <w:sz w:val="20"/>
          <w:szCs w:val="20"/>
        </w:rPr>
        <w:t>0,77</w:t>
      </w:r>
      <w:r>
        <w:rPr>
          <w:rFonts w:hint="default" w:ascii="Times New Roman" w:hAnsi="Times New Roman" w:cs="Times New Roman"/>
          <w:sz w:val="20"/>
          <w:szCs w:val="20"/>
          <w:lang w:val="fr-FR"/>
        </w:rPr>
        <w:t>,</w:t>
      </w:r>
      <w:r>
        <w:rPr>
          <w:rFonts w:hint="default" w:ascii="Times New Roman" w:hAnsi="Times New Roman" w:cs="Times New Roman"/>
          <w:sz w:val="20"/>
          <w:szCs w:val="20"/>
        </w:rPr>
        <w:t xml:space="preserve"> soit</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10 hommes pour 13 femmes.</w:t>
      </w:r>
    </w:p>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 xml:space="preserve">Données cliniques </w:t>
      </w:r>
    </w:p>
    <w:p>
      <w:pPr>
        <w:spacing w:after="0" w:line="240" w:lineRule="auto"/>
        <w:ind w:right="0" w:rightChars="0"/>
        <w:jc w:val="both"/>
        <w:rPr>
          <w:rFonts w:hint="default" w:ascii="Times New Roman" w:hAnsi="Times New Roman" w:cs="Times New Roman"/>
          <w:sz w:val="20"/>
          <w:szCs w:val="20"/>
        </w:rPr>
      </w:pPr>
      <w:r>
        <w:rPr>
          <w:rFonts w:hint="default" w:ascii="Times New Roman" w:hAnsi="Times New Roman" w:cs="Times New Roman"/>
          <w:sz w:val="20"/>
          <w:szCs w:val="20"/>
        </w:rPr>
        <w:t>Le délai moyen de consultation urologique était 2,9 ans (33 mois), avec les extrêmes de 7 jours et 9 ans.</w:t>
      </w:r>
    </w:p>
    <w:p>
      <w:pPr>
        <w:spacing w:after="0" w:line="240" w:lineRule="auto"/>
        <w:ind w:right="0" w:rightChars="0"/>
        <w:jc w:val="both"/>
        <w:rPr>
          <w:rFonts w:hint="default" w:ascii="Times New Roman" w:hAnsi="Times New Roman" w:cs="Times New Roman"/>
          <w:sz w:val="20"/>
          <w:szCs w:val="20"/>
        </w:rPr>
      </w:pPr>
      <w:r>
        <w:rPr>
          <w:rFonts w:hint="default" w:ascii="Times New Roman" w:hAnsi="Times New Roman" w:cs="Times New Roman"/>
          <w:sz w:val="20"/>
          <w:szCs w:val="20"/>
        </w:rPr>
        <w:t>Les antécédents médicaux pathologiques ont été notés dans neuf cas (39</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Il s’agissait du diabète sucré dans cinq cas (21,7</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de lithiase rénale dans trois cas (13</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et l’infection urinaire à répétition chez un patient (4,3</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w:t>
      </w:r>
    </w:p>
    <w:p>
      <w:pPr>
        <w:spacing w:after="0" w:line="240" w:lineRule="auto"/>
        <w:ind w:right="-284"/>
        <w:jc w:val="both"/>
        <w:rPr>
          <w:rFonts w:hint="default" w:ascii="Times New Roman" w:hAnsi="Times New Roman" w:cs="Times New Roman"/>
          <w:sz w:val="20"/>
          <w:szCs w:val="20"/>
        </w:rPr>
      </w:pPr>
      <w:r>
        <w:rPr>
          <w:rFonts w:hint="default" w:ascii="Times New Roman" w:hAnsi="Times New Roman" w:cs="Times New Roman"/>
          <w:sz w:val="20"/>
          <w:szCs w:val="20"/>
        </w:rPr>
        <w:t>Le motif de consultation était constitué des douleurs de la fosse lombaire dans 15 cas (65,2</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w:t>
      </w:r>
      <w:r>
        <w:rPr>
          <w:rFonts w:hint="default" w:ascii="Times New Roman" w:hAnsi="Times New Roman" w:cs="Times New Roman"/>
          <w:sz w:val="20"/>
          <w:szCs w:val="20"/>
          <w:lang w:val="fr-FR"/>
        </w:rPr>
        <w:t xml:space="preserve"> comme indiqué dans le tableau I</w:t>
      </w:r>
      <w:r>
        <w:rPr>
          <w:rFonts w:hint="default" w:ascii="Times New Roman" w:hAnsi="Times New Roman" w:cs="Times New Roman"/>
          <w:sz w:val="20"/>
          <w:szCs w:val="20"/>
        </w:rPr>
        <w:t>.</w:t>
      </w:r>
    </w:p>
    <w:tbl>
      <w:tblPr>
        <w:tblStyle w:val="7"/>
        <w:tblpPr w:leftFromText="180" w:rightFromText="180" w:vertAnchor="text" w:horzAnchor="page" w:tblpX="6390" w:tblpY="65"/>
        <w:tblOverlap w:val="never"/>
        <w:tblW w:w="4936"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23"/>
        <w:gridCol w:w="628"/>
        <w:gridCol w:w="685"/>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36" w:type="dxa"/>
            <w:gridSpan w:val="3"/>
            <w:tcBorders>
              <w:top w:val="single" w:color="4F81BD" w:sz="8" w:space="0"/>
              <w:left w:val="nil"/>
              <w:bottom w:val="single" w:color="4F81BD" w:sz="8" w:space="0"/>
              <w:right w:val="nil"/>
            </w:tcBorders>
          </w:tcPr>
          <w:p>
            <w:pPr>
              <w:spacing w:after="0" w:line="240" w:lineRule="auto"/>
              <w:jc w:val="both"/>
              <w:rPr>
                <w:rFonts w:ascii="Times New Roman" w:hAnsi="Times New Roman"/>
                <w:b/>
                <w:bCs/>
                <w:color w:val="000000"/>
                <w:sz w:val="18"/>
                <w:szCs w:val="18"/>
              </w:rPr>
            </w:pPr>
            <w:r>
              <w:rPr>
                <w:rFonts w:ascii="Times New Roman" w:hAnsi="Times New Roman"/>
                <w:b/>
                <w:bCs/>
                <w:color w:val="365F91"/>
                <w:sz w:val="18"/>
                <w:szCs w:val="18"/>
              </w:rPr>
              <w:t>Tableau I</w:t>
            </w:r>
            <w:r>
              <w:rPr>
                <w:rFonts w:hint="default" w:ascii="Times New Roman" w:hAnsi="Times New Roman"/>
                <w:b/>
                <w:bCs/>
                <w:color w:val="365F91"/>
                <w:sz w:val="18"/>
                <w:szCs w:val="18"/>
                <w:lang w:val="fr-FR"/>
              </w:rPr>
              <w:t xml:space="preserve"> </w:t>
            </w:r>
            <w:r>
              <w:rPr>
                <w:rFonts w:ascii="Times New Roman" w:hAnsi="Times New Roman"/>
                <w:b/>
                <w:bCs/>
                <w:color w:val="365F91"/>
                <w:sz w:val="18"/>
                <w:szCs w:val="18"/>
              </w:rPr>
              <w:t xml:space="preserve">: </w:t>
            </w:r>
            <w:r>
              <w:rPr>
                <w:rFonts w:hint="default" w:ascii="Times New Roman" w:hAnsi="Times New Roman"/>
                <w:b/>
                <w:bCs/>
                <w:color w:val="365F91"/>
                <w:sz w:val="18"/>
                <w:szCs w:val="18"/>
              </w:rPr>
              <w:t>Répartition des motifs de consultation</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b/>
                <w:bCs/>
                <w:color w:val="000000"/>
                <w:sz w:val="18"/>
                <w:szCs w:val="18"/>
                <w:lang w:val="fr-FR"/>
              </w:rPr>
            </w:pPr>
            <w:r>
              <w:rPr>
                <w:rFonts w:hint="default" w:ascii="Times New Roman" w:hAnsi="Times New Roman" w:cs="Times New Roman"/>
                <w:b/>
                <w:sz w:val="18"/>
                <w:szCs w:val="18"/>
                <w:lang w:val="fr-FR"/>
              </w:rPr>
              <w:t>Motif de consultation</w:t>
            </w:r>
          </w:p>
        </w:tc>
        <w:tc>
          <w:tcPr>
            <w:tcW w:w="628"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color w:val="000000"/>
                <w:sz w:val="18"/>
                <w:szCs w:val="18"/>
              </w:rPr>
            </w:pPr>
            <w:r>
              <w:rPr>
                <w:rFonts w:hint="default" w:ascii="Times New Roman" w:hAnsi="Times New Roman"/>
                <w:b/>
                <w:color w:val="000000"/>
                <w:sz w:val="18"/>
                <w:szCs w:val="18"/>
                <w:lang w:val="fr-FR"/>
              </w:rPr>
              <w:t>n</w:t>
            </w:r>
          </w:p>
        </w:tc>
        <w:tc>
          <w:tcPr>
            <w:tcW w:w="685"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color w:val="000000"/>
                <w:sz w:val="18"/>
                <w:szCs w:val="18"/>
              </w:rPr>
            </w:pPr>
            <w:r>
              <w:rPr>
                <w:rFonts w:hint="default" w:ascii="Times New Roman" w:hAnsi="Times New Roman" w:cs="Times New Roman"/>
                <w:b/>
                <w:sz w:val="18"/>
                <w:szCs w:val="18"/>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vAlign w:val="center"/>
          </w:tcPr>
          <w:p>
            <w:pPr>
              <w:spacing w:after="0" w:line="240" w:lineRule="auto"/>
              <w:jc w:val="left"/>
              <w:rPr>
                <w:rFonts w:ascii="Times New Roman" w:hAnsi="Times New Roman"/>
                <w:b/>
                <w:bCs/>
                <w:color w:val="000000"/>
                <w:sz w:val="18"/>
                <w:szCs w:val="18"/>
              </w:rPr>
            </w:pPr>
            <w:r>
              <w:rPr>
                <w:rFonts w:hint="default" w:ascii="Times New Roman" w:hAnsi="Times New Roman" w:eastAsia="Times New Roman" w:cs="Times New Roman"/>
                <w:color w:val="000000"/>
                <w:sz w:val="18"/>
                <w:szCs w:val="18"/>
                <w:lang w:eastAsia="fr-FR"/>
              </w:rPr>
              <w:t>Douleurs de la fosse lombaire</w:t>
            </w:r>
          </w:p>
        </w:tc>
        <w:tc>
          <w:tcPr>
            <w:tcW w:w="628" w:type="dxa"/>
            <w:vAlign w:val="center"/>
          </w:tcPr>
          <w:p>
            <w:pPr>
              <w:spacing w:after="0" w:line="240" w:lineRule="auto"/>
              <w:jc w:val="center"/>
              <w:rPr>
                <w:rFonts w:ascii="Times New Roman" w:hAnsi="Times New Roman"/>
                <w:bCs/>
                <w:color w:val="000000"/>
                <w:sz w:val="18"/>
                <w:szCs w:val="18"/>
              </w:rPr>
            </w:pPr>
            <w:r>
              <w:rPr>
                <w:rFonts w:hint="default" w:ascii="Times New Roman" w:hAnsi="Times New Roman" w:eastAsia="Times New Roman" w:cs="Times New Roman"/>
                <w:color w:val="000000"/>
                <w:sz w:val="18"/>
                <w:szCs w:val="18"/>
                <w:lang w:eastAsia="fr-FR"/>
              </w:rPr>
              <w:t>15</w:t>
            </w:r>
          </w:p>
        </w:tc>
        <w:tc>
          <w:tcPr>
            <w:tcW w:w="685" w:type="dxa"/>
            <w:vAlign w:val="center"/>
          </w:tcPr>
          <w:p>
            <w:pPr>
              <w:spacing w:after="0" w:line="240" w:lineRule="auto"/>
              <w:jc w:val="center"/>
              <w:rPr>
                <w:rFonts w:ascii="Times New Roman" w:hAnsi="Times New Roman"/>
                <w:bCs/>
                <w:color w:val="000000"/>
                <w:sz w:val="18"/>
                <w:szCs w:val="18"/>
              </w:rPr>
            </w:pPr>
            <w:r>
              <w:rPr>
                <w:rFonts w:hint="default" w:ascii="Times New Roman" w:hAnsi="Times New Roman" w:eastAsia="Times New Roman" w:cs="Times New Roman"/>
                <w:color w:val="000000"/>
                <w:sz w:val="18"/>
                <w:szCs w:val="18"/>
                <w:lang w:eastAsia="fr-FR"/>
              </w:rPr>
              <w:t>65,2</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tcBorders>
              <w:left w:val="nil"/>
              <w:right w:val="nil"/>
            </w:tcBorders>
            <w:shd w:val="clear" w:color="auto" w:fill="D3DFEE"/>
            <w:vAlign w:val="center"/>
          </w:tcPr>
          <w:p>
            <w:pPr>
              <w:spacing w:after="0" w:line="240" w:lineRule="auto"/>
              <w:jc w:val="left"/>
              <w:rPr>
                <w:rFonts w:ascii="Times New Roman" w:hAnsi="Times New Roman"/>
                <w:b/>
                <w:bCs/>
                <w:color w:val="000000"/>
                <w:sz w:val="18"/>
                <w:szCs w:val="18"/>
              </w:rPr>
            </w:pPr>
            <w:r>
              <w:rPr>
                <w:rFonts w:hint="default" w:ascii="Times New Roman" w:hAnsi="Times New Roman" w:eastAsia="Times New Roman" w:cs="Times New Roman"/>
                <w:color w:val="000000"/>
                <w:sz w:val="18"/>
                <w:szCs w:val="18"/>
                <w:lang w:eastAsia="fr-FR"/>
              </w:rPr>
              <w:t>Hématurie</w:t>
            </w:r>
          </w:p>
        </w:tc>
        <w:tc>
          <w:tcPr>
            <w:tcW w:w="628" w:type="dxa"/>
            <w:tcBorders>
              <w:left w:val="nil"/>
              <w:right w:val="nil"/>
            </w:tcBorders>
            <w:shd w:val="clear" w:color="auto" w:fill="D3DFEE"/>
            <w:vAlign w:val="center"/>
          </w:tcPr>
          <w:p>
            <w:pPr>
              <w:spacing w:after="0" w:line="240" w:lineRule="auto"/>
              <w:jc w:val="center"/>
              <w:rPr>
                <w:rFonts w:ascii="Times New Roman" w:hAnsi="Times New Roman"/>
                <w:bCs/>
                <w:color w:val="000000"/>
                <w:sz w:val="18"/>
                <w:szCs w:val="18"/>
              </w:rPr>
            </w:pPr>
            <w:r>
              <w:rPr>
                <w:rFonts w:hint="default" w:ascii="Times New Roman" w:hAnsi="Times New Roman" w:eastAsia="Times New Roman" w:cs="Times New Roman"/>
                <w:color w:val="000000"/>
                <w:sz w:val="18"/>
                <w:szCs w:val="18"/>
                <w:lang w:eastAsia="fr-FR"/>
              </w:rPr>
              <w:t>4</w:t>
            </w:r>
          </w:p>
        </w:tc>
        <w:tc>
          <w:tcPr>
            <w:tcW w:w="685" w:type="dxa"/>
            <w:tcBorders>
              <w:left w:val="nil"/>
              <w:right w:val="nil"/>
            </w:tcBorders>
            <w:shd w:val="clear" w:color="auto" w:fill="D3DFEE"/>
            <w:vAlign w:val="center"/>
          </w:tcPr>
          <w:p>
            <w:pPr>
              <w:spacing w:after="0" w:line="240" w:lineRule="auto"/>
              <w:jc w:val="center"/>
              <w:rPr>
                <w:rFonts w:ascii="Times New Roman" w:hAnsi="Times New Roman"/>
                <w:bCs/>
                <w:color w:val="000000"/>
                <w:sz w:val="18"/>
                <w:szCs w:val="18"/>
              </w:rPr>
            </w:pPr>
            <w:r>
              <w:rPr>
                <w:rFonts w:hint="default" w:ascii="Times New Roman" w:hAnsi="Times New Roman" w:eastAsia="Times New Roman" w:cs="Times New Roman"/>
                <w:color w:val="000000"/>
                <w:sz w:val="18"/>
                <w:szCs w:val="18"/>
                <w:lang w:eastAsia="fr-FR"/>
              </w:rPr>
              <w:t>17,4</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vAlign w:val="center"/>
          </w:tcPr>
          <w:p>
            <w:pPr>
              <w:spacing w:after="0" w:line="240" w:lineRule="auto"/>
              <w:jc w:val="left"/>
              <w:rPr>
                <w:rFonts w:ascii="Times New Roman" w:hAnsi="Times New Roman"/>
                <w:b/>
                <w:bCs/>
                <w:color w:val="000000"/>
                <w:sz w:val="18"/>
                <w:szCs w:val="18"/>
              </w:rPr>
            </w:pPr>
            <w:r>
              <w:rPr>
                <w:rFonts w:hint="default" w:ascii="Times New Roman" w:hAnsi="Times New Roman" w:eastAsia="Times New Roman" w:cs="Times New Roman"/>
                <w:color w:val="000000"/>
                <w:sz w:val="18"/>
                <w:szCs w:val="18"/>
                <w:lang w:eastAsia="fr-FR"/>
              </w:rPr>
              <w:t>Syndrome infectieux</w:t>
            </w:r>
          </w:p>
        </w:tc>
        <w:tc>
          <w:tcPr>
            <w:tcW w:w="628" w:type="dxa"/>
            <w:vAlign w:val="center"/>
          </w:tcPr>
          <w:p>
            <w:pPr>
              <w:spacing w:after="0" w:line="240" w:lineRule="auto"/>
              <w:jc w:val="center"/>
              <w:rPr>
                <w:rFonts w:ascii="Times New Roman" w:hAnsi="Times New Roman"/>
                <w:bCs/>
                <w:color w:val="000000"/>
                <w:sz w:val="18"/>
                <w:szCs w:val="18"/>
              </w:rPr>
            </w:pPr>
            <w:r>
              <w:rPr>
                <w:rFonts w:hint="default" w:ascii="Times New Roman" w:hAnsi="Times New Roman" w:eastAsia="Times New Roman" w:cs="Times New Roman"/>
                <w:color w:val="000000"/>
                <w:sz w:val="18"/>
                <w:szCs w:val="18"/>
                <w:lang w:eastAsia="fr-FR"/>
              </w:rPr>
              <w:t>13</w:t>
            </w:r>
          </w:p>
        </w:tc>
        <w:tc>
          <w:tcPr>
            <w:tcW w:w="685" w:type="dxa"/>
            <w:vAlign w:val="center"/>
          </w:tcPr>
          <w:p>
            <w:pPr>
              <w:spacing w:after="0" w:line="240" w:lineRule="auto"/>
              <w:jc w:val="center"/>
              <w:rPr>
                <w:rFonts w:ascii="Times New Roman" w:hAnsi="Times New Roman"/>
                <w:bCs/>
                <w:color w:val="000000"/>
                <w:sz w:val="18"/>
                <w:szCs w:val="18"/>
              </w:rPr>
            </w:pPr>
            <w:r>
              <w:rPr>
                <w:rFonts w:hint="default" w:ascii="Times New Roman" w:hAnsi="Times New Roman" w:eastAsia="Times New Roman" w:cs="Times New Roman"/>
                <w:color w:val="000000"/>
                <w:sz w:val="18"/>
                <w:szCs w:val="18"/>
                <w:lang w:eastAsia="fr-FR"/>
              </w:rPr>
              <w:t>56,5</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tcBorders>
              <w:left w:val="nil"/>
              <w:right w:val="nil"/>
            </w:tcBorders>
            <w:shd w:val="clear" w:color="auto" w:fill="D3DFEE"/>
            <w:vAlign w:val="center"/>
          </w:tcPr>
          <w:p>
            <w:pPr>
              <w:spacing w:after="0" w:line="240" w:lineRule="auto"/>
              <w:jc w:val="left"/>
              <w:rPr>
                <w:rFonts w:ascii="Times New Roman" w:hAnsi="Times New Roman"/>
                <w:b/>
                <w:bCs/>
                <w:color w:val="000000"/>
                <w:sz w:val="18"/>
                <w:szCs w:val="18"/>
              </w:rPr>
            </w:pPr>
            <w:r>
              <w:rPr>
                <w:rFonts w:hint="default" w:ascii="Times New Roman" w:hAnsi="Times New Roman" w:eastAsia="Times New Roman" w:cs="Times New Roman"/>
                <w:color w:val="000000"/>
                <w:sz w:val="18"/>
                <w:szCs w:val="18"/>
                <w:lang w:eastAsia="fr-FR"/>
              </w:rPr>
              <w:t>Altération de l’état général</w:t>
            </w:r>
          </w:p>
        </w:tc>
        <w:tc>
          <w:tcPr>
            <w:tcW w:w="628" w:type="dxa"/>
            <w:tcBorders>
              <w:left w:val="nil"/>
              <w:right w:val="nil"/>
            </w:tcBorders>
            <w:shd w:val="clear" w:color="auto" w:fill="D3DFEE"/>
            <w:vAlign w:val="center"/>
          </w:tcPr>
          <w:p>
            <w:pPr>
              <w:spacing w:after="0" w:line="240" w:lineRule="auto"/>
              <w:jc w:val="center"/>
              <w:rPr>
                <w:rFonts w:ascii="Times New Roman" w:hAnsi="Times New Roman"/>
                <w:bCs/>
                <w:color w:val="000000"/>
                <w:sz w:val="18"/>
                <w:szCs w:val="18"/>
              </w:rPr>
            </w:pPr>
            <w:r>
              <w:rPr>
                <w:rFonts w:hint="default" w:ascii="Times New Roman" w:hAnsi="Times New Roman" w:eastAsia="Times New Roman" w:cs="Times New Roman"/>
                <w:color w:val="000000"/>
                <w:sz w:val="18"/>
                <w:szCs w:val="18"/>
                <w:lang w:eastAsia="fr-FR"/>
              </w:rPr>
              <w:t>8</w:t>
            </w:r>
          </w:p>
        </w:tc>
        <w:tc>
          <w:tcPr>
            <w:tcW w:w="685" w:type="dxa"/>
            <w:tcBorders>
              <w:left w:val="nil"/>
              <w:right w:val="nil"/>
            </w:tcBorders>
            <w:shd w:val="clear" w:color="auto" w:fill="D3DFEE"/>
            <w:vAlign w:val="center"/>
          </w:tcPr>
          <w:p>
            <w:pPr>
              <w:spacing w:after="0" w:line="240" w:lineRule="auto"/>
              <w:jc w:val="center"/>
              <w:rPr>
                <w:rFonts w:ascii="Times New Roman" w:hAnsi="Times New Roman"/>
                <w:bCs/>
                <w:color w:val="000000"/>
                <w:sz w:val="18"/>
                <w:szCs w:val="18"/>
              </w:rPr>
            </w:pPr>
            <w:r>
              <w:rPr>
                <w:rFonts w:hint="default" w:ascii="Times New Roman" w:hAnsi="Times New Roman" w:eastAsia="Times New Roman" w:cs="Times New Roman"/>
                <w:color w:val="000000"/>
                <w:sz w:val="18"/>
                <w:szCs w:val="18"/>
                <w:lang w:eastAsia="fr-FR"/>
              </w:rPr>
              <w:t>34,8</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vAlign w:val="center"/>
          </w:tcPr>
          <w:p>
            <w:pPr>
              <w:spacing w:after="0" w:line="240" w:lineRule="auto"/>
              <w:jc w:val="left"/>
              <w:rPr>
                <w:rFonts w:ascii="Times New Roman" w:hAnsi="Times New Roman"/>
                <w:b/>
                <w:bCs/>
                <w:color w:val="000000"/>
                <w:sz w:val="18"/>
                <w:szCs w:val="18"/>
              </w:rPr>
            </w:pPr>
            <w:r>
              <w:rPr>
                <w:rFonts w:hint="default" w:ascii="Times New Roman" w:hAnsi="Times New Roman" w:eastAsia="Times New Roman" w:cs="Times New Roman"/>
                <w:color w:val="000000"/>
                <w:sz w:val="18"/>
                <w:szCs w:val="18"/>
                <w:lang w:eastAsia="fr-FR"/>
              </w:rPr>
              <w:t>Pyurie</w:t>
            </w:r>
          </w:p>
        </w:tc>
        <w:tc>
          <w:tcPr>
            <w:tcW w:w="628" w:type="dxa"/>
            <w:vAlign w:val="center"/>
          </w:tcPr>
          <w:p>
            <w:pPr>
              <w:spacing w:after="0" w:line="240" w:lineRule="auto"/>
              <w:jc w:val="center"/>
              <w:rPr>
                <w:rFonts w:ascii="Times New Roman" w:hAnsi="Times New Roman"/>
                <w:b/>
                <w:color w:val="000000"/>
                <w:sz w:val="18"/>
                <w:szCs w:val="18"/>
              </w:rPr>
            </w:pPr>
            <w:r>
              <w:rPr>
                <w:rFonts w:hint="default" w:ascii="Times New Roman" w:hAnsi="Times New Roman" w:eastAsia="Times New Roman" w:cs="Times New Roman"/>
                <w:color w:val="000000"/>
                <w:sz w:val="18"/>
                <w:szCs w:val="18"/>
                <w:lang w:eastAsia="fr-FR"/>
              </w:rPr>
              <w:t>12</w:t>
            </w:r>
          </w:p>
        </w:tc>
        <w:tc>
          <w:tcPr>
            <w:tcW w:w="685" w:type="dxa"/>
            <w:vAlign w:val="center"/>
          </w:tcPr>
          <w:p>
            <w:pPr>
              <w:spacing w:after="0" w:line="240" w:lineRule="auto"/>
              <w:jc w:val="center"/>
              <w:rPr>
                <w:rFonts w:ascii="Times New Roman" w:hAnsi="Times New Roman"/>
                <w:b/>
                <w:color w:val="000000"/>
                <w:sz w:val="18"/>
                <w:szCs w:val="18"/>
              </w:rPr>
            </w:pPr>
            <w:r>
              <w:rPr>
                <w:rFonts w:hint="default" w:ascii="Times New Roman" w:hAnsi="Times New Roman" w:eastAsia="Times New Roman" w:cs="Times New Roman"/>
                <w:color w:val="000000"/>
                <w:sz w:val="18"/>
                <w:szCs w:val="18"/>
                <w:lang w:eastAsia="fr-FR"/>
              </w:rPr>
              <w:t>52,2</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tcBorders>
              <w:left w:val="nil"/>
              <w:right w:val="nil"/>
            </w:tcBorders>
            <w:shd w:val="clear" w:color="auto" w:fill="D3DFEE"/>
            <w:vAlign w:val="center"/>
          </w:tcPr>
          <w:p>
            <w:pPr>
              <w:spacing w:after="0" w:line="240" w:lineRule="auto"/>
              <w:jc w:val="left"/>
              <w:rPr>
                <w:rFonts w:ascii="Times New Roman" w:hAnsi="Times New Roman"/>
                <w:b/>
                <w:bCs/>
                <w:color w:val="000000"/>
                <w:sz w:val="18"/>
                <w:szCs w:val="18"/>
              </w:rPr>
            </w:pPr>
            <w:r>
              <w:rPr>
                <w:rFonts w:hint="default" w:ascii="Times New Roman" w:hAnsi="Times New Roman" w:eastAsia="Times New Roman" w:cs="Times New Roman"/>
                <w:color w:val="000000"/>
                <w:sz w:val="18"/>
                <w:szCs w:val="18"/>
                <w:lang w:eastAsia="fr-FR"/>
              </w:rPr>
              <w:t>Masse de la fosse lombaire</w:t>
            </w:r>
          </w:p>
        </w:tc>
        <w:tc>
          <w:tcPr>
            <w:tcW w:w="628" w:type="dxa"/>
            <w:tcBorders>
              <w:left w:val="nil"/>
              <w:right w:val="nil"/>
            </w:tcBorders>
            <w:shd w:val="clear" w:color="auto" w:fill="D3DFEE"/>
            <w:vAlign w:val="center"/>
          </w:tcPr>
          <w:p>
            <w:pPr>
              <w:spacing w:after="0" w:line="240" w:lineRule="auto"/>
              <w:jc w:val="center"/>
              <w:rPr>
                <w:rFonts w:ascii="Times New Roman" w:hAnsi="Times New Roman"/>
                <w:bCs/>
                <w:color w:val="000000"/>
                <w:sz w:val="18"/>
                <w:szCs w:val="18"/>
              </w:rPr>
            </w:pPr>
            <w:r>
              <w:rPr>
                <w:rFonts w:hint="default" w:ascii="Times New Roman" w:hAnsi="Times New Roman" w:eastAsia="Times New Roman" w:cs="Times New Roman"/>
                <w:color w:val="000000"/>
                <w:sz w:val="18"/>
                <w:szCs w:val="18"/>
                <w:lang w:eastAsia="fr-FR"/>
              </w:rPr>
              <w:t>10</w:t>
            </w:r>
          </w:p>
        </w:tc>
        <w:tc>
          <w:tcPr>
            <w:tcW w:w="685" w:type="dxa"/>
            <w:tcBorders>
              <w:left w:val="nil"/>
              <w:right w:val="nil"/>
            </w:tcBorders>
            <w:shd w:val="clear" w:color="auto" w:fill="D3DFEE"/>
            <w:vAlign w:val="center"/>
          </w:tcPr>
          <w:p>
            <w:pPr>
              <w:spacing w:after="0" w:line="240" w:lineRule="auto"/>
              <w:jc w:val="center"/>
              <w:rPr>
                <w:rFonts w:ascii="Times New Roman" w:hAnsi="Times New Roman"/>
                <w:bCs/>
                <w:color w:val="000000"/>
                <w:sz w:val="18"/>
                <w:szCs w:val="18"/>
              </w:rPr>
            </w:pPr>
            <w:r>
              <w:rPr>
                <w:rFonts w:hint="default" w:ascii="Times New Roman" w:hAnsi="Times New Roman" w:eastAsia="Times New Roman" w:cs="Times New Roman"/>
                <w:color w:val="000000"/>
                <w:sz w:val="18"/>
                <w:szCs w:val="18"/>
                <w:lang w:eastAsia="fr-FR"/>
              </w:rPr>
              <w:t>43,5</w:t>
            </w:r>
          </w:p>
        </w:tc>
      </w:tr>
    </w:tbl>
    <w:p>
      <w:pPr>
        <w:spacing w:after="0" w:line="240" w:lineRule="auto"/>
        <w:ind w:right="-284"/>
        <w:jc w:val="both"/>
        <w:rPr>
          <w:rFonts w:hint="default" w:ascii="Times New Roman" w:hAnsi="Times New Roman" w:cs="Times New Roman"/>
          <w:bCs/>
          <w:iCs/>
          <w:sz w:val="20"/>
          <w:szCs w:val="20"/>
        </w:rPr>
      </w:pPr>
      <w:r>
        <w:rPr>
          <w:rFonts w:hint="default" w:ascii="Times New Roman" w:hAnsi="Times New Roman" w:cs="Times New Roman"/>
          <w:sz w:val="20"/>
          <w:szCs w:val="20"/>
        </w:rPr>
        <w:t>L’examen clinique retrouvait la douleur à la palpation de la fosse lombaire dans 19</w:t>
      </w:r>
      <w:r>
        <w:rPr>
          <w:rFonts w:hint="default" w:ascii="Times New Roman" w:hAnsi="Times New Roman" w:cs="Times New Roman"/>
          <w:bCs/>
          <w:iCs/>
          <w:sz w:val="20"/>
          <w:szCs w:val="20"/>
        </w:rPr>
        <w:t xml:space="preserve"> cas (82,6</w:t>
      </w:r>
      <w:r>
        <w:rPr>
          <w:rFonts w:hint="default" w:ascii="Times New Roman" w:hAnsi="Times New Roman" w:cs="Times New Roman"/>
          <w:bCs/>
          <w:iCs/>
          <w:sz w:val="20"/>
          <w:szCs w:val="20"/>
          <w:lang w:val="fr-FR"/>
        </w:rPr>
        <w:t xml:space="preserve"> </w:t>
      </w:r>
      <w:r>
        <w:rPr>
          <w:rFonts w:hint="default" w:ascii="Times New Roman" w:hAnsi="Times New Roman" w:cs="Times New Roman"/>
          <w:bCs/>
          <w:iCs/>
          <w:sz w:val="20"/>
          <w:szCs w:val="20"/>
        </w:rPr>
        <w:t xml:space="preserve">%). </w:t>
      </w:r>
      <w:r>
        <w:rPr>
          <w:rFonts w:hint="default" w:ascii="Times New Roman" w:hAnsi="Times New Roman" w:cs="Times New Roman"/>
          <w:sz w:val="20"/>
          <w:szCs w:val="20"/>
        </w:rPr>
        <w:t xml:space="preserve">L’état général était altéré avec le statut performance de l’OMS </w:t>
      </w:r>
      <w:r>
        <w:rPr>
          <w:rFonts w:hint="default" w:ascii="Times New Roman" w:hAnsi="Times New Roman" w:cs="Times New Roman"/>
          <w:sz w:val="20"/>
          <w:szCs w:val="20"/>
          <w:lang w:val="fr-FR"/>
        </w:rPr>
        <w:t>inférieur</w:t>
      </w:r>
      <w:r>
        <w:rPr>
          <w:rFonts w:hint="default" w:ascii="Times New Roman" w:hAnsi="Times New Roman" w:cs="Times New Roman"/>
          <w:sz w:val="20"/>
          <w:szCs w:val="20"/>
        </w:rPr>
        <w:t xml:space="preserve"> à trois dans 15 cas (65,2</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xml:space="preserve">%) </w:t>
      </w:r>
      <w:r>
        <w:rPr>
          <w:rFonts w:hint="default" w:ascii="Times New Roman" w:hAnsi="Times New Roman" w:cs="Times New Roman"/>
          <w:bCs/>
          <w:iCs/>
          <w:sz w:val="20"/>
          <w:szCs w:val="20"/>
        </w:rPr>
        <w:t>(Tableau II).</w:t>
      </w:r>
    </w:p>
    <w:tbl>
      <w:tblPr>
        <w:tblStyle w:val="7"/>
        <w:tblpPr w:leftFromText="180" w:rightFromText="180" w:vertAnchor="page" w:horzAnchor="page" w:tblpX="6400" w:tblpY="5287"/>
        <w:tblOverlap w:val="never"/>
        <w:tblW w:w="4936"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23"/>
        <w:gridCol w:w="628"/>
        <w:gridCol w:w="685"/>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36" w:type="dxa"/>
            <w:gridSpan w:val="3"/>
            <w:tcBorders>
              <w:top w:val="single" w:color="4F81BD" w:sz="8" w:space="0"/>
              <w:left w:val="nil"/>
              <w:bottom w:val="single" w:color="4F81BD" w:sz="8" w:space="0"/>
              <w:right w:val="nil"/>
            </w:tcBorders>
          </w:tcPr>
          <w:p>
            <w:pPr>
              <w:spacing w:after="0" w:line="240" w:lineRule="auto"/>
              <w:jc w:val="both"/>
              <w:rPr>
                <w:rFonts w:ascii="Times New Roman" w:hAnsi="Times New Roman"/>
                <w:b/>
                <w:bCs/>
                <w:color w:val="000000"/>
                <w:sz w:val="18"/>
                <w:szCs w:val="18"/>
              </w:rPr>
            </w:pPr>
            <w:r>
              <w:rPr>
                <w:rFonts w:ascii="Times New Roman" w:hAnsi="Times New Roman"/>
                <w:b/>
                <w:bCs/>
                <w:color w:val="365F91"/>
                <w:sz w:val="18"/>
                <w:szCs w:val="18"/>
              </w:rPr>
              <w:t xml:space="preserve">Tableau </w:t>
            </w:r>
            <w:r>
              <w:rPr>
                <w:rFonts w:hint="default" w:ascii="Times New Roman" w:hAnsi="Times New Roman"/>
                <w:b/>
                <w:bCs/>
                <w:color w:val="365F91"/>
                <w:sz w:val="18"/>
                <w:szCs w:val="18"/>
                <w:lang w:val="fr-FR"/>
              </w:rPr>
              <w:t>I</w:t>
            </w:r>
            <w:r>
              <w:rPr>
                <w:rFonts w:ascii="Times New Roman" w:hAnsi="Times New Roman"/>
                <w:b/>
                <w:bCs/>
                <w:color w:val="365F91"/>
                <w:sz w:val="18"/>
                <w:szCs w:val="18"/>
              </w:rPr>
              <w:t>I</w:t>
            </w:r>
            <w:r>
              <w:rPr>
                <w:rFonts w:hint="default" w:ascii="Times New Roman" w:hAnsi="Times New Roman"/>
                <w:b/>
                <w:bCs/>
                <w:color w:val="365F91"/>
                <w:sz w:val="18"/>
                <w:szCs w:val="18"/>
                <w:lang w:val="fr-FR"/>
              </w:rPr>
              <w:t xml:space="preserve"> </w:t>
            </w:r>
            <w:r>
              <w:rPr>
                <w:rFonts w:ascii="Times New Roman" w:hAnsi="Times New Roman"/>
                <w:b/>
                <w:bCs/>
                <w:color w:val="365F91"/>
                <w:sz w:val="18"/>
                <w:szCs w:val="18"/>
              </w:rPr>
              <w:t xml:space="preserve">: </w:t>
            </w:r>
            <w:r>
              <w:rPr>
                <w:rFonts w:hint="default" w:ascii="Times New Roman" w:hAnsi="Times New Roman"/>
                <w:b/>
                <w:bCs/>
                <w:color w:val="365F91"/>
                <w:sz w:val="18"/>
                <w:szCs w:val="18"/>
              </w:rPr>
              <w:t>Répartition des résultats de l’examen clinique</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b/>
                <w:bCs/>
                <w:color w:val="000000"/>
                <w:sz w:val="18"/>
                <w:szCs w:val="18"/>
                <w:lang w:val="fr-FR"/>
              </w:rPr>
            </w:pPr>
            <w:r>
              <w:rPr>
                <w:rFonts w:hint="default" w:ascii="Times New Roman" w:hAnsi="Times New Roman" w:cs="Times New Roman"/>
                <w:b/>
                <w:sz w:val="18"/>
                <w:szCs w:val="18"/>
                <w:lang w:val="fr-FR"/>
              </w:rPr>
              <w:t>Signes à l’examen clinique</w:t>
            </w:r>
          </w:p>
        </w:tc>
        <w:tc>
          <w:tcPr>
            <w:tcW w:w="628"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color w:val="000000"/>
                <w:sz w:val="18"/>
                <w:szCs w:val="18"/>
              </w:rPr>
            </w:pPr>
            <w:r>
              <w:rPr>
                <w:rFonts w:hint="default" w:ascii="Times New Roman" w:hAnsi="Times New Roman"/>
                <w:b/>
                <w:color w:val="000000"/>
                <w:sz w:val="18"/>
                <w:szCs w:val="18"/>
                <w:lang w:val="fr-FR"/>
              </w:rPr>
              <w:t>n</w:t>
            </w:r>
          </w:p>
        </w:tc>
        <w:tc>
          <w:tcPr>
            <w:tcW w:w="685"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color w:val="000000"/>
                <w:sz w:val="18"/>
                <w:szCs w:val="18"/>
              </w:rPr>
            </w:pPr>
            <w:r>
              <w:rPr>
                <w:rFonts w:hint="default" w:ascii="Times New Roman" w:hAnsi="Times New Roman" w:cs="Times New Roman"/>
                <w:b/>
                <w:sz w:val="18"/>
                <w:szCs w:val="18"/>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vAlign w:val="center"/>
          </w:tcPr>
          <w:p>
            <w:pPr>
              <w:spacing w:after="0" w:line="240" w:lineRule="auto"/>
              <w:jc w:val="left"/>
              <w:rPr>
                <w:rFonts w:ascii="Times New Roman" w:hAnsi="Times New Roman"/>
                <w:b/>
                <w:bCs/>
                <w:color w:val="000000"/>
                <w:sz w:val="18"/>
                <w:szCs w:val="18"/>
              </w:rPr>
            </w:pPr>
            <w:r>
              <w:rPr>
                <w:rFonts w:hint="default" w:ascii="Times New Roman" w:hAnsi="Times New Roman" w:eastAsia="Times New Roman" w:cs="Times New Roman"/>
                <w:color w:val="000000"/>
                <w:sz w:val="18"/>
                <w:szCs w:val="18"/>
                <w:lang w:eastAsia="fr-FR"/>
              </w:rPr>
              <w:t>Normal</w:t>
            </w:r>
          </w:p>
        </w:tc>
        <w:tc>
          <w:tcPr>
            <w:tcW w:w="628" w:type="dxa"/>
            <w:vAlign w:val="center"/>
          </w:tcPr>
          <w:p>
            <w:pPr>
              <w:spacing w:after="0" w:line="240" w:lineRule="auto"/>
              <w:jc w:val="center"/>
              <w:rPr>
                <w:rFonts w:ascii="Times New Roman" w:hAnsi="Times New Roman"/>
                <w:bCs/>
                <w:color w:val="000000"/>
                <w:sz w:val="18"/>
                <w:szCs w:val="18"/>
              </w:rPr>
            </w:pPr>
            <w:r>
              <w:rPr>
                <w:rFonts w:hint="default" w:ascii="Times New Roman" w:hAnsi="Times New Roman" w:eastAsia="Times New Roman" w:cs="Times New Roman"/>
                <w:color w:val="000000"/>
                <w:sz w:val="18"/>
                <w:szCs w:val="18"/>
                <w:lang w:eastAsia="fr-FR"/>
              </w:rPr>
              <w:t>1</w:t>
            </w:r>
          </w:p>
        </w:tc>
        <w:tc>
          <w:tcPr>
            <w:tcW w:w="685" w:type="dxa"/>
            <w:vAlign w:val="center"/>
          </w:tcPr>
          <w:p>
            <w:pPr>
              <w:spacing w:after="0" w:line="240" w:lineRule="auto"/>
              <w:jc w:val="center"/>
              <w:rPr>
                <w:rFonts w:ascii="Times New Roman" w:hAnsi="Times New Roman"/>
                <w:bCs/>
                <w:color w:val="000000"/>
                <w:sz w:val="18"/>
                <w:szCs w:val="18"/>
              </w:rPr>
            </w:pPr>
            <w:r>
              <w:rPr>
                <w:rFonts w:hint="default" w:ascii="Times New Roman" w:hAnsi="Times New Roman" w:eastAsia="Times New Roman" w:cs="Times New Roman"/>
                <w:color w:val="000000"/>
                <w:sz w:val="18"/>
                <w:szCs w:val="18"/>
                <w:lang w:eastAsia="fr-FR"/>
              </w:rPr>
              <w:t>4,3</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 w:hRule="atLeast"/>
        </w:trPr>
        <w:tc>
          <w:tcPr>
            <w:tcW w:w="3623" w:type="dxa"/>
            <w:tcBorders>
              <w:left w:val="nil"/>
              <w:right w:val="nil"/>
            </w:tcBorders>
            <w:shd w:val="clear" w:color="auto" w:fill="D3DFEE"/>
            <w:vAlign w:val="center"/>
          </w:tcPr>
          <w:p>
            <w:pPr>
              <w:spacing w:after="0" w:line="240" w:lineRule="auto"/>
              <w:jc w:val="left"/>
              <w:rPr>
                <w:rFonts w:ascii="Times New Roman" w:hAnsi="Times New Roman"/>
                <w:b/>
                <w:bCs/>
                <w:color w:val="000000"/>
                <w:sz w:val="18"/>
                <w:szCs w:val="18"/>
              </w:rPr>
            </w:pPr>
            <w:r>
              <w:rPr>
                <w:rFonts w:hint="default" w:ascii="Times New Roman" w:hAnsi="Times New Roman" w:eastAsia="Times New Roman" w:cs="Times New Roman"/>
                <w:color w:val="000000"/>
                <w:sz w:val="18"/>
                <w:szCs w:val="18"/>
                <w:lang w:eastAsia="fr-FR"/>
              </w:rPr>
              <w:t>Fièvre</w:t>
            </w:r>
          </w:p>
        </w:tc>
        <w:tc>
          <w:tcPr>
            <w:tcW w:w="628" w:type="dxa"/>
            <w:tcBorders>
              <w:left w:val="nil"/>
              <w:right w:val="nil"/>
            </w:tcBorders>
            <w:shd w:val="clear" w:color="auto" w:fill="D3DFEE"/>
            <w:vAlign w:val="center"/>
          </w:tcPr>
          <w:p>
            <w:pPr>
              <w:spacing w:after="0" w:line="240" w:lineRule="auto"/>
              <w:jc w:val="center"/>
              <w:rPr>
                <w:rFonts w:ascii="Times New Roman" w:hAnsi="Times New Roman"/>
                <w:bCs/>
                <w:color w:val="000000"/>
                <w:sz w:val="18"/>
                <w:szCs w:val="18"/>
              </w:rPr>
            </w:pPr>
            <w:r>
              <w:rPr>
                <w:rFonts w:hint="default" w:ascii="Times New Roman" w:hAnsi="Times New Roman" w:eastAsia="Times New Roman" w:cs="Times New Roman"/>
                <w:color w:val="000000"/>
                <w:sz w:val="18"/>
                <w:szCs w:val="18"/>
                <w:lang w:eastAsia="fr-FR"/>
              </w:rPr>
              <w:t>13</w:t>
            </w:r>
          </w:p>
        </w:tc>
        <w:tc>
          <w:tcPr>
            <w:tcW w:w="685" w:type="dxa"/>
            <w:tcBorders>
              <w:left w:val="nil"/>
              <w:right w:val="nil"/>
            </w:tcBorders>
            <w:shd w:val="clear" w:color="auto" w:fill="D3DFEE"/>
            <w:vAlign w:val="center"/>
          </w:tcPr>
          <w:p>
            <w:pPr>
              <w:spacing w:after="0" w:line="240" w:lineRule="auto"/>
              <w:jc w:val="center"/>
              <w:rPr>
                <w:rFonts w:ascii="Times New Roman" w:hAnsi="Times New Roman"/>
                <w:bCs/>
                <w:color w:val="000000"/>
                <w:sz w:val="18"/>
                <w:szCs w:val="18"/>
              </w:rPr>
            </w:pPr>
            <w:r>
              <w:rPr>
                <w:rFonts w:hint="default" w:ascii="Times New Roman" w:hAnsi="Times New Roman" w:eastAsia="Times New Roman" w:cs="Times New Roman"/>
                <w:color w:val="000000"/>
                <w:sz w:val="18"/>
                <w:szCs w:val="18"/>
                <w:lang w:eastAsia="fr-FR"/>
              </w:rPr>
              <w:t>56,5</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vAlign w:val="center"/>
          </w:tcPr>
          <w:p>
            <w:pPr>
              <w:spacing w:after="0" w:line="240" w:lineRule="auto"/>
              <w:jc w:val="left"/>
              <w:rPr>
                <w:rFonts w:ascii="Times New Roman" w:hAnsi="Times New Roman"/>
                <w:b/>
                <w:bCs/>
                <w:color w:val="000000"/>
                <w:sz w:val="18"/>
                <w:szCs w:val="18"/>
              </w:rPr>
            </w:pPr>
            <w:r>
              <w:rPr>
                <w:rFonts w:hint="default" w:ascii="Times New Roman" w:hAnsi="Times New Roman" w:eastAsia="Times New Roman" w:cs="Times New Roman"/>
                <w:color w:val="000000"/>
                <w:sz w:val="18"/>
                <w:szCs w:val="18"/>
                <w:lang w:eastAsia="fr-FR"/>
              </w:rPr>
              <w:t>Altération de l’état général avec status performance de l’OMS inférieur à 3</w:t>
            </w:r>
          </w:p>
        </w:tc>
        <w:tc>
          <w:tcPr>
            <w:tcW w:w="628" w:type="dxa"/>
            <w:vAlign w:val="center"/>
          </w:tcPr>
          <w:p>
            <w:pPr>
              <w:spacing w:after="0" w:line="240" w:lineRule="auto"/>
              <w:jc w:val="center"/>
              <w:rPr>
                <w:rFonts w:ascii="Times New Roman" w:hAnsi="Times New Roman"/>
                <w:bCs/>
                <w:color w:val="000000"/>
                <w:sz w:val="18"/>
                <w:szCs w:val="18"/>
              </w:rPr>
            </w:pPr>
            <w:r>
              <w:rPr>
                <w:rFonts w:hint="default" w:ascii="Times New Roman" w:hAnsi="Times New Roman" w:eastAsia="Times New Roman" w:cs="Times New Roman"/>
                <w:color w:val="000000"/>
                <w:sz w:val="18"/>
                <w:szCs w:val="18"/>
                <w:lang w:eastAsia="fr-FR"/>
              </w:rPr>
              <w:t>15</w:t>
            </w:r>
          </w:p>
        </w:tc>
        <w:tc>
          <w:tcPr>
            <w:tcW w:w="685" w:type="dxa"/>
            <w:vAlign w:val="center"/>
          </w:tcPr>
          <w:p>
            <w:pPr>
              <w:spacing w:after="0" w:line="240" w:lineRule="auto"/>
              <w:jc w:val="center"/>
              <w:rPr>
                <w:rFonts w:ascii="Times New Roman" w:hAnsi="Times New Roman"/>
                <w:bCs/>
                <w:color w:val="000000"/>
                <w:sz w:val="18"/>
                <w:szCs w:val="18"/>
              </w:rPr>
            </w:pPr>
            <w:r>
              <w:rPr>
                <w:rFonts w:hint="default" w:ascii="Times New Roman" w:hAnsi="Times New Roman" w:eastAsia="Times New Roman" w:cs="Times New Roman"/>
                <w:color w:val="000000"/>
                <w:sz w:val="18"/>
                <w:szCs w:val="18"/>
                <w:lang w:eastAsia="fr-FR"/>
              </w:rPr>
              <w:t>65,2</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tcBorders>
              <w:left w:val="nil"/>
              <w:right w:val="nil"/>
            </w:tcBorders>
            <w:shd w:val="clear" w:color="auto" w:fill="D3DFEE"/>
            <w:vAlign w:val="center"/>
          </w:tcPr>
          <w:p>
            <w:pPr>
              <w:spacing w:after="0" w:line="240" w:lineRule="auto"/>
              <w:jc w:val="left"/>
              <w:rPr>
                <w:rFonts w:ascii="Times New Roman" w:hAnsi="Times New Roman"/>
                <w:b/>
                <w:bCs/>
                <w:color w:val="000000"/>
                <w:sz w:val="18"/>
                <w:szCs w:val="18"/>
              </w:rPr>
            </w:pPr>
            <w:r>
              <w:rPr>
                <w:rFonts w:hint="default" w:ascii="Times New Roman" w:hAnsi="Times New Roman" w:eastAsia="Times New Roman" w:cs="Times New Roman"/>
                <w:color w:val="000000"/>
                <w:sz w:val="18"/>
                <w:szCs w:val="18"/>
                <w:lang w:eastAsia="fr-FR"/>
              </w:rPr>
              <w:t>Anémie clinique</w:t>
            </w:r>
          </w:p>
        </w:tc>
        <w:tc>
          <w:tcPr>
            <w:tcW w:w="628" w:type="dxa"/>
            <w:tcBorders>
              <w:left w:val="nil"/>
              <w:right w:val="nil"/>
            </w:tcBorders>
            <w:shd w:val="clear" w:color="auto" w:fill="D3DFEE"/>
            <w:vAlign w:val="center"/>
          </w:tcPr>
          <w:p>
            <w:pPr>
              <w:spacing w:after="0" w:line="240" w:lineRule="auto"/>
              <w:jc w:val="center"/>
              <w:rPr>
                <w:rFonts w:ascii="Times New Roman" w:hAnsi="Times New Roman"/>
                <w:bCs/>
                <w:color w:val="000000"/>
                <w:sz w:val="18"/>
                <w:szCs w:val="18"/>
              </w:rPr>
            </w:pPr>
            <w:r>
              <w:rPr>
                <w:rFonts w:hint="default" w:ascii="Times New Roman" w:hAnsi="Times New Roman" w:eastAsia="Times New Roman" w:cs="Times New Roman"/>
                <w:color w:val="000000"/>
                <w:sz w:val="18"/>
                <w:szCs w:val="18"/>
                <w:lang w:eastAsia="fr-FR"/>
              </w:rPr>
              <w:t>12</w:t>
            </w:r>
          </w:p>
        </w:tc>
        <w:tc>
          <w:tcPr>
            <w:tcW w:w="685" w:type="dxa"/>
            <w:tcBorders>
              <w:left w:val="nil"/>
              <w:right w:val="nil"/>
            </w:tcBorders>
            <w:shd w:val="clear" w:color="auto" w:fill="D3DFEE"/>
            <w:vAlign w:val="center"/>
          </w:tcPr>
          <w:p>
            <w:pPr>
              <w:spacing w:after="0" w:line="240" w:lineRule="auto"/>
              <w:jc w:val="center"/>
              <w:rPr>
                <w:rFonts w:ascii="Times New Roman" w:hAnsi="Times New Roman"/>
                <w:bCs/>
                <w:color w:val="000000"/>
                <w:sz w:val="18"/>
                <w:szCs w:val="18"/>
              </w:rPr>
            </w:pPr>
            <w:r>
              <w:rPr>
                <w:rFonts w:hint="default" w:ascii="Times New Roman" w:hAnsi="Times New Roman" w:eastAsia="Times New Roman" w:cs="Times New Roman"/>
                <w:color w:val="000000"/>
                <w:sz w:val="18"/>
                <w:szCs w:val="18"/>
                <w:lang w:eastAsia="fr-FR"/>
              </w:rPr>
              <w:t>52,2</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vAlign w:val="center"/>
          </w:tcPr>
          <w:p>
            <w:pPr>
              <w:spacing w:after="0" w:line="240" w:lineRule="auto"/>
              <w:jc w:val="left"/>
              <w:rPr>
                <w:rFonts w:ascii="Times New Roman" w:hAnsi="Times New Roman"/>
                <w:b/>
                <w:bCs/>
                <w:color w:val="000000"/>
                <w:sz w:val="18"/>
                <w:szCs w:val="18"/>
              </w:rPr>
            </w:pPr>
            <w:r>
              <w:rPr>
                <w:rFonts w:hint="default" w:ascii="Times New Roman" w:hAnsi="Times New Roman" w:eastAsia="Times New Roman" w:cs="Times New Roman"/>
                <w:color w:val="000000"/>
                <w:sz w:val="18"/>
                <w:szCs w:val="18"/>
                <w:lang w:eastAsia="fr-FR"/>
              </w:rPr>
              <w:t>Gros rein</w:t>
            </w:r>
          </w:p>
        </w:tc>
        <w:tc>
          <w:tcPr>
            <w:tcW w:w="628" w:type="dxa"/>
            <w:vAlign w:val="center"/>
          </w:tcPr>
          <w:p>
            <w:pPr>
              <w:spacing w:after="0" w:line="240" w:lineRule="auto"/>
              <w:jc w:val="center"/>
              <w:rPr>
                <w:rFonts w:ascii="Times New Roman" w:hAnsi="Times New Roman"/>
                <w:b/>
                <w:color w:val="000000"/>
                <w:sz w:val="18"/>
                <w:szCs w:val="18"/>
              </w:rPr>
            </w:pPr>
            <w:r>
              <w:rPr>
                <w:rFonts w:hint="default" w:ascii="Times New Roman" w:hAnsi="Times New Roman" w:eastAsia="Times New Roman" w:cs="Times New Roman"/>
                <w:color w:val="000000"/>
                <w:sz w:val="18"/>
                <w:szCs w:val="18"/>
                <w:lang w:eastAsia="fr-FR"/>
              </w:rPr>
              <w:t>13</w:t>
            </w:r>
          </w:p>
        </w:tc>
        <w:tc>
          <w:tcPr>
            <w:tcW w:w="685" w:type="dxa"/>
            <w:vAlign w:val="center"/>
          </w:tcPr>
          <w:p>
            <w:pPr>
              <w:spacing w:after="0" w:line="240" w:lineRule="auto"/>
              <w:jc w:val="center"/>
              <w:rPr>
                <w:rFonts w:ascii="Times New Roman" w:hAnsi="Times New Roman"/>
                <w:b/>
                <w:color w:val="000000"/>
                <w:sz w:val="18"/>
                <w:szCs w:val="18"/>
              </w:rPr>
            </w:pPr>
            <w:r>
              <w:rPr>
                <w:rFonts w:hint="default" w:ascii="Times New Roman" w:hAnsi="Times New Roman" w:eastAsia="Times New Roman" w:cs="Times New Roman"/>
                <w:color w:val="000000"/>
                <w:sz w:val="18"/>
                <w:szCs w:val="18"/>
                <w:lang w:eastAsia="fr-FR"/>
              </w:rPr>
              <w:t>56,5</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tcBorders>
              <w:left w:val="nil"/>
              <w:right w:val="nil"/>
            </w:tcBorders>
            <w:shd w:val="clear" w:color="auto" w:fill="D3DFEE"/>
            <w:vAlign w:val="center"/>
          </w:tcPr>
          <w:p>
            <w:pPr>
              <w:spacing w:after="0" w:line="240" w:lineRule="auto"/>
              <w:jc w:val="left"/>
              <w:rPr>
                <w:rFonts w:ascii="Times New Roman" w:hAnsi="Times New Roman"/>
                <w:b/>
                <w:bCs/>
                <w:color w:val="000000"/>
                <w:sz w:val="18"/>
                <w:szCs w:val="18"/>
              </w:rPr>
            </w:pPr>
            <w:r>
              <w:rPr>
                <w:rFonts w:hint="default" w:ascii="Times New Roman" w:hAnsi="Times New Roman" w:eastAsia="Times New Roman" w:cs="Times New Roman"/>
                <w:color w:val="000000"/>
                <w:sz w:val="18"/>
                <w:szCs w:val="18"/>
                <w:lang w:eastAsia="fr-FR"/>
              </w:rPr>
              <w:t>Douleurs à la palpation de la fosse lombaire</w:t>
            </w:r>
          </w:p>
        </w:tc>
        <w:tc>
          <w:tcPr>
            <w:tcW w:w="628" w:type="dxa"/>
            <w:tcBorders>
              <w:left w:val="nil"/>
              <w:right w:val="nil"/>
            </w:tcBorders>
            <w:shd w:val="clear" w:color="auto" w:fill="D3DFEE"/>
            <w:vAlign w:val="center"/>
          </w:tcPr>
          <w:p>
            <w:pPr>
              <w:spacing w:after="0" w:line="240" w:lineRule="auto"/>
              <w:jc w:val="center"/>
              <w:rPr>
                <w:rFonts w:ascii="Times New Roman" w:hAnsi="Times New Roman"/>
                <w:bCs/>
                <w:color w:val="000000"/>
                <w:sz w:val="18"/>
                <w:szCs w:val="18"/>
              </w:rPr>
            </w:pPr>
            <w:r>
              <w:rPr>
                <w:rFonts w:hint="default" w:ascii="Times New Roman" w:hAnsi="Times New Roman" w:eastAsia="Times New Roman" w:cs="Times New Roman"/>
                <w:color w:val="000000"/>
                <w:sz w:val="18"/>
                <w:szCs w:val="18"/>
                <w:lang w:eastAsia="fr-FR"/>
              </w:rPr>
              <w:t>19</w:t>
            </w:r>
          </w:p>
        </w:tc>
        <w:tc>
          <w:tcPr>
            <w:tcW w:w="685" w:type="dxa"/>
            <w:tcBorders>
              <w:left w:val="nil"/>
              <w:right w:val="nil"/>
            </w:tcBorders>
            <w:shd w:val="clear" w:color="auto" w:fill="D3DFEE"/>
            <w:vAlign w:val="center"/>
          </w:tcPr>
          <w:p>
            <w:pPr>
              <w:spacing w:after="0" w:line="240" w:lineRule="auto"/>
              <w:jc w:val="center"/>
              <w:rPr>
                <w:rFonts w:ascii="Times New Roman" w:hAnsi="Times New Roman"/>
                <w:bCs/>
                <w:color w:val="000000"/>
                <w:sz w:val="18"/>
                <w:szCs w:val="18"/>
              </w:rPr>
            </w:pPr>
            <w:r>
              <w:rPr>
                <w:rFonts w:hint="default" w:ascii="Times New Roman" w:hAnsi="Times New Roman" w:eastAsia="Times New Roman" w:cs="Times New Roman"/>
                <w:color w:val="000000"/>
                <w:sz w:val="18"/>
                <w:szCs w:val="18"/>
                <w:lang w:eastAsia="fr-FR"/>
              </w:rPr>
              <w:t>82,6</w:t>
            </w:r>
          </w:p>
        </w:tc>
      </w:tr>
    </w:tbl>
    <w:p>
      <w:pPr>
        <w:keepNext w:val="0"/>
        <w:keepLines w:val="0"/>
        <w:pageBreakBefore w:val="0"/>
        <w:widowControl/>
        <w:kinsoku/>
        <w:wordWrap/>
        <w:overflowPunct/>
        <w:topLinePunct w:val="0"/>
        <w:bidi w:val="0"/>
        <w:snapToGrid/>
        <w:spacing w:before="60" w:after="20" w:line="240" w:lineRule="auto"/>
        <w:ind w:right="-284"/>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Données paracliniques</w:t>
      </w:r>
    </w:p>
    <w:p>
      <w:pPr>
        <w:pStyle w:val="12"/>
        <w:spacing w:line="240" w:lineRule="auto"/>
        <w:ind w:right="-284"/>
        <w:jc w:val="both"/>
        <w:rPr>
          <w:rFonts w:hint="default" w:ascii="Times New Roman" w:hAnsi="Times New Roman" w:cs="Times New Roman"/>
          <w:sz w:val="20"/>
          <w:szCs w:val="20"/>
        </w:rPr>
      </w:pPr>
      <w:r>
        <w:rPr>
          <w:rFonts w:hint="default" w:ascii="Times New Roman" w:hAnsi="Times New Roman" w:cs="Times New Roman"/>
          <w:bCs/>
          <w:iCs/>
          <w:sz w:val="20"/>
          <w:szCs w:val="20"/>
        </w:rPr>
        <w:t>La créatinémie chez tous les patients était normale</w:t>
      </w:r>
      <w:r>
        <w:rPr>
          <w:rFonts w:hint="default" w:ascii="Times New Roman" w:hAnsi="Times New Roman" w:cs="Times New Roman"/>
          <w:sz w:val="20"/>
          <w:szCs w:val="20"/>
        </w:rPr>
        <w:t>.</w:t>
      </w:r>
    </w:p>
    <w:p>
      <w:pPr>
        <w:pStyle w:val="12"/>
        <w:spacing w:line="240" w:lineRule="auto"/>
        <w:ind w:right="-284"/>
        <w:jc w:val="both"/>
        <w:rPr>
          <w:rFonts w:hint="default" w:ascii="Times New Roman" w:hAnsi="Times New Roman" w:cs="Times New Roman"/>
          <w:sz w:val="20"/>
          <w:szCs w:val="20"/>
        </w:rPr>
      </w:pPr>
      <w:r>
        <w:rPr>
          <w:rFonts w:hint="default" w:ascii="Times New Roman" w:hAnsi="Times New Roman" w:cs="Times New Roman"/>
          <w:sz w:val="20"/>
          <w:szCs w:val="20"/>
        </w:rPr>
        <w:t>La numération formule sanguine (NFS) notait une hyperleucocytose à prédominance polynucléaire neutrophile dans tous les cas, une anémie modérée (taux d’hémoglobine compris entre 7 et 10 g/dl) dans 10 cas (43</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une anémie sévère (taux d’hémoglobine inférieur à 6 g/dl) ayant justifiée une transfusion sanguine dans trois cas (13</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w:t>
      </w:r>
    </w:p>
    <w:p>
      <w:pPr>
        <w:pStyle w:val="12"/>
        <w:spacing w:line="240" w:lineRule="auto"/>
        <w:ind w:right="-284"/>
        <w:jc w:val="both"/>
        <w:rPr>
          <w:rFonts w:hint="default" w:ascii="Times New Roman" w:hAnsi="Times New Roman" w:cs="Times New Roman"/>
          <w:bCs/>
          <w:iCs/>
          <w:sz w:val="20"/>
          <w:szCs w:val="20"/>
        </w:rPr>
      </w:pPr>
      <w:r>
        <w:rPr>
          <w:rFonts w:hint="default" w:ascii="Times New Roman" w:hAnsi="Times New Roman" w:cs="Times New Roman"/>
          <w:bCs/>
          <w:iCs/>
          <w:sz w:val="20"/>
          <w:szCs w:val="20"/>
        </w:rPr>
        <w:t>L’uroculture était positive dans 19 cas (82,6</w:t>
      </w:r>
      <w:r>
        <w:rPr>
          <w:rFonts w:hint="default" w:ascii="Times New Roman" w:hAnsi="Times New Roman" w:cs="Times New Roman"/>
          <w:bCs/>
          <w:iCs/>
          <w:sz w:val="20"/>
          <w:szCs w:val="20"/>
          <w:lang w:val="fr-FR"/>
        </w:rPr>
        <w:t xml:space="preserve"> </w:t>
      </w:r>
      <w:r>
        <w:rPr>
          <w:rFonts w:hint="default" w:ascii="Times New Roman" w:hAnsi="Times New Roman" w:cs="Times New Roman"/>
          <w:bCs/>
          <w:iCs/>
          <w:sz w:val="20"/>
          <w:szCs w:val="20"/>
        </w:rPr>
        <w:t>%).</w:t>
      </w:r>
      <w:r>
        <w:rPr>
          <w:rFonts w:hint="default" w:ascii="Times New Roman" w:hAnsi="Times New Roman" w:cs="Times New Roman"/>
          <w:bCs/>
          <w:iCs/>
          <w:sz w:val="20"/>
          <w:szCs w:val="20"/>
          <w:lang w:val="fr-FR"/>
        </w:rPr>
        <w:t xml:space="preserve"> </w:t>
      </w:r>
      <w:r>
        <w:rPr>
          <w:rFonts w:hint="default" w:ascii="Times New Roman" w:hAnsi="Times New Roman" w:cs="Times New Roman"/>
          <w:bCs/>
          <w:iCs/>
          <w:sz w:val="20"/>
          <w:szCs w:val="20"/>
        </w:rPr>
        <w:t>La figure 1 montre la répartition des patients selon le germe isolé à l’uroculture.</w:t>
      </w:r>
    </w:p>
    <w:p>
      <w:pPr>
        <w:pStyle w:val="12"/>
        <w:spacing w:line="240" w:lineRule="auto"/>
        <w:ind w:right="-284"/>
        <w:jc w:val="both"/>
        <w:rPr>
          <w:rFonts w:hint="default" w:ascii="Times New Roman" w:hAnsi="Times New Roman" w:cs="Times New Roman"/>
          <w:bCs/>
          <w:iCs/>
          <w:sz w:val="20"/>
          <w:szCs w:val="20"/>
        </w:rPr>
      </w:pPr>
      <w:r>
        <w:rPr>
          <w:sz w:val="20"/>
        </w:rPr>
        <mc:AlternateContent>
          <mc:Choice Requires="wps">
            <w:drawing>
              <wp:inline distT="0" distB="0" distL="114300" distR="114300">
                <wp:extent cx="3060700" cy="2952750"/>
                <wp:effectExtent l="0" t="0" r="6350" b="0"/>
                <wp:docPr id="24" name="Zone de texte 24"/>
                <wp:cNvGraphicFramePr/>
                <a:graphic xmlns:a="http://schemas.openxmlformats.org/drawingml/2006/main">
                  <a:graphicData uri="http://schemas.microsoft.com/office/word/2010/wordprocessingShape">
                    <wps:wsp>
                      <wps:cNvSpPr txBox="1"/>
                      <wps:spPr>
                        <a:xfrm>
                          <a:off x="3975735" y="6716395"/>
                          <a:ext cx="3060700" cy="2952750"/>
                        </a:xfrm>
                        <a:prstGeom prst="rect">
                          <a:avLst/>
                        </a:prstGeom>
                        <a:solidFill>
                          <a:schemeClr val="bg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Times New Roman" w:hAnsi="Times New Roman" w:cs="Times New Roman"/>
                                <w:sz w:val="20"/>
                                <w:szCs w:val="20"/>
                                <w:lang w:eastAsia="fr-FR"/>
                              </w:rPr>
                            </w:pPr>
                            <w:r>
                              <w:rPr>
                                <w:rFonts w:hint="default" w:ascii="Times New Roman" w:hAnsi="Times New Roman" w:cs="Times New Roman"/>
                                <w:sz w:val="20"/>
                                <w:szCs w:val="20"/>
                                <w:lang w:eastAsia="fr-FR"/>
                              </w:rPr>
                              <w:drawing>
                                <wp:inline distT="0" distB="0" distL="0" distR="0">
                                  <wp:extent cx="2545715" cy="2471420"/>
                                  <wp:effectExtent l="4445" t="4445" r="21590" b="19685"/>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center"/>
                              <w:rPr>
                                <w:rFonts w:hint="default" w:ascii="Times New Roman" w:hAnsi="Times New Roman" w:cs="Times New Roman"/>
                                <w:sz w:val="18"/>
                                <w:szCs w:val="18"/>
                                <w:lang w:val="fr-FR" w:eastAsia="fr-FR"/>
                              </w:rPr>
                            </w:pPr>
                            <w:r>
                              <w:rPr>
                                <w:rFonts w:hint="default" w:ascii="Times New Roman" w:hAnsi="Times New Roman" w:cs="Times New Roman"/>
                                <w:b/>
                                <w:bCs/>
                                <w:sz w:val="18"/>
                                <w:szCs w:val="18"/>
                                <w:u w:val="single"/>
                              </w:rPr>
                              <w:t>Figure 1 :</w:t>
                            </w:r>
                            <w:r>
                              <w:rPr>
                                <w:rFonts w:hint="default" w:ascii="Times New Roman" w:hAnsi="Times New Roman" w:cs="Times New Roman"/>
                                <w:sz w:val="18"/>
                                <w:szCs w:val="18"/>
                              </w:rPr>
                              <w:t xml:space="preserve"> </w:t>
                            </w:r>
                            <w:r>
                              <w:rPr>
                                <w:rFonts w:hint="default" w:ascii="Times New Roman" w:hAnsi="Times New Roman" w:cs="Times New Roman"/>
                                <w:sz w:val="18"/>
                                <w:szCs w:val="18"/>
                                <w:lang w:val="fr-FR"/>
                              </w:rPr>
                              <w:t>R</w:t>
                            </w:r>
                            <w:r>
                              <w:rPr>
                                <w:rFonts w:hint="default" w:ascii="Times New Roman" w:hAnsi="Times New Roman" w:cs="Times New Roman"/>
                                <w:sz w:val="18"/>
                                <w:szCs w:val="18"/>
                              </w:rPr>
                              <w:t xml:space="preserve">épartition </w:t>
                            </w:r>
                            <w:r>
                              <w:rPr>
                                <w:rFonts w:hint="default" w:ascii="Times New Roman" w:hAnsi="Times New Roman" w:cs="Times New Roman"/>
                                <w:sz w:val="18"/>
                                <w:szCs w:val="18"/>
                                <w:lang w:val="fr-FR"/>
                              </w:rPr>
                              <w:t>selon le</w:t>
                            </w:r>
                            <w:r>
                              <w:rPr>
                                <w:rFonts w:hint="default" w:ascii="Times New Roman" w:hAnsi="Times New Roman" w:cs="Times New Roman"/>
                                <w:sz w:val="18"/>
                                <w:szCs w:val="18"/>
                              </w:rPr>
                              <w:t xml:space="preserve"> germe</w:t>
                            </w:r>
                            <w:r>
                              <w:rPr>
                                <w:rFonts w:hint="default" w:ascii="Times New Roman" w:hAnsi="Times New Roman" w:cs="Times New Roman"/>
                                <w:sz w:val="18"/>
                                <w:szCs w:val="18"/>
                                <w:lang w:val="fr-FR"/>
                              </w:rPr>
                              <w:t xml:space="preserve"> retrouvé</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inline>
            </w:drawing>
          </mc:Choice>
          <mc:Fallback>
            <w:pict>
              <v:shape id="_x0000_s1026" o:spid="_x0000_s1026" o:spt="202" type="#_x0000_t202" style="height:232.5pt;width:241pt;" fillcolor="#FFFFFF [3212]" filled="t" stroked="f" coordsize="21600,21600" o:gfxdata="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xwtFFtEAAAAFAQAADwAAAAAAAAABACAAAAAiAAAAZHJzL2Rvd25yZXYueG1s&#10;UEsBAhQAFAAAAAgAh07iQHHh81w4AgAAVAQAAA4AAAAAAAAAAQAgAAAAIAEAAGRycy9lMm9Eb2Mu&#10;eG1sUEsFBgAAAAAGAAYAWQEAAMoFAAAAAA==&#10;">
                <v:fill on="t" focussize="0,0"/>
                <v:stroke on="f" weight="0.5pt"/>
                <v:imagedata o:title=""/>
                <o:lock v:ext="edit" aspectratio="f"/>
                <v:textbox>
                  <w:txbxContent>
                    <w:p>
                      <w:pPr>
                        <w:jc w:val="center"/>
                        <w:rPr>
                          <w:rFonts w:hint="default" w:ascii="Times New Roman" w:hAnsi="Times New Roman" w:cs="Times New Roman"/>
                          <w:sz w:val="20"/>
                          <w:szCs w:val="20"/>
                          <w:lang w:eastAsia="fr-FR"/>
                        </w:rPr>
                      </w:pPr>
                      <w:r>
                        <w:rPr>
                          <w:rFonts w:hint="default" w:ascii="Times New Roman" w:hAnsi="Times New Roman" w:cs="Times New Roman"/>
                          <w:sz w:val="20"/>
                          <w:szCs w:val="20"/>
                          <w:lang w:eastAsia="fr-FR"/>
                        </w:rPr>
                        <w:drawing>
                          <wp:inline distT="0" distB="0" distL="0" distR="0">
                            <wp:extent cx="2545715" cy="2471420"/>
                            <wp:effectExtent l="4445" t="4445" r="21590" b="19685"/>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center"/>
                        <w:rPr>
                          <w:rFonts w:hint="default" w:ascii="Times New Roman" w:hAnsi="Times New Roman" w:cs="Times New Roman"/>
                          <w:sz w:val="18"/>
                          <w:szCs w:val="18"/>
                          <w:lang w:val="fr-FR" w:eastAsia="fr-FR"/>
                        </w:rPr>
                      </w:pPr>
                      <w:r>
                        <w:rPr>
                          <w:rFonts w:hint="default" w:ascii="Times New Roman" w:hAnsi="Times New Roman" w:cs="Times New Roman"/>
                          <w:b/>
                          <w:bCs/>
                          <w:sz w:val="18"/>
                          <w:szCs w:val="18"/>
                          <w:u w:val="single"/>
                        </w:rPr>
                        <w:t>Figure 1 :</w:t>
                      </w:r>
                      <w:r>
                        <w:rPr>
                          <w:rFonts w:hint="default" w:ascii="Times New Roman" w:hAnsi="Times New Roman" w:cs="Times New Roman"/>
                          <w:sz w:val="18"/>
                          <w:szCs w:val="18"/>
                        </w:rPr>
                        <w:t xml:space="preserve"> </w:t>
                      </w:r>
                      <w:r>
                        <w:rPr>
                          <w:rFonts w:hint="default" w:ascii="Times New Roman" w:hAnsi="Times New Roman" w:cs="Times New Roman"/>
                          <w:sz w:val="18"/>
                          <w:szCs w:val="18"/>
                          <w:lang w:val="fr-FR"/>
                        </w:rPr>
                        <w:t>R</w:t>
                      </w:r>
                      <w:r>
                        <w:rPr>
                          <w:rFonts w:hint="default" w:ascii="Times New Roman" w:hAnsi="Times New Roman" w:cs="Times New Roman"/>
                          <w:sz w:val="18"/>
                          <w:szCs w:val="18"/>
                        </w:rPr>
                        <w:t xml:space="preserve">épartition </w:t>
                      </w:r>
                      <w:r>
                        <w:rPr>
                          <w:rFonts w:hint="default" w:ascii="Times New Roman" w:hAnsi="Times New Roman" w:cs="Times New Roman"/>
                          <w:sz w:val="18"/>
                          <w:szCs w:val="18"/>
                          <w:lang w:val="fr-FR"/>
                        </w:rPr>
                        <w:t>selon le</w:t>
                      </w:r>
                      <w:r>
                        <w:rPr>
                          <w:rFonts w:hint="default" w:ascii="Times New Roman" w:hAnsi="Times New Roman" w:cs="Times New Roman"/>
                          <w:sz w:val="18"/>
                          <w:szCs w:val="18"/>
                        </w:rPr>
                        <w:t xml:space="preserve"> germe</w:t>
                      </w:r>
                      <w:r>
                        <w:rPr>
                          <w:rFonts w:hint="default" w:ascii="Times New Roman" w:hAnsi="Times New Roman" w:cs="Times New Roman"/>
                          <w:sz w:val="18"/>
                          <w:szCs w:val="18"/>
                          <w:lang w:val="fr-FR"/>
                        </w:rPr>
                        <w:t xml:space="preserve"> retrouvé</w:t>
                      </w:r>
                    </w:p>
                  </w:txbxContent>
                </v:textbox>
                <w10:wrap type="none"/>
                <w10:anchorlock/>
              </v:shape>
            </w:pict>
          </mc:Fallback>
        </mc:AlternateContent>
      </w:r>
    </w:p>
    <w:p>
      <w:pPr>
        <w:pStyle w:val="12"/>
        <w:spacing w:line="240" w:lineRule="auto"/>
        <w:ind w:right="0" w:rightChars="0"/>
        <w:jc w:val="both"/>
        <w:rPr>
          <w:rFonts w:hint="default" w:ascii="Times New Roman" w:hAnsi="Times New Roman" w:cs="Times New Roman"/>
          <w:bCs/>
          <w:iCs/>
          <w:sz w:val="20"/>
          <w:szCs w:val="20"/>
        </w:rPr>
      </w:pPr>
      <w:r>
        <w:rPr>
          <w:rFonts w:hint="default" w:ascii="Times New Roman" w:hAnsi="Times New Roman" w:cs="Times New Roman"/>
          <w:bCs/>
          <w:iCs/>
          <w:sz w:val="20"/>
          <w:szCs w:val="20"/>
        </w:rPr>
        <w:t>L’échographie de l’arbre urinaire était réalisée chez tous les patients. Elle</w:t>
      </w:r>
      <w:r>
        <w:rPr>
          <w:rFonts w:hint="default" w:ascii="Times New Roman" w:hAnsi="Times New Roman" w:cs="Times New Roman"/>
          <w:bCs/>
          <w:iCs/>
          <w:sz w:val="20"/>
          <w:szCs w:val="20"/>
          <w:lang w:val="fr-FR"/>
        </w:rPr>
        <w:t xml:space="preserve"> </w:t>
      </w:r>
      <w:r>
        <w:rPr>
          <w:rFonts w:hint="default" w:ascii="Times New Roman" w:hAnsi="Times New Roman" w:cs="Times New Roman"/>
          <w:bCs/>
          <w:iCs/>
          <w:sz w:val="20"/>
          <w:szCs w:val="20"/>
        </w:rPr>
        <w:t>avait permis de retrouver une pyonéphros</w:t>
      </w:r>
      <w:r>
        <w:rPr>
          <w:rFonts w:hint="default" w:ascii="Times New Roman" w:hAnsi="Times New Roman" w:cs="Times New Roman"/>
          <w:bCs/>
          <w:iCs/>
          <w:sz w:val="20"/>
          <w:szCs w:val="20"/>
          <w:lang w:val="fr-FR"/>
        </w:rPr>
        <w:t>e</w:t>
      </w:r>
      <w:r>
        <w:rPr>
          <w:rFonts w:hint="default" w:ascii="Times New Roman" w:hAnsi="Times New Roman" w:cs="Times New Roman"/>
          <w:bCs/>
          <w:iCs/>
          <w:sz w:val="20"/>
          <w:szCs w:val="20"/>
        </w:rPr>
        <w:t xml:space="preserve"> isolée dans 4 cas (17,4</w:t>
      </w:r>
      <w:r>
        <w:rPr>
          <w:rFonts w:hint="default" w:ascii="Times New Roman" w:hAnsi="Times New Roman" w:cs="Times New Roman"/>
          <w:bCs/>
          <w:iCs/>
          <w:sz w:val="20"/>
          <w:szCs w:val="20"/>
          <w:lang w:val="fr-FR"/>
        </w:rPr>
        <w:t xml:space="preserve"> </w:t>
      </w:r>
      <w:r>
        <w:rPr>
          <w:rFonts w:hint="default" w:ascii="Times New Roman" w:hAnsi="Times New Roman" w:cs="Times New Roman"/>
          <w:bCs/>
          <w:iCs/>
          <w:sz w:val="20"/>
          <w:szCs w:val="20"/>
        </w:rPr>
        <w:t>%), une pyonéphrose associée à u</w:t>
      </w:r>
      <w:r>
        <w:rPr>
          <w:rFonts w:hint="default" w:ascii="Times New Roman" w:hAnsi="Times New Roman" w:cs="Times New Roman"/>
          <w:bCs/>
          <w:iCs/>
          <w:sz w:val="20"/>
          <w:szCs w:val="20"/>
          <w:lang w:val="fr-FR"/>
        </w:rPr>
        <w:t>n</w:t>
      </w:r>
      <w:r>
        <w:rPr>
          <w:rFonts w:hint="default" w:ascii="Times New Roman" w:hAnsi="Times New Roman" w:cs="Times New Roman"/>
          <w:bCs/>
          <w:iCs/>
          <w:sz w:val="20"/>
          <w:szCs w:val="20"/>
        </w:rPr>
        <w:t xml:space="preserve"> calcul rénal dans 8 cas (34,8</w:t>
      </w:r>
      <w:r>
        <w:rPr>
          <w:rFonts w:hint="default" w:ascii="Times New Roman" w:hAnsi="Times New Roman" w:cs="Times New Roman"/>
          <w:bCs/>
          <w:iCs/>
          <w:sz w:val="20"/>
          <w:szCs w:val="20"/>
          <w:lang w:val="fr-FR"/>
        </w:rPr>
        <w:t xml:space="preserve"> </w:t>
      </w:r>
      <w:r>
        <w:rPr>
          <w:rFonts w:hint="default" w:ascii="Times New Roman" w:hAnsi="Times New Roman" w:cs="Times New Roman"/>
          <w:bCs/>
          <w:iCs/>
          <w:sz w:val="20"/>
          <w:szCs w:val="20"/>
        </w:rPr>
        <w:t>%), une hydronéphrose associée à un calcul rénal dans 5 cas (21,7</w:t>
      </w:r>
      <w:r>
        <w:rPr>
          <w:rFonts w:hint="default" w:ascii="Times New Roman" w:hAnsi="Times New Roman" w:cs="Times New Roman"/>
          <w:bCs/>
          <w:iCs/>
          <w:sz w:val="20"/>
          <w:szCs w:val="20"/>
          <w:lang w:val="fr-FR"/>
        </w:rPr>
        <w:t xml:space="preserve"> </w:t>
      </w:r>
      <w:r>
        <w:rPr>
          <w:rFonts w:hint="default" w:ascii="Times New Roman" w:hAnsi="Times New Roman" w:cs="Times New Roman"/>
          <w:bCs/>
          <w:iCs/>
          <w:sz w:val="20"/>
          <w:szCs w:val="20"/>
        </w:rPr>
        <w:t>%) et une hydronéphrose isolée dans deux cas (26</w:t>
      </w:r>
      <w:r>
        <w:rPr>
          <w:rFonts w:hint="default" w:ascii="Times New Roman" w:hAnsi="Times New Roman" w:cs="Times New Roman"/>
          <w:bCs/>
          <w:iCs/>
          <w:sz w:val="20"/>
          <w:szCs w:val="20"/>
          <w:lang w:val="fr-FR"/>
        </w:rPr>
        <w:t xml:space="preserve"> </w:t>
      </w:r>
      <w:r>
        <w:rPr>
          <w:rFonts w:hint="default" w:ascii="Times New Roman" w:hAnsi="Times New Roman" w:cs="Times New Roman"/>
          <w:bCs/>
          <w:iCs/>
          <w:sz w:val="20"/>
          <w:szCs w:val="20"/>
        </w:rPr>
        <w:t>%).</w:t>
      </w:r>
    </w:p>
    <w:p>
      <w:pPr>
        <w:pStyle w:val="12"/>
        <w:spacing w:line="240" w:lineRule="auto"/>
        <w:ind w:right="0" w:rightChars="0"/>
        <w:jc w:val="both"/>
        <w:rPr>
          <w:rFonts w:hint="default" w:ascii="Times New Roman" w:hAnsi="Times New Roman" w:cs="Times New Roman"/>
          <w:bCs/>
          <w:iCs/>
          <w:sz w:val="20"/>
          <w:szCs w:val="20"/>
        </w:rPr>
      </w:pPr>
      <w:r>
        <w:rPr>
          <w:rFonts w:hint="default" w:ascii="Times New Roman" w:hAnsi="Times New Roman" w:cs="Times New Roman"/>
          <w:sz w:val="20"/>
          <w:szCs w:val="20"/>
        </w:rPr>
        <w:t>L’urographie intraveineuse (UIV)</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a été réalisée chez 7 patients (30,4</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w:t>
      </w:r>
      <w:r>
        <w:rPr>
          <w:rFonts w:hint="default" w:ascii="Times New Roman" w:hAnsi="Times New Roman" w:cs="Times New Roman"/>
          <w:sz w:val="20"/>
          <w:szCs w:val="20"/>
          <w:lang w:val="fr-FR"/>
        </w:rPr>
        <w:t xml:space="preserve"> </w:t>
      </w:r>
      <w:r>
        <w:rPr>
          <w:rFonts w:hint="default" w:ascii="Times New Roman" w:hAnsi="Times New Roman" w:cs="Times New Roman"/>
          <w:bCs/>
          <w:iCs/>
          <w:sz w:val="20"/>
          <w:szCs w:val="20"/>
        </w:rPr>
        <w:t>Les résultats ont été les suivants: un cas d’hydronéphrose associée à un calcul rénal soit 14,3</w:t>
      </w:r>
      <w:r>
        <w:rPr>
          <w:rFonts w:hint="default" w:ascii="Times New Roman" w:hAnsi="Times New Roman" w:cs="Times New Roman"/>
          <w:bCs/>
          <w:iCs/>
          <w:sz w:val="20"/>
          <w:szCs w:val="20"/>
          <w:lang w:val="fr-FR"/>
        </w:rPr>
        <w:t xml:space="preserve"> </w:t>
      </w:r>
      <w:r>
        <w:rPr>
          <w:rFonts w:hint="default" w:ascii="Times New Roman" w:hAnsi="Times New Roman" w:cs="Times New Roman"/>
          <w:bCs/>
          <w:iCs/>
          <w:sz w:val="20"/>
          <w:szCs w:val="20"/>
        </w:rPr>
        <w:t>%, quatre cas de rein muet associé à un calcul rénal (57</w:t>
      </w:r>
      <w:r>
        <w:rPr>
          <w:rFonts w:hint="default" w:ascii="Times New Roman" w:hAnsi="Times New Roman" w:cs="Times New Roman"/>
          <w:bCs/>
          <w:iCs/>
          <w:sz w:val="20"/>
          <w:szCs w:val="20"/>
          <w:lang w:val="fr-FR"/>
        </w:rPr>
        <w:t xml:space="preserve"> </w:t>
      </w:r>
      <w:r>
        <w:rPr>
          <w:rFonts w:hint="default" w:ascii="Times New Roman" w:hAnsi="Times New Roman" w:cs="Times New Roman"/>
          <w:bCs/>
          <w:iCs/>
          <w:sz w:val="20"/>
          <w:szCs w:val="20"/>
        </w:rPr>
        <w:t>%) et deux cas un rein muet isolé (28,5</w:t>
      </w:r>
      <w:r>
        <w:rPr>
          <w:rFonts w:hint="default" w:ascii="Times New Roman" w:hAnsi="Times New Roman" w:cs="Times New Roman"/>
          <w:bCs/>
          <w:iCs/>
          <w:sz w:val="20"/>
          <w:szCs w:val="20"/>
          <w:lang w:val="fr-FR"/>
        </w:rPr>
        <w:t xml:space="preserve"> </w:t>
      </w:r>
      <w:r>
        <w:rPr>
          <w:rFonts w:hint="default" w:ascii="Times New Roman" w:hAnsi="Times New Roman" w:cs="Times New Roman"/>
          <w:bCs/>
          <w:iCs/>
          <w:sz w:val="20"/>
          <w:szCs w:val="20"/>
        </w:rPr>
        <w:t>%).</w:t>
      </w:r>
    </w:p>
    <w:p>
      <w:pPr>
        <w:pStyle w:val="12"/>
        <w:spacing w:line="240" w:lineRule="auto"/>
        <w:ind w:right="0" w:rightChars="0"/>
        <w:jc w:val="both"/>
        <w:rPr>
          <w:rFonts w:hint="default" w:ascii="Times New Roman" w:hAnsi="Times New Roman" w:cs="Times New Roman"/>
          <w:sz w:val="20"/>
          <w:szCs w:val="20"/>
          <w:lang w:val="fr-FR"/>
        </w:rPr>
      </w:pPr>
      <w:r>
        <w:rPr>
          <w:rFonts w:hint="default" w:ascii="Times New Roman" w:hAnsi="Times New Roman" w:cs="Times New Roman"/>
          <w:sz w:val="20"/>
          <w:szCs w:val="20"/>
        </w:rPr>
        <w:t>L’Uro-TDM a été faite chez 16 patients (69,5</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Elle avait permis de retrouver une pyonéphrose dans tous les cas et d’identifier la cause de l’obstruction dans 14 cas (87,5</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(Tableau III).</w:t>
      </w:r>
    </w:p>
    <w:tbl>
      <w:tblPr>
        <w:tblStyle w:val="7"/>
        <w:tblpPr w:leftFromText="180" w:rightFromText="180" w:vertAnchor="page" w:horzAnchor="page" w:tblpX="1309" w:tblpY="4158"/>
        <w:tblOverlap w:val="never"/>
        <w:tblW w:w="4839"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552"/>
        <w:gridCol w:w="615"/>
        <w:gridCol w:w="672"/>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839" w:type="dxa"/>
            <w:gridSpan w:val="3"/>
            <w:tcBorders>
              <w:top w:val="single" w:color="4F81BD" w:sz="8" w:space="0"/>
              <w:left w:val="nil"/>
              <w:bottom w:val="single" w:color="4F81BD" w:sz="8" w:space="0"/>
              <w:right w:val="nil"/>
            </w:tcBorders>
          </w:tcPr>
          <w:p>
            <w:pPr>
              <w:spacing w:after="0" w:line="240" w:lineRule="auto"/>
              <w:ind w:right="0" w:rightChars="0"/>
              <w:jc w:val="both"/>
              <w:rPr>
                <w:rFonts w:ascii="Times New Roman" w:hAnsi="Times New Roman"/>
                <w:b/>
                <w:bCs/>
                <w:color w:val="000000"/>
                <w:sz w:val="18"/>
                <w:szCs w:val="18"/>
              </w:rPr>
            </w:pPr>
            <w:r>
              <w:rPr>
                <w:rFonts w:ascii="Times New Roman" w:hAnsi="Times New Roman"/>
                <w:b/>
                <w:bCs/>
                <w:color w:val="365F91"/>
                <w:sz w:val="18"/>
                <w:szCs w:val="18"/>
              </w:rPr>
              <w:t xml:space="preserve">Tableau </w:t>
            </w:r>
            <w:r>
              <w:rPr>
                <w:rFonts w:hint="default" w:ascii="Times New Roman" w:hAnsi="Times New Roman"/>
                <w:b/>
                <w:bCs/>
                <w:color w:val="365F91"/>
                <w:sz w:val="18"/>
                <w:szCs w:val="18"/>
                <w:lang w:val="fr-FR"/>
              </w:rPr>
              <w:t>I</w:t>
            </w:r>
            <w:r>
              <w:rPr>
                <w:rFonts w:ascii="Times New Roman" w:hAnsi="Times New Roman"/>
                <w:b/>
                <w:bCs/>
                <w:color w:val="365F91"/>
                <w:sz w:val="18"/>
                <w:szCs w:val="18"/>
              </w:rPr>
              <w:t>I</w:t>
            </w:r>
            <w:r>
              <w:rPr>
                <w:rFonts w:hint="default" w:ascii="Times New Roman" w:hAnsi="Times New Roman"/>
                <w:b/>
                <w:bCs/>
                <w:color w:val="365F91"/>
                <w:sz w:val="18"/>
                <w:szCs w:val="18"/>
                <w:lang w:val="fr-FR"/>
              </w:rPr>
              <w:t xml:space="preserve">I </w:t>
            </w:r>
            <w:r>
              <w:rPr>
                <w:rFonts w:ascii="Times New Roman" w:hAnsi="Times New Roman"/>
                <w:b/>
                <w:bCs/>
                <w:color w:val="365F91"/>
                <w:sz w:val="18"/>
                <w:szCs w:val="18"/>
              </w:rPr>
              <w:t xml:space="preserve">: </w:t>
            </w:r>
            <w:r>
              <w:rPr>
                <w:rFonts w:hint="default" w:ascii="Times New Roman" w:hAnsi="Times New Roman"/>
                <w:b/>
                <w:bCs/>
                <w:color w:val="365F91"/>
                <w:sz w:val="18"/>
                <w:szCs w:val="18"/>
              </w:rPr>
              <w:t>Répartition des résultats de l’uro-TDM</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ind w:right="0" w:rightChars="0"/>
              <w:jc w:val="both"/>
              <w:textAlignment w:val="auto"/>
              <w:rPr>
                <w:rFonts w:hint="default" w:ascii="Times New Roman" w:hAnsi="Times New Roman"/>
                <w:b/>
                <w:bCs/>
                <w:color w:val="000000"/>
                <w:sz w:val="18"/>
                <w:szCs w:val="18"/>
                <w:lang w:val="fr-FR"/>
              </w:rPr>
            </w:pPr>
            <w:r>
              <w:rPr>
                <w:rFonts w:hint="default" w:ascii="Times New Roman" w:hAnsi="Times New Roman" w:cs="Times New Roman"/>
                <w:b/>
                <w:sz w:val="18"/>
                <w:szCs w:val="18"/>
                <w:lang w:val="fr-FR"/>
              </w:rPr>
              <w:t>Résultat de l’Uroscan</w:t>
            </w:r>
          </w:p>
        </w:tc>
        <w:tc>
          <w:tcPr>
            <w:tcW w:w="615"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ind w:right="0" w:rightChars="0"/>
              <w:jc w:val="center"/>
              <w:textAlignment w:val="auto"/>
              <w:rPr>
                <w:rFonts w:ascii="Times New Roman" w:hAnsi="Times New Roman"/>
                <w:b/>
                <w:color w:val="000000"/>
                <w:sz w:val="18"/>
                <w:szCs w:val="18"/>
              </w:rPr>
            </w:pPr>
            <w:r>
              <w:rPr>
                <w:rFonts w:hint="default" w:ascii="Times New Roman" w:hAnsi="Times New Roman"/>
                <w:b/>
                <w:color w:val="000000"/>
                <w:sz w:val="18"/>
                <w:szCs w:val="18"/>
                <w:lang w:val="fr-FR"/>
              </w:rPr>
              <w:t>n</w:t>
            </w:r>
          </w:p>
        </w:tc>
        <w:tc>
          <w:tcPr>
            <w:tcW w:w="672"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ind w:right="0" w:rightChars="0"/>
              <w:jc w:val="center"/>
              <w:textAlignment w:val="auto"/>
              <w:rPr>
                <w:rFonts w:ascii="Times New Roman" w:hAnsi="Times New Roman"/>
                <w:b/>
                <w:color w:val="000000"/>
                <w:sz w:val="18"/>
                <w:szCs w:val="18"/>
              </w:rPr>
            </w:pPr>
            <w:r>
              <w:rPr>
                <w:rFonts w:hint="default" w:ascii="Times New Roman" w:hAnsi="Times New Roman" w:cs="Times New Roman"/>
                <w:b/>
                <w:sz w:val="18"/>
                <w:szCs w:val="18"/>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vAlign w:val="center"/>
          </w:tcPr>
          <w:p>
            <w:pPr>
              <w:spacing w:after="0" w:line="240" w:lineRule="auto"/>
              <w:ind w:right="0" w:rightChars="0"/>
              <w:jc w:val="left"/>
              <w:rPr>
                <w:rFonts w:ascii="Times New Roman" w:hAnsi="Times New Roman"/>
                <w:b/>
                <w:bCs/>
                <w:color w:val="000000"/>
                <w:sz w:val="18"/>
                <w:szCs w:val="18"/>
              </w:rPr>
            </w:pPr>
            <w:r>
              <w:rPr>
                <w:rFonts w:hint="default" w:ascii="Times New Roman" w:hAnsi="Times New Roman" w:eastAsia="Times New Roman" w:cs="Times New Roman"/>
                <w:color w:val="000000"/>
                <w:sz w:val="18"/>
                <w:szCs w:val="18"/>
                <w:lang w:eastAsia="fr-FR"/>
              </w:rPr>
              <w:t>Calcul rénal et pyonéphrose</w:t>
            </w:r>
          </w:p>
        </w:tc>
        <w:tc>
          <w:tcPr>
            <w:tcW w:w="615" w:type="dxa"/>
            <w:vAlign w:val="center"/>
          </w:tcPr>
          <w:p>
            <w:pPr>
              <w:spacing w:after="0" w:line="240" w:lineRule="auto"/>
              <w:ind w:right="0" w:rightChars="0"/>
              <w:jc w:val="center"/>
              <w:rPr>
                <w:rFonts w:ascii="Times New Roman" w:hAnsi="Times New Roman"/>
                <w:bCs/>
                <w:color w:val="000000"/>
                <w:sz w:val="18"/>
                <w:szCs w:val="18"/>
              </w:rPr>
            </w:pPr>
            <w:r>
              <w:rPr>
                <w:rFonts w:hint="default" w:ascii="Times New Roman" w:hAnsi="Times New Roman" w:eastAsia="Times New Roman" w:cs="Times New Roman"/>
                <w:color w:val="000000"/>
                <w:sz w:val="18"/>
                <w:szCs w:val="18"/>
                <w:lang w:eastAsia="fr-FR"/>
              </w:rPr>
              <w:t>8</w:t>
            </w:r>
          </w:p>
        </w:tc>
        <w:tc>
          <w:tcPr>
            <w:tcW w:w="672" w:type="dxa"/>
            <w:vAlign w:val="center"/>
          </w:tcPr>
          <w:p>
            <w:pPr>
              <w:spacing w:after="0" w:line="240" w:lineRule="auto"/>
              <w:ind w:right="0" w:rightChars="0"/>
              <w:jc w:val="center"/>
              <w:rPr>
                <w:rFonts w:ascii="Times New Roman" w:hAnsi="Times New Roman"/>
                <w:bCs/>
                <w:color w:val="000000"/>
                <w:sz w:val="18"/>
                <w:szCs w:val="18"/>
              </w:rPr>
            </w:pPr>
            <w:r>
              <w:rPr>
                <w:rFonts w:hint="default" w:ascii="Times New Roman" w:hAnsi="Times New Roman" w:eastAsia="Times New Roman" w:cs="Times New Roman"/>
                <w:color w:val="000000"/>
                <w:sz w:val="18"/>
                <w:szCs w:val="18"/>
                <w:lang w:eastAsia="fr-FR"/>
              </w:rPr>
              <w:t>50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 w:hRule="atLeast"/>
        </w:trPr>
        <w:tc>
          <w:tcPr>
            <w:tcW w:w="3552" w:type="dxa"/>
            <w:tcBorders>
              <w:left w:val="nil"/>
              <w:right w:val="nil"/>
            </w:tcBorders>
            <w:shd w:val="clear" w:color="auto" w:fill="D3DFEE"/>
            <w:vAlign w:val="center"/>
          </w:tcPr>
          <w:p>
            <w:pPr>
              <w:spacing w:after="0" w:line="240" w:lineRule="auto"/>
              <w:ind w:right="0" w:rightChars="0"/>
              <w:jc w:val="left"/>
              <w:rPr>
                <w:rFonts w:ascii="Times New Roman" w:hAnsi="Times New Roman"/>
                <w:b/>
                <w:bCs/>
                <w:color w:val="000000"/>
                <w:sz w:val="18"/>
                <w:szCs w:val="18"/>
              </w:rPr>
            </w:pPr>
            <w:r>
              <w:rPr>
                <w:rFonts w:hint="default" w:ascii="Times New Roman" w:hAnsi="Times New Roman" w:eastAsia="Times New Roman" w:cs="Times New Roman"/>
                <w:color w:val="000000"/>
                <w:sz w:val="18"/>
                <w:szCs w:val="18"/>
                <w:lang w:eastAsia="fr-FR"/>
              </w:rPr>
              <w:t>Pyonéphrose isolée</w:t>
            </w:r>
          </w:p>
        </w:tc>
        <w:tc>
          <w:tcPr>
            <w:tcW w:w="615" w:type="dxa"/>
            <w:tcBorders>
              <w:left w:val="nil"/>
              <w:right w:val="nil"/>
            </w:tcBorders>
            <w:shd w:val="clear" w:color="auto" w:fill="D3DFEE"/>
            <w:vAlign w:val="center"/>
          </w:tcPr>
          <w:p>
            <w:pPr>
              <w:spacing w:after="0" w:line="240" w:lineRule="auto"/>
              <w:ind w:right="0" w:rightChars="0"/>
              <w:jc w:val="center"/>
              <w:rPr>
                <w:rFonts w:ascii="Times New Roman" w:hAnsi="Times New Roman"/>
                <w:bCs/>
                <w:color w:val="000000"/>
                <w:sz w:val="18"/>
                <w:szCs w:val="18"/>
              </w:rPr>
            </w:pPr>
            <w:r>
              <w:rPr>
                <w:rFonts w:hint="default" w:ascii="Times New Roman" w:hAnsi="Times New Roman" w:eastAsia="Times New Roman" w:cs="Times New Roman"/>
                <w:color w:val="000000"/>
                <w:sz w:val="18"/>
                <w:szCs w:val="18"/>
                <w:lang w:eastAsia="fr-FR"/>
              </w:rPr>
              <w:t>2</w:t>
            </w:r>
          </w:p>
        </w:tc>
        <w:tc>
          <w:tcPr>
            <w:tcW w:w="672" w:type="dxa"/>
            <w:tcBorders>
              <w:left w:val="nil"/>
              <w:right w:val="nil"/>
            </w:tcBorders>
            <w:shd w:val="clear" w:color="auto" w:fill="D3DFEE"/>
            <w:vAlign w:val="center"/>
          </w:tcPr>
          <w:p>
            <w:pPr>
              <w:spacing w:after="0" w:line="240" w:lineRule="auto"/>
              <w:ind w:right="0" w:rightChars="0"/>
              <w:jc w:val="center"/>
              <w:rPr>
                <w:rFonts w:ascii="Times New Roman" w:hAnsi="Times New Roman"/>
                <w:bCs/>
                <w:color w:val="000000"/>
                <w:sz w:val="18"/>
                <w:szCs w:val="18"/>
              </w:rPr>
            </w:pPr>
            <w:r>
              <w:rPr>
                <w:rFonts w:hint="default" w:ascii="Times New Roman" w:hAnsi="Times New Roman" w:eastAsia="Times New Roman" w:cs="Times New Roman"/>
                <w:color w:val="000000"/>
                <w:sz w:val="18"/>
                <w:szCs w:val="18"/>
                <w:lang w:eastAsia="fr-FR"/>
              </w:rPr>
              <w:t>12,5</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vAlign w:val="center"/>
          </w:tcPr>
          <w:p>
            <w:pPr>
              <w:spacing w:after="0" w:line="240" w:lineRule="auto"/>
              <w:ind w:right="0" w:rightChars="0"/>
              <w:jc w:val="left"/>
              <w:rPr>
                <w:rFonts w:ascii="Times New Roman" w:hAnsi="Times New Roman"/>
                <w:b/>
                <w:bCs/>
                <w:color w:val="000000"/>
                <w:sz w:val="18"/>
                <w:szCs w:val="18"/>
              </w:rPr>
            </w:pPr>
            <w:r>
              <w:rPr>
                <w:rFonts w:hint="default" w:ascii="Times New Roman" w:hAnsi="Times New Roman" w:eastAsia="Times New Roman" w:cs="Times New Roman"/>
                <w:color w:val="000000"/>
                <w:sz w:val="18"/>
                <w:szCs w:val="18"/>
                <w:lang w:eastAsia="fr-FR"/>
              </w:rPr>
              <w:t>SJPU et Pyonéphrose</w:t>
            </w:r>
          </w:p>
        </w:tc>
        <w:tc>
          <w:tcPr>
            <w:tcW w:w="615" w:type="dxa"/>
            <w:vAlign w:val="center"/>
          </w:tcPr>
          <w:p>
            <w:pPr>
              <w:spacing w:after="0" w:line="240" w:lineRule="auto"/>
              <w:ind w:right="0" w:rightChars="0"/>
              <w:jc w:val="center"/>
              <w:rPr>
                <w:rFonts w:ascii="Times New Roman" w:hAnsi="Times New Roman"/>
                <w:bCs/>
                <w:color w:val="000000"/>
                <w:sz w:val="18"/>
                <w:szCs w:val="18"/>
              </w:rPr>
            </w:pPr>
            <w:r>
              <w:rPr>
                <w:rFonts w:hint="default" w:ascii="Times New Roman" w:hAnsi="Times New Roman" w:eastAsia="Times New Roman" w:cs="Times New Roman"/>
                <w:color w:val="000000"/>
                <w:sz w:val="18"/>
                <w:szCs w:val="18"/>
                <w:lang w:eastAsia="fr-FR"/>
              </w:rPr>
              <w:t>2</w:t>
            </w:r>
          </w:p>
        </w:tc>
        <w:tc>
          <w:tcPr>
            <w:tcW w:w="672" w:type="dxa"/>
            <w:vAlign w:val="center"/>
          </w:tcPr>
          <w:p>
            <w:pPr>
              <w:spacing w:after="0" w:line="240" w:lineRule="auto"/>
              <w:ind w:right="0" w:rightChars="0"/>
              <w:jc w:val="center"/>
              <w:rPr>
                <w:rFonts w:ascii="Times New Roman" w:hAnsi="Times New Roman"/>
                <w:bCs/>
                <w:color w:val="000000"/>
                <w:sz w:val="18"/>
                <w:szCs w:val="18"/>
              </w:rPr>
            </w:pPr>
            <w:r>
              <w:rPr>
                <w:rFonts w:hint="default" w:ascii="Times New Roman" w:hAnsi="Times New Roman" w:eastAsia="Times New Roman" w:cs="Times New Roman"/>
                <w:color w:val="000000"/>
                <w:sz w:val="18"/>
                <w:szCs w:val="18"/>
                <w:lang w:eastAsia="fr-FR"/>
              </w:rPr>
              <w:t>12,5</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tcBorders>
              <w:left w:val="nil"/>
              <w:right w:val="nil"/>
            </w:tcBorders>
            <w:shd w:val="clear" w:color="auto" w:fill="D3DFEE"/>
            <w:vAlign w:val="center"/>
          </w:tcPr>
          <w:p>
            <w:pPr>
              <w:spacing w:after="0" w:line="240" w:lineRule="auto"/>
              <w:ind w:right="0" w:rightChars="0"/>
              <w:jc w:val="left"/>
              <w:rPr>
                <w:rFonts w:ascii="Times New Roman" w:hAnsi="Times New Roman"/>
                <w:b/>
                <w:bCs/>
                <w:color w:val="000000"/>
                <w:sz w:val="18"/>
                <w:szCs w:val="18"/>
              </w:rPr>
            </w:pPr>
            <w:r>
              <w:rPr>
                <w:rFonts w:hint="default" w:ascii="Times New Roman" w:hAnsi="Times New Roman" w:eastAsia="Times New Roman" w:cs="Times New Roman"/>
                <w:color w:val="000000"/>
                <w:sz w:val="18"/>
                <w:szCs w:val="18"/>
                <w:lang w:eastAsia="fr-FR"/>
              </w:rPr>
              <w:t>Méga uretère et pyonéphrose</w:t>
            </w:r>
          </w:p>
        </w:tc>
        <w:tc>
          <w:tcPr>
            <w:tcW w:w="615" w:type="dxa"/>
            <w:tcBorders>
              <w:left w:val="nil"/>
              <w:right w:val="nil"/>
            </w:tcBorders>
            <w:shd w:val="clear" w:color="auto" w:fill="D3DFEE"/>
            <w:vAlign w:val="center"/>
          </w:tcPr>
          <w:p>
            <w:pPr>
              <w:spacing w:after="0" w:line="240" w:lineRule="auto"/>
              <w:ind w:right="0" w:rightChars="0"/>
              <w:jc w:val="center"/>
              <w:rPr>
                <w:rFonts w:ascii="Times New Roman" w:hAnsi="Times New Roman"/>
                <w:bCs/>
                <w:color w:val="000000"/>
                <w:sz w:val="18"/>
                <w:szCs w:val="18"/>
              </w:rPr>
            </w:pPr>
            <w:r>
              <w:rPr>
                <w:rFonts w:hint="default" w:ascii="Times New Roman" w:hAnsi="Times New Roman" w:eastAsia="Times New Roman" w:cs="Times New Roman"/>
                <w:color w:val="000000"/>
                <w:sz w:val="18"/>
                <w:szCs w:val="18"/>
                <w:lang w:eastAsia="fr-FR"/>
              </w:rPr>
              <w:t>1</w:t>
            </w:r>
          </w:p>
        </w:tc>
        <w:tc>
          <w:tcPr>
            <w:tcW w:w="672" w:type="dxa"/>
            <w:tcBorders>
              <w:left w:val="nil"/>
              <w:right w:val="nil"/>
            </w:tcBorders>
            <w:shd w:val="clear" w:color="auto" w:fill="D3DFEE"/>
            <w:vAlign w:val="center"/>
          </w:tcPr>
          <w:p>
            <w:pPr>
              <w:spacing w:after="0" w:line="240" w:lineRule="auto"/>
              <w:ind w:right="0" w:rightChars="0"/>
              <w:jc w:val="center"/>
              <w:rPr>
                <w:rFonts w:ascii="Times New Roman" w:hAnsi="Times New Roman"/>
                <w:bCs/>
                <w:color w:val="000000"/>
                <w:sz w:val="18"/>
                <w:szCs w:val="18"/>
              </w:rPr>
            </w:pPr>
            <w:r>
              <w:rPr>
                <w:rFonts w:hint="default" w:ascii="Times New Roman" w:hAnsi="Times New Roman" w:eastAsia="Times New Roman" w:cs="Times New Roman"/>
                <w:color w:val="000000"/>
                <w:sz w:val="18"/>
                <w:szCs w:val="18"/>
                <w:lang w:eastAsia="fr-FR"/>
              </w:rPr>
              <w:t>6,25</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vAlign w:val="center"/>
          </w:tcPr>
          <w:p>
            <w:pPr>
              <w:spacing w:after="0" w:line="240" w:lineRule="auto"/>
              <w:ind w:right="0" w:rightChars="0"/>
              <w:jc w:val="left"/>
              <w:rPr>
                <w:rFonts w:ascii="Times New Roman" w:hAnsi="Times New Roman"/>
                <w:b/>
                <w:bCs/>
                <w:color w:val="000000"/>
                <w:sz w:val="18"/>
                <w:szCs w:val="18"/>
              </w:rPr>
            </w:pPr>
            <w:r>
              <w:rPr>
                <w:rFonts w:hint="default" w:ascii="Times New Roman" w:hAnsi="Times New Roman" w:eastAsia="Times New Roman" w:cs="Times New Roman"/>
                <w:color w:val="000000"/>
                <w:sz w:val="18"/>
                <w:szCs w:val="18"/>
                <w:lang w:eastAsia="fr-FR"/>
              </w:rPr>
              <w:t>Calcul urétéral lombaire et pyonéphrose</w:t>
            </w:r>
          </w:p>
        </w:tc>
        <w:tc>
          <w:tcPr>
            <w:tcW w:w="615" w:type="dxa"/>
            <w:vAlign w:val="center"/>
          </w:tcPr>
          <w:p>
            <w:pPr>
              <w:spacing w:after="0" w:line="240" w:lineRule="auto"/>
              <w:ind w:right="0" w:rightChars="0"/>
              <w:jc w:val="center"/>
              <w:rPr>
                <w:rFonts w:ascii="Times New Roman" w:hAnsi="Times New Roman"/>
                <w:b/>
                <w:color w:val="000000"/>
                <w:sz w:val="18"/>
                <w:szCs w:val="18"/>
              </w:rPr>
            </w:pPr>
            <w:r>
              <w:rPr>
                <w:rFonts w:hint="default" w:ascii="Times New Roman" w:hAnsi="Times New Roman" w:eastAsia="Times New Roman" w:cs="Times New Roman"/>
                <w:color w:val="000000"/>
                <w:sz w:val="18"/>
                <w:szCs w:val="18"/>
                <w:lang w:eastAsia="fr-FR"/>
              </w:rPr>
              <w:t>1</w:t>
            </w:r>
          </w:p>
        </w:tc>
        <w:tc>
          <w:tcPr>
            <w:tcW w:w="672" w:type="dxa"/>
            <w:vAlign w:val="center"/>
          </w:tcPr>
          <w:p>
            <w:pPr>
              <w:spacing w:after="0" w:line="240" w:lineRule="auto"/>
              <w:ind w:right="0" w:rightChars="0"/>
              <w:jc w:val="center"/>
              <w:rPr>
                <w:rFonts w:ascii="Times New Roman" w:hAnsi="Times New Roman"/>
                <w:b/>
                <w:color w:val="000000"/>
                <w:sz w:val="18"/>
                <w:szCs w:val="18"/>
              </w:rPr>
            </w:pPr>
            <w:r>
              <w:rPr>
                <w:rFonts w:hint="default" w:ascii="Times New Roman" w:hAnsi="Times New Roman" w:eastAsia="Times New Roman" w:cs="Times New Roman"/>
                <w:color w:val="000000"/>
                <w:sz w:val="18"/>
                <w:szCs w:val="18"/>
                <w:lang w:eastAsia="fr-FR"/>
              </w:rPr>
              <w:t>6,25</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tcBorders>
              <w:left w:val="nil"/>
              <w:right w:val="nil"/>
            </w:tcBorders>
            <w:shd w:val="clear" w:color="auto" w:fill="D3DFEE"/>
            <w:vAlign w:val="center"/>
          </w:tcPr>
          <w:p>
            <w:pPr>
              <w:spacing w:after="0" w:line="240" w:lineRule="auto"/>
              <w:ind w:right="0" w:rightChars="0"/>
              <w:jc w:val="left"/>
              <w:rPr>
                <w:rFonts w:ascii="Times New Roman" w:hAnsi="Times New Roman"/>
                <w:b/>
                <w:bCs/>
                <w:color w:val="000000"/>
                <w:sz w:val="18"/>
                <w:szCs w:val="18"/>
              </w:rPr>
            </w:pPr>
            <w:r>
              <w:rPr>
                <w:rFonts w:hint="default" w:ascii="Times New Roman" w:hAnsi="Times New Roman" w:eastAsia="Times New Roman" w:cs="Times New Roman"/>
                <w:color w:val="000000"/>
                <w:sz w:val="18"/>
                <w:szCs w:val="18"/>
                <w:lang w:eastAsia="fr-FR"/>
              </w:rPr>
              <w:t>Sténose urétérale lombaire  et pyonéphrose</w:t>
            </w:r>
          </w:p>
        </w:tc>
        <w:tc>
          <w:tcPr>
            <w:tcW w:w="615" w:type="dxa"/>
            <w:tcBorders>
              <w:left w:val="nil"/>
              <w:right w:val="nil"/>
            </w:tcBorders>
            <w:shd w:val="clear" w:color="auto" w:fill="D3DFEE"/>
            <w:vAlign w:val="center"/>
          </w:tcPr>
          <w:p>
            <w:pPr>
              <w:spacing w:after="0" w:line="240" w:lineRule="auto"/>
              <w:ind w:right="0" w:rightChars="0"/>
              <w:jc w:val="center"/>
              <w:rPr>
                <w:rFonts w:ascii="Times New Roman" w:hAnsi="Times New Roman"/>
                <w:bCs/>
                <w:color w:val="000000"/>
                <w:sz w:val="18"/>
                <w:szCs w:val="18"/>
              </w:rPr>
            </w:pPr>
            <w:r>
              <w:rPr>
                <w:rFonts w:hint="default" w:ascii="Times New Roman" w:hAnsi="Times New Roman" w:eastAsia="Times New Roman" w:cs="Times New Roman"/>
                <w:color w:val="000000"/>
                <w:sz w:val="18"/>
                <w:szCs w:val="18"/>
                <w:lang w:eastAsia="fr-FR"/>
              </w:rPr>
              <w:t>2</w:t>
            </w:r>
          </w:p>
        </w:tc>
        <w:tc>
          <w:tcPr>
            <w:tcW w:w="672" w:type="dxa"/>
            <w:tcBorders>
              <w:left w:val="nil"/>
              <w:right w:val="nil"/>
            </w:tcBorders>
            <w:shd w:val="clear" w:color="auto" w:fill="D3DFEE"/>
            <w:vAlign w:val="center"/>
          </w:tcPr>
          <w:p>
            <w:pPr>
              <w:spacing w:after="0" w:line="240" w:lineRule="auto"/>
              <w:ind w:right="0" w:rightChars="0"/>
              <w:jc w:val="center"/>
              <w:rPr>
                <w:rFonts w:ascii="Times New Roman" w:hAnsi="Times New Roman"/>
                <w:bCs/>
                <w:color w:val="000000"/>
                <w:sz w:val="18"/>
                <w:szCs w:val="18"/>
              </w:rPr>
            </w:pPr>
            <w:r>
              <w:rPr>
                <w:rFonts w:hint="default" w:ascii="Times New Roman" w:hAnsi="Times New Roman" w:eastAsia="Times New Roman" w:cs="Times New Roman"/>
                <w:color w:val="000000"/>
                <w:sz w:val="18"/>
                <w:szCs w:val="18"/>
                <w:lang w:eastAsia="fr-FR"/>
              </w:rPr>
              <w:t>12,5</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839" w:type="dxa"/>
            <w:gridSpan w:val="3"/>
            <w:tcBorders>
              <w:left w:val="nil"/>
              <w:right w:val="nil"/>
            </w:tcBorders>
            <w:shd w:val="clear" w:color="auto" w:fill="D3DFEE"/>
            <w:vAlign w:val="center"/>
          </w:tcPr>
          <w:p>
            <w:pPr>
              <w:spacing w:after="0" w:line="240" w:lineRule="auto"/>
              <w:ind w:right="0" w:rightChars="0"/>
              <w:jc w:val="left"/>
              <w:rPr>
                <w:rFonts w:hint="default" w:ascii="Times New Roman" w:hAnsi="Times New Roman" w:eastAsia="Times New Roman" w:cs="Times New Roman"/>
                <w:color w:val="000000"/>
                <w:sz w:val="18"/>
                <w:szCs w:val="18"/>
                <w:lang w:val="en-US" w:eastAsia="fr-FR"/>
              </w:rPr>
            </w:pPr>
            <w:r>
              <w:rPr>
                <w:rFonts w:hint="default" w:ascii="Times New Roman" w:hAnsi="Times New Roman" w:eastAsia="Times New Roman" w:cs="Times New Roman"/>
                <w:color w:val="000000"/>
                <w:sz w:val="18"/>
                <w:szCs w:val="18"/>
                <w:lang w:val="en-US" w:eastAsia="fr-FR"/>
              </w:rPr>
              <w:t>SJPU: Syndrome de jonction pyélo-uretérale</w:t>
            </w:r>
          </w:p>
        </w:tc>
      </w:tr>
    </w:tbl>
    <w:p>
      <w:pPr>
        <w:pStyle w:val="12"/>
        <w:spacing w:line="240" w:lineRule="auto"/>
        <w:ind w:right="0" w:rightChars="0"/>
        <w:jc w:val="both"/>
        <w:rPr>
          <w:rFonts w:hint="default" w:ascii="Times New Roman" w:hAnsi="Times New Roman" w:cs="Times New Roman"/>
          <w:sz w:val="20"/>
          <w:szCs w:val="20"/>
        </w:rPr>
      </w:pPr>
      <w:r>
        <w:rPr>
          <w:rFonts w:hint="default" w:ascii="Times New Roman" w:hAnsi="Times New Roman" w:cs="Times New Roman"/>
          <w:sz w:val="20"/>
          <w:szCs w:val="20"/>
        </w:rPr>
        <w:t>La pyonéphrose était localisée à droite dans 14 cas (61</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et à gauche dans neuf cas (39</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w:t>
      </w:r>
    </w:p>
    <w:p>
      <w:pPr>
        <w:pStyle w:val="12"/>
        <w:spacing w:line="240" w:lineRule="auto"/>
        <w:ind w:right="0" w:rightChars="0"/>
        <w:jc w:val="both"/>
        <w:rPr>
          <w:rFonts w:hint="default" w:ascii="Times New Roman" w:hAnsi="Times New Roman" w:cs="Times New Roman"/>
          <w:sz w:val="20"/>
          <w:szCs w:val="20"/>
        </w:rPr>
      </w:pPr>
      <w:r>
        <w:rPr>
          <w:rFonts w:hint="default" w:ascii="Times New Roman" w:hAnsi="Times New Roman" w:cs="Times New Roman"/>
          <w:sz w:val="20"/>
          <w:szCs w:val="20"/>
        </w:rPr>
        <w:t>La cause de la pyonéphrose était un calcul rénal dans 13 cas (56,5%) (Figure 2).</w:t>
      </w:r>
    </w:p>
    <w:p>
      <w:pPr>
        <w:pStyle w:val="12"/>
        <w:spacing w:line="240" w:lineRule="auto"/>
        <w:ind w:right="0" w:rightChars="0"/>
        <w:jc w:val="both"/>
        <w:rPr>
          <w:rFonts w:hint="default" w:ascii="Times New Roman" w:hAnsi="Times New Roman" w:cs="Times New Roman"/>
          <w:sz w:val="20"/>
          <w:szCs w:val="20"/>
        </w:rPr>
      </w:pPr>
      <w:r>
        <w:rPr>
          <w:sz w:val="20"/>
        </w:rPr>
        <mc:AlternateContent>
          <mc:Choice Requires="wps">
            <w:drawing>
              <wp:inline distT="0" distB="0" distL="114300" distR="114300">
                <wp:extent cx="3117215" cy="2877820"/>
                <wp:effectExtent l="0" t="0" r="6985" b="17780"/>
                <wp:docPr id="25" name="Zone de texte 25"/>
                <wp:cNvGraphicFramePr/>
                <a:graphic xmlns:a="http://schemas.openxmlformats.org/drawingml/2006/main">
                  <a:graphicData uri="http://schemas.microsoft.com/office/word/2010/wordprocessingShape">
                    <wps:wsp>
                      <wps:cNvSpPr txBox="1"/>
                      <wps:spPr>
                        <a:xfrm>
                          <a:off x="705485" y="4102100"/>
                          <a:ext cx="3117215" cy="287782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sz w:val="20"/>
                                <w:szCs w:val="20"/>
                                <w:lang w:eastAsia="fr-FR"/>
                              </w:rPr>
                            </w:pPr>
                            <w:r>
                              <w:rPr>
                                <w:rFonts w:hint="default" w:ascii="Times New Roman" w:hAnsi="Times New Roman" w:cs="Times New Roman"/>
                                <w:sz w:val="20"/>
                                <w:szCs w:val="20"/>
                                <w:lang w:eastAsia="fr-FR"/>
                              </w:rPr>
                              <w:drawing>
                                <wp:inline distT="0" distB="0" distL="0" distR="0">
                                  <wp:extent cx="2933700" cy="2474595"/>
                                  <wp:effectExtent l="4445" t="5080" r="14605" b="15875"/>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tabs>
                                <w:tab w:val="left" w:pos="5055"/>
                              </w:tabs>
                              <w:spacing w:line="240" w:lineRule="auto"/>
                              <w:jc w:val="center"/>
                              <w:rPr>
                                <w:rFonts w:hint="default" w:ascii="Times New Roman" w:hAnsi="Times New Roman" w:cs="Times New Roman"/>
                                <w:sz w:val="18"/>
                                <w:szCs w:val="18"/>
                                <w:lang w:eastAsia="fr-FR"/>
                              </w:rPr>
                            </w:pPr>
                            <w:r>
                              <w:rPr>
                                <w:rFonts w:hint="default" w:ascii="Times New Roman" w:hAnsi="Times New Roman" w:cs="Times New Roman"/>
                                <w:b/>
                                <w:bCs/>
                                <w:sz w:val="18"/>
                                <w:szCs w:val="18"/>
                                <w:u w:val="single"/>
                              </w:rPr>
                              <w:t>Figure 2 :</w:t>
                            </w:r>
                            <w:r>
                              <w:rPr>
                                <w:rFonts w:hint="default" w:ascii="Times New Roman" w:hAnsi="Times New Roman" w:cs="Times New Roman"/>
                                <w:sz w:val="18"/>
                                <w:szCs w:val="18"/>
                              </w:rPr>
                              <w:t xml:space="preserve"> Répartition </w:t>
                            </w:r>
                            <w:r>
                              <w:rPr>
                                <w:rFonts w:hint="default" w:ascii="Times New Roman" w:hAnsi="Times New Roman" w:cs="Times New Roman"/>
                                <w:sz w:val="18"/>
                                <w:szCs w:val="18"/>
                                <w:lang w:val="fr-FR"/>
                              </w:rPr>
                              <w:t>selon l’</w:t>
                            </w:r>
                            <w:r>
                              <w:rPr>
                                <w:rFonts w:hint="default" w:ascii="Times New Roman" w:hAnsi="Times New Roman" w:cs="Times New Roman"/>
                                <w:sz w:val="18"/>
                                <w:szCs w:val="18"/>
                              </w:rPr>
                              <w:t>étiologie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inline>
            </w:drawing>
          </mc:Choice>
          <mc:Fallback>
            <w:pict>
              <v:shape id="_x0000_s1026" o:spid="_x0000_s1026" o:spt="202" type="#_x0000_t202" style="height:226.6pt;width:245.45pt;" fillcolor="#FFFFFF [3201]" filled="t" stroked="f" coordsize="21600,21600" o:gfxdata="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VWuWvSAAAABQEAAA8AAAAAAAAAAQAgAAAAIgAAAGRycy9kb3ducmV2Lnht&#10;bFBLAQIUABQAAAAIAIdO4kDD+nSbOAIAAFMEAAAOAAAAAAAAAAEAIAAAACEBAABkcnMvZTJvRG9j&#10;LnhtbFBLBQYAAAAABgAGAFkBAADLBQAAAAA=&#10;">
                <v:fill on="t" focussize="0,0"/>
                <v:stroke on="f" weight="0.5pt"/>
                <v:imagedata o:title=""/>
                <o:lock v:ext="edit" aspectratio="f"/>
                <v:textbox>
                  <w:txbxContent>
                    <w:p>
                      <w:pPr>
                        <w:rPr>
                          <w:rFonts w:hint="default" w:ascii="Times New Roman" w:hAnsi="Times New Roman" w:cs="Times New Roman"/>
                          <w:sz w:val="20"/>
                          <w:szCs w:val="20"/>
                          <w:lang w:eastAsia="fr-FR"/>
                        </w:rPr>
                      </w:pPr>
                      <w:r>
                        <w:rPr>
                          <w:rFonts w:hint="default" w:ascii="Times New Roman" w:hAnsi="Times New Roman" w:cs="Times New Roman"/>
                          <w:sz w:val="20"/>
                          <w:szCs w:val="20"/>
                          <w:lang w:eastAsia="fr-FR"/>
                        </w:rPr>
                        <w:drawing>
                          <wp:inline distT="0" distB="0" distL="0" distR="0">
                            <wp:extent cx="2933700" cy="2474595"/>
                            <wp:effectExtent l="4445" t="5080" r="14605" b="15875"/>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tabs>
                          <w:tab w:val="left" w:pos="5055"/>
                        </w:tabs>
                        <w:spacing w:line="240" w:lineRule="auto"/>
                        <w:jc w:val="center"/>
                        <w:rPr>
                          <w:rFonts w:hint="default" w:ascii="Times New Roman" w:hAnsi="Times New Roman" w:cs="Times New Roman"/>
                          <w:sz w:val="18"/>
                          <w:szCs w:val="18"/>
                          <w:lang w:eastAsia="fr-FR"/>
                        </w:rPr>
                      </w:pPr>
                      <w:r>
                        <w:rPr>
                          <w:rFonts w:hint="default" w:ascii="Times New Roman" w:hAnsi="Times New Roman" w:cs="Times New Roman"/>
                          <w:b/>
                          <w:bCs/>
                          <w:sz w:val="18"/>
                          <w:szCs w:val="18"/>
                          <w:u w:val="single"/>
                        </w:rPr>
                        <w:t>Figure 2 :</w:t>
                      </w:r>
                      <w:r>
                        <w:rPr>
                          <w:rFonts w:hint="default" w:ascii="Times New Roman" w:hAnsi="Times New Roman" w:cs="Times New Roman"/>
                          <w:sz w:val="18"/>
                          <w:szCs w:val="18"/>
                        </w:rPr>
                        <w:t xml:space="preserve"> Répartition </w:t>
                      </w:r>
                      <w:r>
                        <w:rPr>
                          <w:rFonts w:hint="default" w:ascii="Times New Roman" w:hAnsi="Times New Roman" w:cs="Times New Roman"/>
                          <w:sz w:val="18"/>
                          <w:szCs w:val="18"/>
                          <w:lang w:val="fr-FR"/>
                        </w:rPr>
                        <w:t>selon l’</w:t>
                      </w:r>
                      <w:r>
                        <w:rPr>
                          <w:rFonts w:hint="default" w:ascii="Times New Roman" w:hAnsi="Times New Roman" w:cs="Times New Roman"/>
                          <w:sz w:val="18"/>
                          <w:szCs w:val="18"/>
                        </w:rPr>
                        <w:t>étiologie</w:t>
                      </w:r>
                    </w:p>
                  </w:txbxContent>
                </v:textbox>
                <w10:wrap type="none"/>
                <w10:anchorlock/>
              </v:shape>
            </w:pict>
          </mc:Fallback>
        </mc:AlternateContent>
      </w:r>
    </w:p>
    <w:p>
      <w:pPr>
        <w:pStyle w:val="12"/>
        <w:keepNext w:val="0"/>
        <w:keepLines w:val="0"/>
        <w:pageBreakBefore w:val="0"/>
        <w:widowControl/>
        <w:kinsoku/>
        <w:wordWrap/>
        <w:overflowPunct/>
        <w:topLinePunct w:val="0"/>
        <w:bidi w:val="0"/>
        <w:snapToGrid/>
        <w:spacing w:before="60" w:after="20" w:line="240" w:lineRule="auto"/>
        <w:ind w:right="0" w:rightChars="0"/>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Données thérapeutiques</w:t>
      </w:r>
    </w:p>
    <w:p>
      <w:pPr>
        <w:pStyle w:val="12"/>
        <w:spacing w:line="240" w:lineRule="auto"/>
        <w:ind w:right="0" w:rightChars="0"/>
        <w:jc w:val="both"/>
        <w:rPr>
          <w:rFonts w:hint="default" w:ascii="Times New Roman" w:hAnsi="Times New Roman" w:cs="Times New Roman"/>
          <w:sz w:val="20"/>
          <w:szCs w:val="20"/>
        </w:rPr>
      </w:pPr>
      <w:r>
        <w:rPr>
          <w:rFonts w:hint="default" w:ascii="Times New Roman" w:hAnsi="Times New Roman" w:cs="Times New Roman"/>
          <w:sz w:val="20"/>
          <w:szCs w:val="20"/>
        </w:rPr>
        <w:t>Le traitement médical</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avait été effectué chez tous les patients (100</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xml:space="preserve">%) soit avant et/ou après la chirurgie. L’analgésie avait été obtenue avec du paracétamol (60 mg/kg/jour </w:t>
      </w:r>
      <w:r>
        <w:rPr>
          <w:rFonts w:hint="default" w:ascii="Times New Roman" w:hAnsi="Times New Roman" w:cs="Times New Roman"/>
          <w:sz w:val="20"/>
          <w:szCs w:val="20"/>
          <w:lang w:val="fr-FR"/>
        </w:rPr>
        <w:t xml:space="preserve">réparti </w:t>
      </w:r>
      <w:r>
        <w:rPr>
          <w:rFonts w:hint="default" w:ascii="Times New Roman" w:hAnsi="Times New Roman" w:cs="Times New Roman"/>
          <w:sz w:val="20"/>
          <w:szCs w:val="20"/>
        </w:rPr>
        <w:t>toutes les 6 heures) et/ou du Tramadol (300</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mg/j en 3 prises). L’antibiothérapie était systématique pour tous les patients, elle associait une céphalosporine de 3</w:t>
      </w:r>
      <w:r>
        <w:rPr>
          <w:rFonts w:hint="default" w:ascii="Times New Roman" w:hAnsi="Times New Roman" w:cs="Times New Roman"/>
          <w:sz w:val="20"/>
          <w:szCs w:val="20"/>
          <w:vertAlign w:val="superscript"/>
        </w:rPr>
        <w:t>ème</w:t>
      </w:r>
      <w:r>
        <w:rPr>
          <w:rFonts w:hint="default" w:ascii="Times New Roman" w:hAnsi="Times New Roman" w:cs="Times New Roman"/>
          <w:sz w:val="20"/>
          <w:szCs w:val="20"/>
        </w:rPr>
        <w:t xml:space="preserve"> génération (3 grammes par jour chez l’adulte et 100</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mg/kg/jour toutes les 8 heures</w:t>
      </w:r>
      <w:r>
        <w:rPr>
          <w:rFonts w:hint="default" w:ascii="Times New Roman" w:hAnsi="Times New Roman" w:cs="Times New Roman"/>
          <w:sz w:val="20"/>
          <w:szCs w:val="20"/>
          <w:lang w:val="fr-FR"/>
        </w:rPr>
        <w:t xml:space="preserve"> chez l’enfant</w:t>
      </w:r>
      <w:r>
        <w:rPr>
          <w:rFonts w:hint="default" w:ascii="Times New Roman" w:hAnsi="Times New Roman" w:cs="Times New Roman"/>
          <w:sz w:val="20"/>
          <w:szCs w:val="20"/>
        </w:rPr>
        <w:t>) ou une fluoroquinolone (1 g/jour en 2 prises) et du métronidazole (1,5 grammes par jour chez l’adulte et</w:t>
      </w:r>
      <w:r>
        <w:rPr>
          <w:rFonts w:hint="default" w:ascii="Times New Roman" w:hAnsi="Times New Roman" w:cs="Times New Roman"/>
          <w:color w:val="auto"/>
          <w:sz w:val="20"/>
          <w:szCs w:val="20"/>
          <w:shd w:val="clear" w:color="auto" w:fill="FFFFFF"/>
        </w:rPr>
        <w:t xml:space="preserve"> 30 à 40 mg/kg/jour chez l’enfant en trois prises</w:t>
      </w:r>
      <w:r>
        <w:rPr>
          <w:rFonts w:hint="default" w:ascii="Times New Roman" w:hAnsi="Times New Roman" w:cs="Times New Roman"/>
          <w:sz w:val="20"/>
          <w:szCs w:val="20"/>
        </w:rPr>
        <w:t>).</w:t>
      </w:r>
    </w:p>
    <w:p>
      <w:pPr>
        <w:pStyle w:val="12"/>
        <w:spacing w:line="240" w:lineRule="auto"/>
        <w:ind w:right="0" w:rightChars="0"/>
        <w:jc w:val="both"/>
        <w:rPr>
          <w:rFonts w:hint="default" w:ascii="Times New Roman" w:hAnsi="Times New Roman" w:cs="Times New Roman"/>
          <w:sz w:val="20"/>
          <w:szCs w:val="20"/>
        </w:rPr>
      </w:pPr>
      <w:r>
        <w:rPr>
          <w:rFonts w:hint="default" w:ascii="Times New Roman" w:hAnsi="Times New Roman" w:cs="Times New Roman"/>
          <w:sz w:val="20"/>
          <w:szCs w:val="20"/>
        </w:rPr>
        <w:t>Le drainage rénal préopératoire par néphrostomie percutanée échoguidée</w:t>
      </w:r>
      <w:r>
        <w:rPr>
          <w:rFonts w:hint="default" w:ascii="Times New Roman" w:hAnsi="Times New Roman" w:cs="Times New Roman"/>
          <w:sz w:val="20"/>
          <w:szCs w:val="20"/>
          <w:lang w:val="fr-FR"/>
        </w:rPr>
        <w:t xml:space="preserve"> (Figure 3)</w:t>
      </w:r>
      <w:r>
        <w:rPr>
          <w:rFonts w:hint="default" w:ascii="Times New Roman" w:hAnsi="Times New Roman" w:cs="Times New Roman"/>
          <w:sz w:val="20"/>
          <w:szCs w:val="20"/>
        </w:rPr>
        <w:t xml:space="preserve"> avant néphrectomie</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a été réalisé dans 12 cas (52,2</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La fonction rénale s’était normalisée au bout de deux semaines chez 1 patient (9,1</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le traitement dans ce cas était une chirurgie conservatrice notamment une pyéloplastie.</w:t>
      </w:r>
    </w:p>
    <w:p>
      <w:pPr>
        <w:pStyle w:val="12"/>
        <w:spacing w:line="240" w:lineRule="auto"/>
        <w:ind w:right="0" w:rightChars="0"/>
        <w:jc w:val="both"/>
        <w:rPr>
          <w:rFonts w:hint="default" w:ascii="Times New Roman" w:hAnsi="Times New Roman" w:cs="Times New Roman"/>
          <w:sz w:val="20"/>
          <w:szCs w:val="20"/>
        </w:rPr>
      </w:pPr>
      <w:r>
        <w:rPr>
          <w:sz w:val="20"/>
        </w:rPr>
        <mc:AlternateContent>
          <mc:Choice Requires="wps">
            <w:drawing>
              <wp:anchor distT="0" distB="0" distL="114300" distR="114300" simplePos="0" relativeHeight="251802624" behindDoc="0" locked="0" layoutInCell="1" allowOverlap="1">
                <wp:simplePos x="0" y="0"/>
                <wp:positionH relativeFrom="column">
                  <wp:posOffset>-12065</wp:posOffset>
                </wp:positionH>
                <wp:positionV relativeFrom="paragraph">
                  <wp:posOffset>50165</wp:posOffset>
                </wp:positionV>
                <wp:extent cx="3067050" cy="2959100"/>
                <wp:effectExtent l="0" t="0" r="0" b="12700"/>
                <wp:wrapNone/>
                <wp:docPr id="9" name="Zone de texte 9"/>
                <wp:cNvGraphicFramePr/>
                <a:graphic xmlns:a="http://schemas.openxmlformats.org/drawingml/2006/main">
                  <a:graphicData uri="http://schemas.microsoft.com/office/word/2010/wordprocessingShape">
                    <wps:wsp>
                      <wps:cNvSpPr txBox="1"/>
                      <wps:spPr>
                        <a:xfrm>
                          <a:off x="3975100" y="1159510"/>
                          <a:ext cx="3067050" cy="29591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Times New Roman" w:hAnsi="Times New Roman" w:cs="Times New Roman"/>
                                <w:sz w:val="20"/>
                                <w:szCs w:val="20"/>
                                <w:lang w:eastAsia="fr-FR"/>
                              </w:rPr>
                            </w:pPr>
                            <w:r>
                              <w:rPr>
                                <w:rFonts w:hint="default" w:ascii="Times New Roman" w:hAnsi="Times New Roman" w:cs="Times New Roman"/>
                                <w:sz w:val="20"/>
                                <w:szCs w:val="20"/>
                                <w:lang w:eastAsia="fr-FR"/>
                              </w:rPr>
                              <w:drawing>
                                <wp:inline distT="0" distB="0" distL="0" distR="0">
                                  <wp:extent cx="2205355" cy="2472055"/>
                                  <wp:effectExtent l="0" t="0" r="4445" b="4445"/>
                                  <wp:docPr id="3" name="Image 3" descr="C:\Users\AMA\Documents\Articles en rédaction\images médiales\20190213_094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C:\Users\AMA\Documents\Articles en rédaction\images médiales\20190213_094532.jpg"/>
                                          <pic:cNvPicPr>
                                            <a:picLocks noChangeAspect="1" noChangeArrowheads="1"/>
                                          </pic:cNvPicPr>
                                        </pic:nvPicPr>
                                        <pic:blipFill>
                                          <a:blip r:embed="rId9" cstate="print">
                                            <a:extLst>
                                              <a:ext uri="{28A0092B-C50C-407E-A947-70E740481C1C}">
                                                <a14:useLocalDpi xmlns:a14="http://schemas.microsoft.com/office/drawing/2010/main" val="0"/>
                                              </a:ext>
                                            </a:extLst>
                                          </a:blip>
                                          <a:srcRect l="22303" t="-276" r="30515" b="11936"/>
                                          <a:stretch>
                                            <a:fillRect/>
                                          </a:stretch>
                                        </pic:blipFill>
                                        <pic:spPr>
                                          <a:xfrm>
                                            <a:off x="0" y="0"/>
                                            <a:ext cx="2205355" cy="2472055"/>
                                          </a:xfrm>
                                          <a:prstGeom prst="rect">
                                            <a:avLst/>
                                          </a:prstGeom>
                                          <a:noFill/>
                                          <a:ln>
                                            <a:noFill/>
                                          </a:ln>
                                        </pic:spPr>
                                      </pic:pic>
                                    </a:graphicData>
                                  </a:graphic>
                                </wp:inline>
                              </w:drawing>
                            </w:r>
                          </w:p>
                          <w:p>
                            <w:pPr>
                              <w:jc w:val="center"/>
                              <w:rPr>
                                <w:rFonts w:hint="default" w:ascii="Times New Roman" w:hAnsi="Times New Roman" w:cs="Times New Roman"/>
                                <w:sz w:val="18"/>
                                <w:szCs w:val="18"/>
                                <w:lang w:eastAsia="fr-FR"/>
                              </w:rPr>
                            </w:pPr>
                            <w:r>
                              <w:rPr>
                                <w:rFonts w:hint="default" w:ascii="Times New Roman" w:hAnsi="Times New Roman" w:cs="Times New Roman"/>
                                <w:b/>
                                <w:bCs/>
                                <w:sz w:val="18"/>
                                <w:szCs w:val="18"/>
                                <w:u w:val="single"/>
                              </w:rPr>
                              <w:t>Figure 3</w:t>
                            </w:r>
                            <w:r>
                              <w:rPr>
                                <w:rFonts w:hint="default" w:ascii="Times New Roman" w:hAnsi="Times New Roman" w:cs="Times New Roman"/>
                                <w:sz w:val="18"/>
                                <w:szCs w:val="18"/>
                              </w:rPr>
                              <w:t> : Drainage rénal par néphrostomie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95pt;margin-top:3.95pt;height:233pt;width:241.5pt;z-index:251802624;mso-width-relative:page;mso-height-relative:page;" fillcolor="#FFFFFF [3201]" filled="t" stroked="f" coordsize="21600,21600" o:gfxdata="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NBI879QAAAAIAQAADwAAAAAAAAABACAAAAAiAAAAZHJzL2Rvd25yZXYueG1sUEsB&#10;AhQAFAAAAAgAh07iQM8+B/oyAgAAUgQAAA4AAAAAAAAAAQAgAAAAIwEAAGRycy9lMm9Eb2MueG1s&#10;UEsFBgAAAAAGAAYAWQEAAMcFAAAAAA==&#10;">
                <v:fill on="t" focussize="0,0"/>
                <v:stroke on="f" weight="0.5pt"/>
                <v:imagedata o:title=""/>
                <o:lock v:ext="edit" aspectratio="f"/>
                <v:textbox>
                  <w:txbxContent>
                    <w:p>
                      <w:pPr>
                        <w:jc w:val="center"/>
                        <w:rPr>
                          <w:rFonts w:hint="default" w:ascii="Times New Roman" w:hAnsi="Times New Roman" w:cs="Times New Roman"/>
                          <w:sz w:val="20"/>
                          <w:szCs w:val="20"/>
                          <w:lang w:eastAsia="fr-FR"/>
                        </w:rPr>
                      </w:pPr>
                      <w:r>
                        <w:rPr>
                          <w:rFonts w:hint="default" w:ascii="Times New Roman" w:hAnsi="Times New Roman" w:cs="Times New Roman"/>
                          <w:sz w:val="20"/>
                          <w:szCs w:val="20"/>
                          <w:lang w:eastAsia="fr-FR"/>
                        </w:rPr>
                        <w:drawing>
                          <wp:inline distT="0" distB="0" distL="0" distR="0">
                            <wp:extent cx="2205355" cy="2472055"/>
                            <wp:effectExtent l="0" t="0" r="4445" b="4445"/>
                            <wp:docPr id="3" name="Image 3" descr="C:\Users\AMA\Documents\Articles en rédaction\images médiales\20190213_094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C:\Users\AMA\Documents\Articles en rédaction\images médiales\20190213_094532.jpg"/>
                                    <pic:cNvPicPr>
                                      <a:picLocks noChangeAspect="1" noChangeArrowheads="1"/>
                                    </pic:cNvPicPr>
                                  </pic:nvPicPr>
                                  <pic:blipFill>
                                    <a:blip r:embed="rId9" cstate="print">
                                      <a:extLst>
                                        <a:ext uri="{28A0092B-C50C-407E-A947-70E740481C1C}">
                                          <a14:useLocalDpi xmlns:a14="http://schemas.microsoft.com/office/drawing/2010/main" val="0"/>
                                        </a:ext>
                                      </a:extLst>
                                    </a:blip>
                                    <a:srcRect l="22303" t="-276" r="30515" b="11936"/>
                                    <a:stretch>
                                      <a:fillRect/>
                                    </a:stretch>
                                  </pic:blipFill>
                                  <pic:spPr>
                                    <a:xfrm>
                                      <a:off x="0" y="0"/>
                                      <a:ext cx="2205355" cy="2472055"/>
                                    </a:xfrm>
                                    <a:prstGeom prst="rect">
                                      <a:avLst/>
                                    </a:prstGeom>
                                    <a:noFill/>
                                    <a:ln>
                                      <a:noFill/>
                                    </a:ln>
                                  </pic:spPr>
                                </pic:pic>
                              </a:graphicData>
                            </a:graphic>
                          </wp:inline>
                        </w:drawing>
                      </w:r>
                    </w:p>
                    <w:p>
                      <w:pPr>
                        <w:jc w:val="center"/>
                        <w:rPr>
                          <w:rFonts w:hint="default" w:ascii="Times New Roman" w:hAnsi="Times New Roman" w:cs="Times New Roman"/>
                          <w:sz w:val="18"/>
                          <w:szCs w:val="18"/>
                          <w:lang w:eastAsia="fr-FR"/>
                        </w:rPr>
                      </w:pPr>
                      <w:r>
                        <w:rPr>
                          <w:rFonts w:hint="default" w:ascii="Times New Roman" w:hAnsi="Times New Roman" w:cs="Times New Roman"/>
                          <w:b/>
                          <w:bCs/>
                          <w:sz w:val="18"/>
                          <w:szCs w:val="18"/>
                          <w:u w:val="single"/>
                        </w:rPr>
                        <w:t>Figure 3</w:t>
                      </w:r>
                      <w:r>
                        <w:rPr>
                          <w:rFonts w:hint="default" w:ascii="Times New Roman" w:hAnsi="Times New Roman" w:cs="Times New Roman"/>
                          <w:sz w:val="18"/>
                          <w:szCs w:val="18"/>
                        </w:rPr>
                        <w:t> : Drainage rénal par néphrostomie</w:t>
                      </w:r>
                    </w:p>
                  </w:txbxContent>
                </v:textbox>
              </v:shape>
            </w:pict>
          </mc:Fallback>
        </mc:AlternateContent>
      </w:r>
    </w:p>
    <w:p>
      <w:pPr>
        <w:pStyle w:val="12"/>
        <w:spacing w:line="240" w:lineRule="auto"/>
        <w:ind w:right="0" w:rightChars="0"/>
        <w:jc w:val="both"/>
        <w:rPr>
          <w:rFonts w:hint="default" w:ascii="Times New Roman" w:hAnsi="Times New Roman" w:cs="Times New Roman"/>
          <w:sz w:val="20"/>
          <w:szCs w:val="20"/>
        </w:rPr>
      </w:pPr>
    </w:p>
    <w:p>
      <w:pPr>
        <w:pStyle w:val="12"/>
        <w:spacing w:line="240" w:lineRule="auto"/>
        <w:ind w:right="0" w:rightChars="0"/>
        <w:jc w:val="both"/>
        <w:rPr>
          <w:rFonts w:hint="default" w:ascii="Times New Roman" w:hAnsi="Times New Roman" w:cs="Times New Roman"/>
          <w:sz w:val="20"/>
          <w:szCs w:val="20"/>
        </w:rPr>
      </w:pPr>
    </w:p>
    <w:p>
      <w:pPr>
        <w:pStyle w:val="12"/>
        <w:spacing w:line="240" w:lineRule="auto"/>
        <w:ind w:right="0" w:rightChars="0"/>
        <w:jc w:val="both"/>
        <w:rPr>
          <w:rFonts w:hint="default" w:ascii="Times New Roman" w:hAnsi="Times New Roman" w:cs="Times New Roman"/>
          <w:sz w:val="20"/>
          <w:szCs w:val="20"/>
        </w:rPr>
      </w:pPr>
    </w:p>
    <w:p>
      <w:pPr>
        <w:pStyle w:val="12"/>
        <w:spacing w:line="240" w:lineRule="auto"/>
        <w:ind w:right="0" w:rightChars="0"/>
        <w:jc w:val="both"/>
        <w:rPr>
          <w:rFonts w:hint="default" w:ascii="Times New Roman" w:hAnsi="Times New Roman" w:cs="Times New Roman"/>
          <w:sz w:val="20"/>
          <w:szCs w:val="20"/>
        </w:rPr>
      </w:pPr>
    </w:p>
    <w:p>
      <w:pPr>
        <w:pStyle w:val="12"/>
        <w:spacing w:line="240" w:lineRule="auto"/>
        <w:ind w:right="0" w:rightChars="0"/>
        <w:jc w:val="both"/>
        <w:rPr>
          <w:rFonts w:hint="default" w:ascii="Times New Roman" w:hAnsi="Times New Roman" w:cs="Times New Roman"/>
          <w:sz w:val="20"/>
          <w:szCs w:val="20"/>
        </w:rPr>
      </w:pPr>
    </w:p>
    <w:p>
      <w:pPr>
        <w:pStyle w:val="12"/>
        <w:spacing w:line="240" w:lineRule="auto"/>
        <w:ind w:right="0" w:rightChars="0"/>
        <w:jc w:val="both"/>
        <w:rPr>
          <w:rFonts w:hint="default" w:ascii="Times New Roman" w:hAnsi="Times New Roman" w:cs="Times New Roman"/>
          <w:sz w:val="20"/>
          <w:szCs w:val="20"/>
        </w:rPr>
      </w:pPr>
    </w:p>
    <w:p>
      <w:pPr>
        <w:pStyle w:val="12"/>
        <w:spacing w:line="240" w:lineRule="auto"/>
        <w:ind w:right="0" w:rightChars="0"/>
        <w:jc w:val="both"/>
        <w:rPr>
          <w:rFonts w:hint="default" w:ascii="Times New Roman" w:hAnsi="Times New Roman" w:cs="Times New Roman"/>
          <w:sz w:val="20"/>
          <w:szCs w:val="20"/>
        </w:rPr>
      </w:pPr>
    </w:p>
    <w:p>
      <w:pPr>
        <w:pStyle w:val="12"/>
        <w:spacing w:line="240" w:lineRule="auto"/>
        <w:ind w:right="0" w:rightChars="0"/>
        <w:jc w:val="both"/>
        <w:rPr>
          <w:rFonts w:hint="default" w:ascii="Times New Roman" w:hAnsi="Times New Roman" w:cs="Times New Roman"/>
          <w:sz w:val="20"/>
          <w:szCs w:val="20"/>
        </w:rPr>
      </w:pPr>
    </w:p>
    <w:p>
      <w:pPr>
        <w:pStyle w:val="12"/>
        <w:spacing w:line="240" w:lineRule="auto"/>
        <w:ind w:right="0" w:rightChars="0"/>
        <w:jc w:val="both"/>
        <w:rPr>
          <w:rFonts w:hint="default" w:ascii="Times New Roman" w:hAnsi="Times New Roman" w:cs="Times New Roman"/>
          <w:sz w:val="20"/>
          <w:szCs w:val="20"/>
        </w:rPr>
      </w:pPr>
    </w:p>
    <w:p>
      <w:pPr>
        <w:pStyle w:val="12"/>
        <w:spacing w:line="240" w:lineRule="auto"/>
        <w:ind w:right="0" w:rightChars="0"/>
        <w:jc w:val="both"/>
        <w:rPr>
          <w:rFonts w:hint="default" w:ascii="Times New Roman" w:hAnsi="Times New Roman" w:cs="Times New Roman"/>
          <w:sz w:val="20"/>
          <w:szCs w:val="20"/>
        </w:rPr>
      </w:pPr>
    </w:p>
    <w:p>
      <w:pPr>
        <w:pStyle w:val="12"/>
        <w:spacing w:line="240" w:lineRule="auto"/>
        <w:ind w:right="0" w:rightChars="0"/>
        <w:jc w:val="both"/>
        <w:rPr>
          <w:rFonts w:hint="default" w:ascii="Times New Roman" w:hAnsi="Times New Roman" w:cs="Times New Roman"/>
          <w:sz w:val="20"/>
          <w:szCs w:val="20"/>
        </w:rPr>
      </w:pPr>
    </w:p>
    <w:p>
      <w:pPr>
        <w:pStyle w:val="12"/>
        <w:spacing w:line="240" w:lineRule="auto"/>
        <w:ind w:right="0" w:rightChars="0"/>
        <w:jc w:val="both"/>
        <w:rPr>
          <w:rFonts w:hint="default" w:ascii="Times New Roman" w:hAnsi="Times New Roman" w:cs="Times New Roman"/>
          <w:sz w:val="20"/>
          <w:szCs w:val="20"/>
        </w:rPr>
      </w:pPr>
    </w:p>
    <w:p>
      <w:pPr>
        <w:pStyle w:val="12"/>
        <w:spacing w:line="240" w:lineRule="auto"/>
        <w:ind w:right="0" w:rightChars="0"/>
        <w:jc w:val="both"/>
        <w:rPr>
          <w:rFonts w:hint="default" w:ascii="Times New Roman" w:hAnsi="Times New Roman" w:cs="Times New Roman"/>
          <w:sz w:val="20"/>
          <w:szCs w:val="20"/>
        </w:rPr>
      </w:pPr>
    </w:p>
    <w:p>
      <w:pPr>
        <w:pStyle w:val="12"/>
        <w:spacing w:line="240" w:lineRule="auto"/>
        <w:ind w:right="0" w:rightChars="0"/>
        <w:jc w:val="both"/>
        <w:rPr>
          <w:rFonts w:hint="default" w:ascii="Times New Roman" w:hAnsi="Times New Roman" w:cs="Times New Roman"/>
          <w:sz w:val="20"/>
          <w:szCs w:val="20"/>
        </w:rPr>
      </w:pPr>
    </w:p>
    <w:p>
      <w:pPr>
        <w:pStyle w:val="12"/>
        <w:spacing w:line="240" w:lineRule="auto"/>
        <w:ind w:right="0" w:rightChars="0"/>
        <w:jc w:val="both"/>
        <w:rPr>
          <w:rFonts w:hint="default" w:ascii="Times New Roman" w:hAnsi="Times New Roman" w:cs="Times New Roman"/>
          <w:sz w:val="20"/>
          <w:szCs w:val="20"/>
        </w:rPr>
      </w:pPr>
    </w:p>
    <w:p>
      <w:pPr>
        <w:pStyle w:val="12"/>
        <w:spacing w:line="240" w:lineRule="auto"/>
        <w:ind w:right="0" w:rightChars="0"/>
        <w:jc w:val="both"/>
        <w:rPr>
          <w:rFonts w:hint="default" w:ascii="Times New Roman" w:hAnsi="Times New Roman" w:cs="Times New Roman"/>
          <w:sz w:val="20"/>
          <w:szCs w:val="20"/>
        </w:rPr>
      </w:pPr>
    </w:p>
    <w:p>
      <w:pPr>
        <w:pStyle w:val="12"/>
        <w:spacing w:line="240" w:lineRule="auto"/>
        <w:ind w:right="0" w:rightChars="0"/>
        <w:jc w:val="both"/>
        <w:rPr>
          <w:rFonts w:hint="default" w:ascii="Times New Roman" w:hAnsi="Times New Roman" w:cs="Times New Roman"/>
          <w:sz w:val="20"/>
          <w:szCs w:val="20"/>
        </w:rPr>
      </w:pPr>
    </w:p>
    <w:p>
      <w:pPr>
        <w:pStyle w:val="12"/>
        <w:spacing w:line="240" w:lineRule="auto"/>
        <w:ind w:right="0" w:rightChars="0"/>
        <w:jc w:val="both"/>
        <w:rPr>
          <w:rFonts w:hint="default" w:ascii="Times New Roman" w:hAnsi="Times New Roman" w:cs="Times New Roman"/>
          <w:sz w:val="20"/>
          <w:szCs w:val="20"/>
        </w:rPr>
      </w:pPr>
    </w:p>
    <w:p>
      <w:pPr>
        <w:pStyle w:val="12"/>
        <w:spacing w:line="240" w:lineRule="auto"/>
        <w:ind w:right="0" w:rightChars="0"/>
        <w:jc w:val="both"/>
        <w:rPr>
          <w:rFonts w:hint="default" w:ascii="Times New Roman" w:hAnsi="Times New Roman" w:cs="Times New Roman"/>
          <w:sz w:val="20"/>
          <w:szCs w:val="20"/>
        </w:rPr>
      </w:pPr>
    </w:p>
    <w:p>
      <w:pPr>
        <w:pStyle w:val="12"/>
        <w:spacing w:line="240" w:lineRule="auto"/>
        <w:ind w:right="0" w:rightChars="0"/>
        <w:jc w:val="both"/>
        <w:rPr>
          <w:rFonts w:hint="default" w:ascii="Times New Roman" w:hAnsi="Times New Roman" w:cs="Times New Roman"/>
          <w:sz w:val="20"/>
          <w:szCs w:val="20"/>
        </w:rPr>
      </w:pPr>
    </w:p>
    <w:p>
      <w:pPr>
        <w:pStyle w:val="12"/>
        <w:spacing w:line="240" w:lineRule="auto"/>
        <w:ind w:right="0" w:rightChars="0"/>
        <w:jc w:val="both"/>
        <w:rPr>
          <w:rFonts w:hint="default" w:ascii="Times New Roman" w:hAnsi="Times New Roman" w:cs="Times New Roman"/>
          <w:sz w:val="20"/>
          <w:szCs w:val="20"/>
        </w:rPr>
      </w:pPr>
      <w:r>
        <w:rPr>
          <w:rFonts w:hint="default" w:ascii="Times New Roman" w:hAnsi="Times New Roman" w:cs="Times New Roman"/>
          <w:sz w:val="20"/>
          <w:szCs w:val="20"/>
        </w:rPr>
        <w:t>La néphrectomie était pratiquée dans 22 cas (95,6</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Elle était d’emblée dans 11 cas (50</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et précédée de néphrostomie dans l’autre moitié des cas (50</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w:t>
      </w:r>
    </w:p>
    <w:p>
      <w:pPr>
        <w:pStyle w:val="12"/>
        <w:spacing w:line="240" w:lineRule="auto"/>
        <w:ind w:right="0" w:rightChars="0"/>
        <w:jc w:val="both"/>
        <w:rPr>
          <w:rFonts w:hint="default" w:ascii="Times New Roman" w:hAnsi="Times New Roman" w:cs="Times New Roman"/>
          <w:sz w:val="20"/>
          <w:szCs w:val="20"/>
        </w:rPr>
      </w:pPr>
      <w:r>
        <w:rPr>
          <w:rFonts w:hint="default" w:ascii="Times New Roman" w:hAnsi="Times New Roman" w:cs="Times New Roman"/>
          <w:sz w:val="20"/>
          <w:szCs w:val="20"/>
        </w:rPr>
        <w:t>La voie d’abord était une lombotomie dans tous les cas. La néphrectomie était élargie dans 16 cas (72,72</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et sous capsulaire dans six cas (27,27</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w:t>
      </w:r>
    </w:p>
    <w:p>
      <w:pPr>
        <w:pStyle w:val="12"/>
        <w:spacing w:line="240" w:lineRule="auto"/>
        <w:ind w:right="0" w:rightChars="0"/>
        <w:jc w:val="both"/>
        <w:rPr>
          <w:rFonts w:hint="default" w:ascii="Times New Roman" w:hAnsi="Times New Roman" w:cs="Times New Roman"/>
          <w:sz w:val="20"/>
          <w:szCs w:val="20"/>
        </w:rPr>
      </w:pPr>
      <w:r>
        <w:rPr>
          <w:rFonts w:hint="default" w:ascii="Times New Roman" w:hAnsi="Times New Roman" w:cs="Times New Roman"/>
          <w:sz w:val="20"/>
          <w:szCs w:val="20"/>
        </w:rPr>
        <w:t>L’exploration per opératoire mettait en évidence une sténose de la jonction pyélo-urétérale dans trois cas (13,6</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un vaisseau polaire inférieur croisant la jonction pyélo-urétérale dans deux cas (9</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une lithiase rénale dans 13 cas (59</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dans tous les cas le rein était volumineux, ferme, entouré de tissus très scléreux, adhèrent, complètement remanié, le parenchyme était détruit scléreux et les cavités rénales étaient remplies de pus. Dans un cas (4,3</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l’uretère était dilaté du pelvis rénal à la jonction uret</w:t>
      </w:r>
      <w:r>
        <w:rPr>
          <w:rFonts w:hint="default" w:ascii="Times New Roman" w:hAnsi="Times New Roman" w:cs="Times New Roman"/>
          <w:sz w:val="20"/>
          <w:szCs w:val="20"/>
          <w:lang w:val="fr-FR"/>
        </w:rPr>
        <w:t>é</w:t>
      </w:r>
      <w:r>
        <w:rPr>
          <w:rFonts w:hint="default" w:ascii="Times New Roman" w:hAnsi="Times New Roman" w:cs="Times New Roman"/>
          <w:sz w:val="20"/>
          <w:szCs w:val="20"/>
        </w:rPr>
        <w:t>ro-vésicale, scléreux correspondant à un méga</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uret</w:t>
      </w:r>
      <w:r>
        <w:rPr>
          <w:rFonts w:hint="default" w:ascii="Times New Roman" w:hAnsi="Times New Roman" w:cs="Times New Roman"/>
          <w:sz w:val="20"/>
          <w:szCs w:val="20"/>
          <w:lang w:val="fr-FR"/>
        </w:rPr>
        <w:t>è</w:t>
      </w:r>
      <w:r>
        <w:rPr>
          <w:rFonts w:hint="default" w:ascii="Times New Roman" w:hAnsi="Times New Roman" w:cs="Times New Roman"/>
          <w:sz w:val="20"/>
          <w:szCs w:val="20"/>
        </w:rPr>
        <w:t>re primitif.</w:t>
      </w:r>
    </w:p>
    <w:p>
      <w:pPr>
        <w:pStyle w:val="12"/>
        <w:spacing w:line="240" w:lineRule="auto"/>
        <w:ind w:right="0" w:rightChars="0"/>
        <w:jc w:val="both"/>
        <w:rPr>
          <w:rFonts w:hint="default" w:ascii="Times New Roman" w:hAnsi="Times New Roman" w:cs="Times New Roman"/>
          <w:sz w:val="20"/>
          <w:szCs w:val="20"/>
        </w:rPr>
      </w:pPr>
      <w:r>
        <w:rPr>
          <w:rFonts w:hint="default" w:ascii="Times New Roman" w:hAnsi="Times New Roman" w:cs="Times New Roman"/>
          <w:sz w:val="20"/>
          <w:szCs w:val="20"/>
        </w:rPr>
        <w:t>La difficulté opératoire retrouvée était une importante périnéphrite dans 15 cas (68,2</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Les incidents per opératoires étaient une brèche pleurale dans trois cas (13,6</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et une brèche péritonéale dans deux cas (9 %).</w:t>
      </w:r>
    </w:p>
    <w:p>
      <w:pPr>
        <w:pStyle w:val="12"/>
        <w:spacing w:line="240" w:lineRule="auto"/>
        <w:ind w:right="0" w:rightChars="0"/>
        <w:jc w:val="both"/>
        <w:rPr>
          <w:rFonts w:hint="default" w:ascii="Times New Roman" w:hAnsi="Times New Roman" w:cs="Times New Roman"/>
          <w:sz w:val="20"/>
          <w:szCs w:val="20"/>
        </w:rPr>
      </w:pPr>
      <w:r>
        <w:rPr>
          <w:rFonts w:hint="default" w:ascii="Times New Roman" w:hAnsi="Times New Roman" w:cs="Times New Roman"/>
          <w:sz w:val="20"/>
          <w:szCs w:val="20"/>
        </w:rPr>
        <w:t>Le drainage de la loge rénale a été réalisé dans tous les cas. L’ablation du drain était effectuée 1 à 2 jour après dans tous les cas.</w:t>
      </w:r>
    </w:p>
    <w:p>
      <w:pPr>
        <w:pStyle w:val="11"/>
        <w:spacing w:line="240" w:lineRule="auto"/>
        <w:jc w:val="both"/>
        <w:rPr>
          <w:rFonts w:hint="default" w:ascii="Times New Roman" w:hAnsi="Times New Roman" w:cs="Times New Roman"/>
          <w:color w:val="auto"/>
          <w:sz w:val="20"/>
          <w:szCs w:val="20"/>
        </w:rPr>
      </w:pPr>
      <w:r>
        <w:rPr>
          <w:rFonts w:hint="default" w:ascii="Times New Roman" w:hAnsi="Times New Roman" w:cs="Times New Roman"/>
          <w:color w:val="auto"/>
          <w:sz w:val="20"/>
          <w:szCs w:val="20"/>
        </w:rPr>
        <w:t>L’examen anatomo-pathologique de la pièce opératoire réalisé dans 14 cas soit 63,6</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 était tous en faveur d‘une pyélonéphrite chronique non spécifique.</w:t>
      </w:r>
    </w:p>
    <w:p>
      <w:pPr>
        <w:pStyle w:val="11"/>
        <w:keepNext w:val="0"/>
        <w:keepLines w:val="0"/>
        <w:pageBreakBefore w:val="0"/>
        <w:widowControl/>
        <w:kinsoku/>
        <w:wordWrap/>
        <w:overflowPunct/>
        <w:topLinePunct w:val="0"/>
        <w:bidi w:val="0"/>
        <w:snapToGrid/>
        <w:spacing w:before="60" w:after="20" w:line="240" w:lineRule="auto"/>
        <w:jc w:val="both"/>
        <w:textAlignment w:val="auto"/>
        <w:rPr>
          <w:rFonts w:hint="default" w:ascii="Times New Roman" w:hAnsi="Times New Roman" w:cs="Times New Roman"/>
          <w:b/>
          <w:color w:val="auto"/>
          <w:sz w:val="20"/>
          <w:szCs w:val="20"/>
        </w:rPr>
      </w:pPr>
      <w:r>
        <w:rPr>
          <w:rFonts w:hint="default" w:ascii="Times New Roman" w:hAnsi="Times New Roman" w:cs="Times New Roman"/>
          <w:b/>
          <w:color w:val="auto"/>
          <w:sz w:val="20"/>
          <w:szCs w:val="20"/>
        </w:rPr>
        <w:t>Données évolutives</w:t>
      </w:r>
    </w:p>
    <w:p>
      <w:p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Les suites opératoires immédiates étaient simples dans 17 cas (77,3</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w:t>
      </w:r>
    </w:p>
    <w:p>
      <w:p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Les complications post opératoires avaient été retrouvées dans cinq cas soit 22,7</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Il s’agissait d’une suppuration pariétale dans quatre cas (18,2</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et une septicémie</w:t>
      </w:r>
      <w:r>
        <w:rPr>
          <w:rFonts w:hint="default" w:ascii="Times New Roman" w:hAnsi="Times New Roman" w:cs="Times New Roman"/>
          <w:bCs/>
          <w:iCs/>
          <w:sz w:val="20"/>
          <w:szCs w:val="20"/>
        </w:rPr>
        <w:t xml:space="preserve"> ayant causé le décès d’un patient (4,5</w:t>
      </w:r>
      <w:r>
        <w:rPr>
          <w:rFonts w:hint="default" w:ascii="Times New Roman" w:hAnsi="Times New Roman" w:cs="Times New Roman"/>
          <w:bCs/>
          <w:iCs/>
          <w:sz w:val="20"/>
          <w:szCs w:val="20"/>
          <w:lang w:val="fr-FR"/>
        </w:rPr>
        <w:t xml:space="preserve"> </w:t>
      </w:r>
      <w:r>
        <w:rPr>
          <w:rFonts w:hint="default" w:ascii="Times New Roman" w:hAnsi="Times New Roman" w:cs="Times New Roman"/>
          <w:bCs/>
          <w:iCs/>
          <w:sz w:val="20"/>
          <w:szCs w:val="20"/>
        </w:rPr>
        <w:t>%)</w:t>
      </w:r>
      <w:r>
        <w:rPr>
          <w:rFonts w:hint="default" w:ascii="Times New Roman" w:hAnsi="Times New Roman" w:cs="Times New Roman"/>
          <w:sz w:val="20"/>
          <w:szCs w:val="20"/>
        </w:rPr>
        <w:t>.</w:t>
      </w:r>
    </w:p>
    <w:p>
      <w:p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 xml:space="preserve">La </w:t>
      </w:r>
      <w:r>
        <w:rPr>
          <w:rFonts w:hint="default" w:ascii="Times New Roman" w:hAnsi="Times New Roman" w:cs="Times New Roman"/>
          <w:bCs/>
          <w:iCs/>
          <w:sz w:val="20"/>
          <w:szCs w:val="20"/>
        </w:rPr>
        <w:t xml:space="preserve">durée moyenne d’hospitalisation </w:t>
      </w:r>
      <w:r>
        <w:rPr>
          <w:rFonts w:hint="default" w:ascii="Times New Roman" w:hAnsi="Times New Roman" w:cs="Times New Roman"/>
          <w:sz w:val="20"/>
          <w:szCs w:val="20"/>
        </w:rPr>
        <w:t xml:space="preserve">était de </w:t>
      </w:r>
      <w:r>
        <w:rPr>
          <w:rFonts w:hint="default" w:ascii="Times New Roman" w:hAnsi="Times New Roman" w:cs="Times New Roman"/>
          <w:bCs/>
          <w:iCs/>
          <w:sz w:val="20"/>
          <w:szCs w:val="20"/>
        </w:rPr>
        <w:t xml:space="preserve">7 jours </w:t>
      </w:r>
      <w:r>
        <w:rPr>
          <w:rFonts w:hint="default" w:ascii="Times New Roman" w:hAnsi="Times New Roman" w:cs="Times New Roman"/>
          <w:sz w:val="20"/>
          <w:szCs w:val="20"/>
        </w:rPr>
        <w:t xml:space="preserve">avec des </w:t>
      </w:r>
      <w:r>
        <w:rPr>
          <w:rFonts w:hint="default" w:ascii="Times New Roman" w:hAnsi="Times New Roman" w:cs="Times New Roman"/>
          <w:bCs/>
          <w:iCs/>
          <w:sz w:val="20"/>
          <w:szCs w:val="20"/>
        </w:rPr>
        <w:t xml:space="preserve">extrêmes </w:t>
      </w:r>
      <w:r>
        <w:rPr>
          <w:rFonts w:hint="default" w:ascii="Times New Roman" w:hAnsi="Times New Roman" w:cs="Times New Roman"/>
          <w:sz w:val="20"/>
          <w:szCs w:val="20"/>
        </w:rPr>
        <w:t xml:space="preserve">de </w:t>
      </w:r>
      <w:r>
        <w:rPr>
          <w:rFonts w:hint="default" w:ascii="Times New Roman" w:hAnsi="Times New Roman" w:cs="Times New Roman"/>
          <w:bCs/>
          <w:iCs/>
          <w:sz w:val="20"/>
          <w:szCs w:val="20"/>
        </w:rPr>
        <w:t>6 et 23 jours.</w:t>
      </w:r>
    </w:p>
    <w:p>
      <w:p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La durée moyenne de suivi après le traitement était de 9 mois avec des extrêmes allant de 2 à 21 mois.</w:t>
      </w:r>
    </w:p>
    <w:p>
      <w:pPr>
        <w:autoSpaceDE w:val="0"/>
        <w:autoSpaceDN w:val="0"/>
        <w:adjustRightInd w:val="0"/>
        <w:spacing w:after="0" w:line="240" w:lineRule="auto"/>
        <w:jc w:val="both"/>
        <w:rPr>
          <w:rFonts w:hint="default" w:ascii="Times New Roman" w:hAnsi="Times New Roman" w:cs="Times New Roman"/>
          <w:bCs/>
          <w:iCs/>
          <w:sz w:val="20"/>
          <w:szCs w:val="20"/>
        </w:rPr>
      </w:pPr>
      <w:r>
        <w:rPr>
          <w:rFonts w:hint="default" w:ascii="Times New Roman" w:hAnsi="Times New Roman" w:cs="Times New Roman"/>
          <w:sz w:val="20"/>
          <w:szCs w:val="20"/>
        </w:rPr>
        <w:t xml:space="preserve">Le nombre de contrôles variait de 2 à 5 pour une moyenne de 2 contrôles par patient. </w:t>
      </w:r>
      <w:r>
        <w:rPr>
          <w:rFonts w:hint="default" w:ascii="Times New Roman" w:hAnsi="Times New Roman" w:cs="Times New Roman"/>
          <w:bCs/>
          <w:iCs/>
          <w:sz w:val="20"/>
          <w:szCs w:val="20"/>
        </w:rPr>
        <w:t>Vingt patients (86,9</w:t>
      </w:r>
      <w:r>
        <w:rPr>
          <w:rFonts w:hint="default" w:ascii="Times New Roman" w:hAnsi="Times New Roman" w:cs="Times New Roman"/>
          <w:bCs/>
          <w:iCs/>
          <w:sz w:val="20"/>
          <w:szCs w:val="20"/>
          <w:lang w:val="fr-FR"/>
        </w:rPr>
        <w:t xml:space="preserve"> </w:t>
      </w:r>
      <w:r>
        <w:rPr>
          <w:rFonts w:hint="default" w:ascii="Times New Roman" w:hAnsi="Times New Roman" w:cs="Times New Roman"/>
          <w:bCs/>
          <w:iCs/>
          <w:sz w:val="20"/>
          <w:szCs w:val="20"/>
        </w:rPr>
        <w:t>%) avaient été suivis, le reste soit 2 (8,7</w:t>
      </w:r>
      <w:r>
        <w:rPr>
          <w:rFonts w:hint="default" w:ascii="Times New Roman" w:hAnsi="Times New Roman" w:cs="Times New Roman"/>
          <w:bCs/>
          <w:iCs/>
          <w:sz w:val="20"/>
          <w:szCs w:val="20"/>
          <w:lang w:val="fr-FR"/>
        </w:rPr>
        <w:t xml:space="preserve"> </w:t>
      </w:r>
      <w:r>
        <w:rPr>
          <w:rFonts w:hint="default" w:ascii="Times New Roman" w:hAnsi="Times New Roman" w:cs="Times New Roman"/>
          <w:bCs/>
          <w:iCs/>
          <w:sz w:val="20"/>
          <w:szCs w:val="20"/>
        </w:rPr>
        <w:t>%) étaient perdus de vue.</w:t>
      </w:r>
    </w:p>
    <w:p>
      <w:p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L’évolution à moyen et long terme était marquée, au plan clinique par des douleurs lombaires résiduelles notées dans 2 cas (9</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w:t>
      </w:r>
    </w:p>
    <w:p>
      <w:pPr>
        <w:keepNext w:val="0"/>
        <w:keepLines w:val="0"/>
        <w:pageBreakBefore w:val="0"/>
        <w:widowControl/>
        <w:kinsoku/>
        <w:wordWrap/>
        <w:overflowPunct/>
        <w:topLinePunct w:val="0"/>
        <w:bidi w:val="0"/>
        <w:snapToGrid/>
        <w:spacing w:before="120" w:after="40" w:line="240" w:lineRule="auto"/>
        <w:textAlignment w:val="auto"/>
        <w:rPr>
          <w:rFonts w:hint="default" w:ascii="Times New Roman" w:hAnsi="Times New Roman" w:cs="Times New Roman"/>
          <w:b/>
          <w:sz w:val="20"/>
          <w:szCs w:val="20"/>
        </w:rPr>
      </w:pPr>
      <w:r>
        <w:rPr>
          <w:rFonts w:hint="default" w:ascii="Times New Roman" w:hAnsi="Times New Roman" w:cs="Times New Roman"/>
          <w:b/>
          <w:sz w:val="20"/>
          <w:szCs w:val="20"/>
        </w:rPr>
        <w:t>DISCUSSION</w:t>
      </w:r>
    </w:p>
    <w:p>
      <w:p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 xml:space="preserve">La pyonéphrose est une affection rare, son incidence a été de 4,6 cas/an dans notre étude. Sow au Sénégal rapporte 44 cas en quatorze ans, avec 3,14 cas/an [3], Khouni en tunisie, 16 cas en 9 ans avec une incidence de 2 cas/an [2] et </w:t>
      </w:r>
      <w:r>
        <w:rPr>
          <w:rFonts w:hint="default" w:ascii="Times New Roman" w:hAnsi="Times New Roman" w:cs="Times New Roman"/>
          <w:bCs/>
          <w:sz w:val="20"/>
          <w:szCs w:val="20"/>
        </w:rPr>
        <w:t>Rabii au Maroc, note 14 cas en sept mois [</w:t>
      </w:r>
      <w:r>
        <w:rPr>
          <w:rFonts w:hint="default" w:ascii="Times New Roman" w:hAnsi="Times New Roman" w:cs="Times New Roman"/>
          <w:sz w:val="20"/>
          <w:szCs w:val="20"/>
        </w:rPr>
        <w:t>4</w:t>
      </w:r>
      <w:r>
        <w:rPr>
          <w:rFonts w:hint="default" w:ascii="Times New Roman" w:hAnsi="Times New Roman" w:eastAsia="Times New Roman" w:cs="Times New Roman"/>
          <w:sz w:val="20"/>
          <w:szCs w:val="20"/>
          <w:lang w:eastAsia="fr-FR"/>
        </w:rPr>
        <w:t>]</w:t>
      </w:r>
      <w:r>
        <w:rPr>
          <w:rFonts w:hint="default" w:ascii="Times New Roman" w:hAnsi="Times New Roman" w:cs="Times New Roman"/>
          <w:sz w:val="20"/>
          <w:szCs w:val="20"/>
        </w:rPr>
        <w:t>.</w:t>
      </w:r>
    </w:p>
    <w:p>
      <w:p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Toutes les tranches d’âge sont intéressées. Les hommes sont concernés au même titre que les femmes, cependant les proportions varient d’une série à une autre [3,5,6].</w:t>
      </w:r>
    </w:p>
    <w:p>
      <w:p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Le diabète sucré était l’antécédent médical le plus retrouvé, soit 21,74</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des cas. En raison de l’immunodépression qu’elle entra</w:t>
      </w:r>
      <w:r>
        <w:rPr>
          <w:rFonts w:hint="default" w:ascii="Times New Roman" w:hAnsi="Times New Roman" w:cs="Times New Roman"/>
          <w:sz w:val="20"/>
          <w:szCs w:val="20"/>
          <w:lang w:val="fr-FR"/>
        </w:rPr>
        <w:t>î</w:t>
      </w:r>
      <w:r>
        <w:rPr>
          <w:rFonts w:hint="default" w:ascii="Times New Roman" w:hAnsi="Times New Roman" w:cs="Times New Roman"/>
          <w:sz w:val="20"/>
          <w:szCs w:val="20"/>
        </w:rPr>
        <w:t>ne, le diabète constitue un terrain qui favorise la croissance bactérienne, par conséquent la survenue de la pyonéphrose [7].</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Sur le plan clinique, la symptomatologie de la pyonéphrose est bien diversifiée comprenant la douleur de la fosse lombaire, l’hématurie, le syndrome infectieux, la pyurie et la masse de la fosse lombaire. Ces signes ne sont pas spécifiques à la pyonéphrose. La douleur de la fosse lombaire était le principal signe. Elle avait motivé la consultation chez 65,21</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de nos patients, elle était isolée ou associée à d’autres signes. Nos résultats sont similaires à ceux de Sow qui retrouve la douleur de la fosse lombaire dans 95% des cas [3]. Cette douleur évolue souvent de façon intermittente avec des périodes d’accalmie, elle dispara</w:t>
      </w:r>
      <w:r>
        <w:rPr>
          <w:rFonts w:hint="default" w:ascii="Times New Roman" w:hAnsi="Times New Roman" w:cs="Times New Roman"/>
          <w:sz w:val="20"/>
          <w:szCs w:val="20"/>
          <w:lang w:val="fr-FR"/>
        </w:rPr>
        <w:t>î</w:t>
      </w:r>
      <w:r>
        <w:rPr>
          <w:rFonts w:hint="default" w:ascii="Times New Roman" w:hAnsi="Times New Roman" w:cs="Times New Roman"/>
          <w:sz w:val="20"/>
          <w:szCs w:val="20"/>
        </w:rPr>
        <w:t>t lorsque le rein cesse de fonctionner. Cette évolution de la douleur explique le fait que certains patients consultent à un stade avancé où le rein est complètement détruit. Aussi la douleur, surtout si elle n’est pas franche peut faire incriminer à défaut une pathologie digestive ou rhumatologique et faire retarder la prise en charge par un urologue. La pyonéphrose peut être asymptomatique et se révélée par un tableau de septicémie voire même au cours la grossesse [8</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10]. A l’examen clinique, La pyonéphrose réalise est un état de suppuration profonde avec une forte possibilité de dissémination du germe. Dans notre étude la fièvre a été présente dans 56,52</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des cas. Khouni retrouve la fièvre chez 13 patients sur 16 et Sow la note dans 92,7</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des cas [2,</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3].</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r>
        <w:rPr>
          <w:rStyle w:val="8"/>
          <w:rFonts w:hint="default" w:ascii="Times New Roman" w:hAnsi="Times New Roman" w:cs="Times New Roman"/>
          <w:color w:val="auto"/>
          <w:sz w:val="20"/>
          <w:szCs w:val="20"/>
        </w:rPr>
        <w:t>Sur le plan paraclinique, l’appréciation de la fonction rénale est indispensable car elle dicte l’attitude thérapeutique</w:t>
      </w:r>
      <w:r>
        <w:rPr>
          <w:rFonts w:hint="default" w:ascii="Times New Roman" w:hAnsi="Times New Roman" w:cs="Times New Roman"/>
          <w:sz w:val="20"/>
          <w:szCs w:val="20"/>
        </w:rPr>
        <w:t xml:space="preserve">. </w:t>
      </w:r>
      <w:r>
        <w:rPr>
          <w:rStyle w:val="8"/>
          <w:rFonts w:hint="default" w:ascii="Times New Roman" w:hAnsi="Times New Roman" w:cs="Times New Roman"/>
          <w:color w:val="auto"/>
          <w:sz w:val="20"/>
          <w:szCs w:val="20"/>
        </w:rPr>
        <w:t xml:space="preserve">La scintigraphie rénale au </w:t>
      </w:r>
      <w:r>
        <w:rPr>
          <w:rStyle w:val="8"/>
          <w:rFonts w:hint="default" w:ascii="Times New Roman" w:hAnsi="Times New Roman" w:cs="Times New Roman"/>
          <w:color w:val="auto"/>
          <w:sz w:val="20"/>
          <w:szCs w:val="20"/>
          <w:vertAlign w:val="superscript"/>
        </w:rPr>
        <w:t>99m</w:t>
      </w:r>
      <w:r>
        <w:rPr>
          <w:rStyle w:val="8"/>
          <w:rFonts w:hint="default" w:ascii="Times New Roman" w:hAnsi="Times New Roman" w:cs="Times New Roman"/>
          <w:color w:val="auto"/>
          <w:sz w:val="20"/>
          <w:szCs w:val="20"/>
        </w:rPr>
        <w:t xml:space="preserve">Tc-DTPA qui permet de l’évaluer de façon fiable n’étant pas accessible dans notre condition de travail, son évaluation a été faite par la mesure de la créatininémie. Aussi, </w:t>
      </w:r>
      <w:r>
        <w:rPr>
          <w:rFonts w:hint="default" w:ascii="Times New Roman" w:hAnsi="Times New Roman" w:cs="Times New Roman"/>
          <w:sz w:val="20"/>
          <w:szCs w:val="20"/>
        </w:rPr>
        <w:t>la néphrostomie percutanée permet aussi d’étudier séparément la fonction rénale en mesurant la créatinurie.</w:t>
      </w:r>
      <w:r>
        <w:rPr>
          <w:rStyle w:val="8"/>
          <w:rFonts w:hint="default" w:ascii="Times New Roman" w:hAnsi="Times New Roman" w:cs="Times New Roman"/>
          <w:color w:val="auto"/>
          <w:sz w:val="20"/>
          <w:szCs w:val="20"/>
        </w:rPr>
        <w:t xml:space="preserve"> </w:t>
      </w:r>
      <w:r>
        <w:rPr>
          <w:rFonts w:hint="default" w:ascii="Times New Roman" w:hAnsi="Times New Roman" w:cs="Times New Roman"/>
          <w:sz w:val="20"/>
          <w:szCs w:val="20"/>
        </w:rPr>
        <w:t>Il faut noter que la pyonéphrose est souvent unilatérale et l’insuffisance rénale exceptionnelle, en dehors des cas où elle survient sur un rein anatomiquement ou fonctionnellement unique. El Khader a rapporté quelques rares cas de pyonéphrose bilatérale [11]. L’examen cytobactériologique des urines peut révéler une pyurie, mettre en évidence une bactériurie significative (plus de 100.000 germes par ml), une leucocyturie supérieure ou égale à 10000/ml. Il permet aussi d’identifier le germe et de réaliser un antibiogramme [12]. Il était positif dans 82,60</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des cas. Sow, rapporte un ECBU positif dans 29,5</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des cas. Les germes isolés dans notre étude ont été identique à ceux retrouvés dans la littérature avec une prédominance d’Escherichia Coli [2,</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3]. Nous n’avons pas retrouvée de bacille de Koch. La culture du pus sur milieu spécialisé de Lowenstein-Jensen n’a pas été systématique. Un ECBU stérile n’exclut  pas le diagnostic de pyonéphrose. Il peut s’agir soit d’une infection décapitée par une antibiothérapie préalable ou d’un foyer infectieux clos exclut de circuit urinaire. Watson a fait le constat selon lequel, l’étude bactériologique du prélèvement du pus obtenu lors de la néphrostomie est beaucoup plus sensible [5]</w:t>
      </w:r>
      <w:r>
        <w:rPr>
          <w:rFonts w:hint="default" w:ascii="Times New Roman" w:hAnsi="Times New Roman" w:cs="Times New Roman"/>
          <w:sz w:val="20"/>
          <w:szCs w:val="20"/>
          <w:lang w:val="fr-FR"/>
        </w:rPr>
        <w:t>.</w:t>
      </w:r>
    </w:p>
    <w:p>
      <w:p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Les explorations d’imagerie ont été déterminantes pour le diagnostic de la pyonéphrose, mais aussi pour la mise en évidence des pathologies en cause de l’obstruction des voies urinaires. L’échographie rénale est un examen accessible et très peu onéreuse. Elle est à demander en première intention et en urgence devant la suspicion de pyonéphrose. Les signes échographiques permettant d’évoquer la pyonéphrose sont</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la perte de toute l’épaisseur du parenchyme rénal en regard des cavités très dilatées contenant de nombreux échos, avec des cavités parenchymateuses et surtout l’infiltration périrénale [13]. Selon la littérature, sa sensibilité est de 90</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sa spécificité est de 97</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et son exactitude de 96</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pour différencier une pyonéphrose d’une simple hydronéphrose [14]. Dans notre étude, l’échographie a permis de diagnostiquer la pyonéphrose 73,92</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des cas. Elle a aussi permis de mettre en évidence le facteur favorisant l’obstruction, notamment lithiasique. L’urographie intra-veineuse est réalisée chez les patients ayant une fonction rénale normale. Actuellement, elle a perdu son importance dans le diagnostic de la pyonéphrose depuis l’avènement de l’Uro-TDM. En cas de pyonéphrose, elle montre l’obstruction des voies urinaires avec soit un retard d’opacification du système collecteur, ou un rein non fonctionnel jusqu’à la 24</w:t>
      </w:r>
      <w:r>
        <w:rPr>
          <w:rFonts w:hint="default" w:ascii="Times New Roman" w:hAnsi="Times New Roman" w:cs="Times New Roman"/>
          <w:sz w:val="20"/>
          <w:szCs w:val="20"/>
          <w:vertAlign w:val="superscript"/>
        </w:rPr>
        <w:t>ème</w:t>
      </w:r>
      <w:r>
        <w:rPr>
          <w:rFonts w:hint="default" w:ascii="Times New Roman" w:hAnsi="Times New Roman" w:cs="Times New Roman"/>
          <w:sz w:val="20"/>
          <w:szCs w:val="20"/>
        </w:rPr>
        <w:t xml:space="preserve"> heure [9]. Elle a été réalisée chez sept patients et a permis de poser le diagnostic dans six cas. L’Uro-TDM est l’examen de référence pour le diagnostic de la pyonéphrose et la détection de la pathologie à l’origine de l’obstruction. L’examen tomodensitométrique sans injection de produit de contraste montre un gros rein aux contours mal définis et une dilatation des cavités excrétrices. Après injection intraveineuse, l’épaisseur du parenchyme rénal est très réduit en regard des cavités dilatées siège de signaux hyperdenses. Le rein est non fonctionnel. [9]. En sus, l’Uro-TDM précise la nature de l’obstruction, la fonction rénale, la sévérité de l’atteinte et l’inflammation périrénal qui prend l’aspect d’un simple épaississement des fascias, d’une infiltration de l’espace cellulo</w:t>
      </w:r>
      <w:r>
        <w:rPr>
          <w:rFonts w:hint="default" w:ascii="Times New Roman" w:hAnsi="Times New Roman" w:cs="Times New Roman"/>
          <w:sz w:val="20"/>
          <w:szCs w:val="20"/>
          <w:lang w:val="fr-FR"/>
        </w:rPr>
        <w:t>-</w:t>
      </w:r>
      <w:r>
        <w:rPr>
          <w:rFonts w:hint="default" w:ascii="Times New Roman" w:hAnsi="Times New Roman" w:cs="Times New Roman"/>
          <w:sz w:val="20"/>
          <w:szCs w:val="20"/>
        </w:rPr>
        <w:t>graisseux, d’un phlegmon périrénal collecté ou non [9,</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15]. Elle a été réalisée dans 16 cas, elle a permis de diagnostiquer la pyonéphrose dans tous les cas. Elle a en</w:t>
      </w:r>
      <w:r>
        <w:rPr>
          <w:rFonts w:hint="default" w:ascii="Times New Roman" w:hAnsi="Times New Roman" w:cs="Times New Roman"/>
          <w:sz w:val="20"/>
          <w:szCs w:val="20"/>
          <w:lang w:val="fr-FR"/>
        </w:rPr>
        <w:t>suite</w:t>
      </w:r>
      <w:r>
        <w:rPr>
          <w:rFonts w:hint="default" w:ascii="Times New Roman" w:hAnsi="Times New Roman" w:cs="Times New Roman"/>
          <w:sz w:val="20"/>
          <w:szCs w:val="20"/>
        </w:rPr>
        <w:t xml:space="preserve"> aidé à identifier les pathologies à l’origine de l’obstruction.</w:t>
      </w:r>
    </w:p>
    <w:p>
      <w:pPr>
        <w:autoSpaceDE w:val="0"/>
        <w:autoSpaceDN w:val="0"/>
        <w:adjustRightInd w:val="0"/>
        <w:spacing w:after="0" w:line="240" w:lineRule="auto"/>
        <w:jc w:val="both"/>
        <w:rPr>
          <w:rFonts w:hint="default" w:ascii="Times New Roman" w:hAnsi="Times New Roman" w:cs="Times New Roman"/>
          <w:sz w:val="20"/>
          <w:szCs w:val="20"/>
          <w:lang w:val="fr-FR"/>
        </w:rPr>
      </w:pPr>
      <w:r>
        <w:rPr>
          <w:rFonts w:hint="default" w:ascii="Times New Roman" w:hAnsi="Times New Roman" w:cs="Times New Roman"/>
          <w:sz w:val="20"/>
          <w:szCs w:val="20"/>
        </w:rPr>
        <w:t>Les facteurs étiologiques de la pyonéphrose peuvent être regroupés en trois groupes: les lithiases, les uropathies malformatives congénitales obstructives et les sténoses urétérales acquises. La lithiase urinaire est la plus grande pourvoyeuse de pyonéphrose. Plusieurs auteurs s’accordent sur la fréquence élevée de la lithiase comme cause de la pyonéphrose : Watson rapporte dans une série de 315 cas de pyonéphrose parmi lesquels 187 cas étaient secondaires à une lithiase, soit 59 % [5]. Pour Bouhafs la lithiase rénale était présente dans 60</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des cas [16]. Nos résultats sont similaires à ceux retrouvés dans la littérature avec 14 cas soit 60,87</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de pyonéphroses d’origine lithiasique. Les uropathies malformatives congénitales obstructives représentent la deuxième cause de la pyonéphrose après les lithiases urinaires [14]. Ces anomalies malformatives évoluent souvent à bas bruit et ne sont diagnostiquées qu’au stade de pyonéphrose avec destruction totale du parenchyme rénale. Le syndrome de la jonction pyélo-uréterale et le méga uretère primitif ont été les uropathies malformatives retrouvées respectivement dans 17,40</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et 4,35</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des cas La sténose urétérale acquise a été à l’origine de la pyonéphrose dans deux cas dans notre étude. Elle est le plus souvent secondaire à la bilharziose urinaire [3]. Nous avons noté deux cas soit 8,69</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de pyonéphrose dont la cause était indéterminée. Il peut s’agir de volumineuses pyonéphroses avec destruction complète du parenchyme rénal, le rein devient une poche d’urine purulente et il devient alors difficile de détecter la nature de l’obstruction surtout si elle n’est pas lithiasique, seule l’exploration per opératoire permet dans ce cas de déterminer la cause. D’autres causes de la pyonéphrose sont rapportées dans la littérature, comme la tuberculose [17], la tumeur de la voie excrétrice [5], la pyélonéphrite xanthogranulomateuse [17]</w:t>
      </w:r>
      <w:r>
        <w:rPr>
          <w:rFonts w:hint="default" w:ascii="Times New Roman" w:hAnsi="Times New Roman" w:cs="Times New Roman"/>
          <w:sz w:val="20"/>
          <w:szCs w:val="20"/>
          <w:lang w:val="fr-FR"/>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La néphrectomie est</w:t>
      </w:r>
      <w:r>
        <w:rPr>
          <w:rStyle w:val="8"/>
          <w:rFonts w:hint="default" w:ascii="Times New Roman" w:hAnsi="Times New Roman" w:cs="Times New Roman"/>
          <w:color w:val="auto"/>
          <w:sz w:val="20"/>
          <w:szCs w:val="20"/>
        </w:rPr>
        <w:t xml:space="preserve"> le traitement de choix de la pyonéphrose </w:t>
      </w:r>
      <w:r>
        <w:rPr>
          <w:rStyle w:val="8"/>
          <w:rFonts w:hint="default" w:ascii="Times New Roman" w:hAnsi="Times New Roman" w:eastAsia="Batang" w:cs="Times New Roman"/>
          <w:color w:val="auto"/>
          <w:sz w:val="20"/>
          <w:szCs w:val="20"/>
        </w:rPr>
        <w:t>[</w:t>
      </w:r>
      <w:r>
        <w:rPr>
          <w:rFonts w:hint="default" w:ascii="Times New Roman" w:hAnsi="Times New Roman" w:cs="Times New Roman"/>
          <w:sz w:val="20"/>
          <w:szCs w:val="20"/>
        </w:rPr>
        <w:t>4</w:t>
      </w:r>
      <w:r>
        <w:rPr>
          <w:rStyle w:val="8"/>
          <w:rFonts w:hint="default" w:ascii="Times New Roman" w:hAnsi="Times New Roman" w:eastAsia="Batang" w:cs="Times New Roman"/>
          <w:color w:val="auto"/>
          <w:sz w:val="20"/>
          <w:szCs w:val="20"/>
        </w:rPr>
        <w:t>]. Pour réduire la morbidité importante liée à cet acte, plusieurs auteurs réalisent une néphrotomie percutanée dite d’attente associée à une réanimation et une antibiothérapie rigoureuse précédant la néphrectomie [3,</w:t>
      </w:r>
      <w:r>
        <w:rPr>
          <w:rStyle w:val="8"/>
          <w:rFonts w:hint="default" w:ascii="Times New Roman" w:hAnsi="Times New Roman" w:eastAsia="Batang" w:cs="Times New Roman"/>
          <w:color w:val="auto"/>
          <w:sz w:val="20"/>
          <w:szCs w:val="20"/>
          <w:lang w:val="fr-FR"/>
        </w:rPr>
        <w:t xml:space="preserve"> </w:t>
      </w:r>
      <w:r>
        <w:rPr>
          <w:rStyle w:val="8"/>
          <w:rFonts w:hint="default" w:ascii="Times New Roman" w:hAnsi="Times New Roman" w:eastAsia="Batang" w:cs="Times New Roman"/>
          <w:color w:val="auto"/>
          <w:sz w:val="20"/>
          <w:szCs w:val="20"/>
        </w:rPr>
        <w:t>4].</w:t>
      </w:r>
      <w:r>
        <w:rPr>
          <w:rStyle w:val="8"/>
          <w:rFonts w:hint="default" w:ascii="Times New Roman" w:hAnsi="Times New Roman" w:cs="Times New Roman"/>
          <w:color w:val="auto"/>
          <w:sz w:val="20"/>
          <w:szCs w:val="20"/>
        </w:rPr>
        <w:t xml:space="preserve"> </w:t>
      </w:r>
      <w:r>
        <w:rPr>
          <w:rStyle w:val="8"/>
          <w:rFonts w:hint="default" w:ascii="Times New Roman" w:hAnsi="Times New Roman" w:eastAsia="Batang" w:cs="Times New Roman"/>
          <w:color w:val="auto"/>
          <w:sz w:val="20"/>
          <w:szCs w:val="20"/>
        </w:rPr>
        <w:t>Le drainage rénal du pus permet l’évacuation et l’examen bactériologique du pus, ce qui ferait que l’antibiothérapie soit bien adaptée au germe isolé. En outre, le drainage sert à évaluer de la fonction rénale par le dosage de la créatinurie [4,</w:t>
      </w:r>
      <w:r>
        <w:rPr>
          <w:rStyle w:val="8"/>
          <w:rFonts w:hint="default" w:ascii="Times New Roman" w:hAnsi="Times New Roman" w:eastAsia="Batang" w:cs="Times New Roman"/>
          <w:color w:val="auto"/>
          <w:sz w:val="20"/>
          <w:szCs w:val="20"/>
          <w:lang w:val="fr-FR"/>
        </w:rPr>
        <w:t xml:space="preserve"> </w:t>
      </w:r>
      <w:r>
        <w:rPr>
          <w:rStyle w:val="8"/>
          <w:rFonts w:hint="default" w:ascii="Times New Roman" w:hAnsi="Times New Roman" w:eastAsia="Batang" w:cs="Times New Roman"/>
          <w:color w:val="auto"/>
          <w:sz w:val="20"/>
          <w:szCs w:val="20"/>
        </w:rPr>
        <w:t>5,</w:t>
      </w:r>
      <w:r>
        <w:rPr>
          <w:rStyle w:val="8"/>
          <w:rFonts w:hint="default" w:ascii="Times New Roman" w:hAnsi="Times New Roman" w:eastAsia="Batang" w:cs="Times New Roman"/>
          <w:color w:val="auto"/>
          <w:sz w:val="20"/>
          <w:szCs w:val="20"/>
          <w:lang w:val="fr-FR"/>
        </w:rPr>
        <w:t xml:space="preserve"> </w:t>
      </w:r>
      <w:r>
        <w:rPr>
          <w:rStyle w:val="8"/>
          <w:rFonts w:hint="default" w:ascii="Times New Roman" w:hAnsi="Times New Roman" w:eastAsia="Batang" w:cs="Times New Roman"/>
          <w:color w:val="auto"/>
          <w:sz w:val="20"/>
          <w:szCs w:val="20"/>
        </w:rPr>
        <w:t>10,</w:t>
      </w:r>
      <w:r>
        <w:rPr>
          <w:rStyle w:val="8"/>
          <w:rFonts w:hint="default" w:ascii="Times New Roman" w:hAnsi="Times New Roman" w:eastAsia="Batang" w:cs="Times New Roman"/>
          <w:color w:val="auto"/>
          <w:sz w:val="20"/>
          <w:szCs w:val="20"/>
          <w:lang w:val="fr-FR"/>
        </w:rPr>
        <w:t xml:space="preserve"> </w:t>
      </w:r>
      <w:r>
        <w:rPr>
          <w:rStyle w:val="8"/>
          <w:rFonts w:hint="default" w:ascii="Times New Roman" w:hAnsi="Times New Roman" w:eastAsia="Batang" w:cs="Times New Roman"/>
          <w:color w:val="auto"/>
          <w:sz w:val="20"/>
          <w:szCs w:val="20"/>
        </w:rPr>
        <w:t xml:space="preserve">18]. </w:t>
      </w:r>
      <w:r>
        <w:rPr>
          <w:rFonts w:hint="default" w:ascii="Times New Roman" w:hAnsi="Times New Roman" w:cs="Times New Roman"/>
          <w:sz w:val="20"/>
          <w:szCs w:val="20"/>
        </w:rPr>
        <w:t>Associé à l’antibiothérapie, elle a permis dans le cas d’une pyonéphrose d</w:t>
      </w:r>
      <w:r>
        <w:rPr>
          <w:rFonts w:hint="default" w:ascii="Times New Roman" w:hAnsi="Times New Roman" w:cs="Times New Roman"/>
          <w:sz w:val="20"/>
          <w:szCs w:val="20"/>
          <w:lang w:val="fr-FR"/>
        </w:rPr>
        <w:t>û</w:t>
      </w:r>
      <w:r>
        <w:rPr>
          <w:rFonts w:hint="default" w:ascii="Times New Roman" w:hAnsi="Times New Roman" w:cs="Times New Roman"/>
          <w:sz w:val="20"/>
          <w:szCs w:val="20"/>
        </w:rPr>
        <w:t>e à un syndrome de la jonction pyélo-ureterale, la récupération de la fonction rénale dans notre étude.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La difficulté opératoire rencontrée dans notre étude était essentiellement constituée par la périnéphrite retrouvée dans 15 cas.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Les complications per</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opératoires sont liées essentiellement aux conditions opératoires difficiles: le saignement secondaire à une atteinte du pédicule rénal ou des vaisseaux avoisinants, les lésions de la rate et du pancréas, les perforations coliques sont décrites dans la littérature [11]. Nous avons noté un cas de brèche pleurale et deux cas de brèche péritonéale.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L’examen anatomo-pathologique de la pièce opératoire disponible dans 14 cas était en faveur de la pyélonéphrite chronique non spécifique. Il n’a pas été retrouvé des lésions de tuberculose.</w:t>
      </w:r>
    </w:p>
    <w:p>
      <w:pPr>
        <w:autoSpaceDE w:val="0"/>
        <w:autoSpaceDN w:val="0"/>
        <w:adjustRightInd w:val="0"/>
        <w:spacing w:after="0" w:line="240" w:lineRule="auto"/>
        <w:jc w:val="both"/>
        <w:rPr>
          <w:rFonts w:hint="default" w:ascii="Times New Roman" w:hAnsi="Times New Roman" w:cs="Times New Roman"/>
          <w:b/>
          <w:sz w:val="20"/>
          <w:szCs w:val="20"/>
        </w:rPr>
      </w:pPr>
      <w:r>
        <w:rPr>
          <w:rFonts w:hint="default" w:ascii="Times New Roman" w:hAnsi="Times New Roman" w:cs="Times New Roman"/>
          <w:sz w:val="20"/>
          <w:szCs w:val="20"/>
        </w:rPr>
        <w:t>Les suites opératoires étaient compliquées dans quatre cas soit 18,18</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Il s’agissait de la suppuration de la plaie opératoire dans trois cas et un cas de septicémie ayant entrainé la mort. Khouni dans son étude avait mentionné deux décès soit 14,3</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des cas [2]. De façon générale, l’évolution de la pyonéphrose est favorable et le décès pour pyonéphrose est devenu rare [3].</w:t>
      </w:r>
    </w:p>
    <w:p>
      <w:pPr>
        <w:keepNext w:val="0"/>
        <w:keepLines w:val="0"/>
        <w:pageBreakBefore w:val="0"/>
        <w:widowControl/>
        <w:kinsoku/>
        <w:wordWrap/>
        <w:overflowPunct/>
        <w:topLinePunct w:val="0"/>
        <w:autoSpaceDE w:val="0"/>
        <w:autoSpaceDN w:val="0"/>
        <w:bidi w:val="0"/>
        <w:adjustRightInd w:val="0"/>
        <w:snapToGrid/>
        <w:spacing w:before="120" w:after="4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CONCLUSION</w:t>
      </w:r>
    </w:p>
    <w:p>
      <w:pPr>
        <w:autoSpaceDE w:val="0"/>
        <w:autoSpaceDN w:val="0"/>
        <w:adjustRightInd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La pyonéphrose est une infection rénale rare et grave. Sa symptomatologie variée s’apparente à celle de toutes les autres pathologies du haut appareil urinaire, d’où la nécessité des examens d’imagerie qui permettent de poser le diagnostic. La lithiase rénale est la première cause de pyonéphrose. Devant une pyonéphrose, la néphrostomie percutanée échoguidé doit être le premier</w:t>
      </w:r>
      <w:r>
        <w:rPr>
          <w:rFonts w:hint="default" w:ascii="Times New Roman" w:hAnsi="Times New Roman" w:cs="Times New Roman"/>
          <w:sz w:val="20"/>
          <w:szCs w:val="20"/>
          <w:lang w:val="fr-FR"/>
        </w:rPr>
        <w:t xml:space="preserve"> geste</w:t>
      </w:r>
      <w:r>
        <w:rPr>
          <w:rFonts w:hint="default" w:ascii="Times New Roman" w:hAnsi="Times New Roman" w:cs="Times New Roman"/>
          <w:sz w:val="20"/>
          <w:szCs w:val="20"/>
        </w:rPr>
        <w:t xml:space="preserve"> à réaliser, elle est associée à une antibiothérapie rigoureuse voire une bonne réanimation avant la néphrectomie. La prévention de la pyonéphrose passe par le traitement précoce des maladies rénales obstructives qui en constituent les facteurs favorisants.</w:t>
      </w:r>
    </w:p>
    <w:p>
      <w:pPr>
        <w:keepNext w:val="0"/>
        <w:keepLines w:val="0"/>
        <w:pageBreakBefore w:val="0"/>
        <w:widowControl/>
        <w:kinsoku/>
        <w:wordWrap/>
        <w:overflowPunct/>
        <w:topLinePunct w:val="0"/>
        <w:bidi w:val="0"/>
        <w:snapToGrid/>
        <w:spacing w:before="120" w:after="40" w:line="240" w:lineRule="auto"/>
        <w:textAlignment w:val="auto"/>
        <w:rPr>
          <w:rFonts w:hint="default" w:ascii="Times New Roman" w:hAnsi="Times New Roman" w:cs="Times New Roman"/>
          <w:b/>
          <w:sz w:val="20"/>
          <w:szCs w:val="20"/>
        </w:rPr>
      </w:pPr>
      <w:r>
        <w:rPr>
          <w:rFonts w:hint="default" w:ascii="Times New Roman" w:hAnsi="Times New Roman" w:cs="Times New Roman"/>
          <w:b/>
          <w:sz w:val="20"/>
          <w:szCs w:val="20"/>
        </w:rPr>
        <w:t>RÉFÉRENCES</w:t>
      </w:r>
    </w:p>
    <w:p>
      <w:pPr>
        <w:numPr>
          <w:ilvl w:val="0"/>
          <w:numId w:val="2"/>
        </w:numPr>
        <w:autoSpaceDE w:val="0"/>
        <w:autoSpaceDN w:val="0"/>
        <w:adjustRightInd w:val="0"/>
        <w:spacing w:after="0" w:line="240" w:lineRule="auto"/>
        <w:contextualSpacing/>
        <w:jc w:val="both"/>
        <w:rPr>
          <w:rFonts w:hint="default" w:ascii="Times New Roman" w:hAnsi="Times New Roman" w:eastAsia="Calibri" w:cs="Times New Roman"/>
          <w:sz w:val="18"/>
          <w:szCs w:val="18"/>
        </w:rPr>
      </w:pPr>
      <w:r>
        <w:rPr>
          <w:rFonts w:hint="default" w:ascii="Times New Roman" w:hAnsi="Times New Roman" w:eastAsia="Calibri" w:cs="Times New Roman"/>
          <w:sz w:val="18"/>
          <w:szCs w:val="18"/>
        </w:rPr>
        <w:t>Proca E : Pionefroza. în Revista Română de Urologie 1997 ; 4 : 141- 152</w:t>
      </w:r>
      <w:r>
        <w:rPr>
          <w:rFonts w:hint="default" w:ascii="Times New Roman" w:hAnsi="Times New Roman" w:eastAsia="Calibri" w:cs="Times New Roman"/>
          <w:sz w:val="18"/>
          <w:szCs w:val="18"/>
          <w:lang w:val="fr-FR"/>
        </w:rPr>
        <w:t>.</w:t>
      </w:r>
    </w:p>
    <w:p>
      <w:pPr>
        <w:numPr>
          <w:ilvl w:val="0"/>
          <w:numId w:val="2"/>
        </w:numPr>
        <w:autoSpaceDE w:val="0"/>
        <w:autoSpaceDN w:val="0"/>
        <w:adjustRightInd w:val="0"/>
        <w:spacing w:after="0" w:line="240" w:lineRule="auto"/>
        <w:contextualSpacing/>
        <w:jc w:val="both"/>
        <w:rPr>
          <w:rFonts w:hint="default" w:ascii="Times New Roman" w:hAnsi="Times New Roman" w:eastAsia="Calibri" w:cs="Times New Roman"/>
          <w:sz w:val="18"/>
          <w:szCs w:val="18"/>
        </w:rPr>
      </w:pPr>
      <w:r>
        <w:rPr>
          <w:rFonts w:hint="default" w:ascii="Times New Roman" w:hAnsi="Times New Roman" w:eastAsia="Calibri" w:cs="Times New Roman"/>
          <w:sz w:val="18"/>
          <w:szCs w:val="18"/>
        </w:rPr>
        <w:t xml:space="preserve">Khouni H, Bouchiba N, Ben AM, </w:t>
      </w:r>
      <w:r>
        <w:rPr>
          <w:rFonts w:hint="default" w:ascii="Times New Roman" w:hAnsi="Times New Roman" w:eastAsia="Calibri" w:cs="Times New Roman"/>
          <w:iCs/>
          <w:sz w:val="18"/>
          <w:szCs w:val="18"/>
        </w:rPr>
        <w:t>et al</w:t>
      </w:r>
      <w:r>
        <w:rPr>
          <w:rFonts w:hint="default" w:ascii="Times New Roman" w:hAnsi="Times New Roman" w:eastAsia="Calibri" w:cs="Times New Roman"/>
          <w:sz w:val="18"/>
          <w:szCs w:val="18"/>
        </w:rPr>
        <w:t xml:space="preserve">. Approche diagnostique thérapeutique de la pyonéphrose lithiasique. A propos de 16 cas. </w:t>
      </w:r>
      <w:r>
        <w:rPr>
          <w:rFonts w:hint="default" w:ascii="Times New Roman" w:hAnsi="Times New Roman" w:eastAsia="Calibri" w:cs="Times New Roman"/>
          <w:iCs/>
          <w:sz w:val="18"/>
          <w:szCs w:val="18"/>
        </w:rPr>
        <w:t xml:space="preserve">Tunis Med </w:t>
      </w:r>
      <w:r>
        <w:rPr>
          <w:rFonts w:hint="default" w:ascii="Times New Roman" w:hAnsi="Times New Roman" w:eastAsia="Calibri" w:cs="Times New Roman"/>
          <w:sz w:val="18"/>
          <w:szCs w:val="18"/>
        </w:rPr>
        <w:t>2011; 8-9.</w:t>
      </w:r>
    </w:p>
    <w:p>
      <w:pPr>
        <w:numPr>
          <w:ilvl w:val="0"/>
          <w:numId w:val="2"/>
        </w:numPr>
        <w:autoSpaceDE w:val="0"/>
        <w:autoSpaceDN w:val="0"/>
        <w:adjustRightInd w:val="0"/>
        <w:spacing w:after="0" w:line="240" w:lineRule="auto"/>
        <w:contextualSpacing/>
        <w:jc w:val="both"/>
        <w:rPr>
          <w:rFonts w:hint="default" w:ascii="Times New Roman" w:hAnsi="Times New Roman" w:eastAsia="Times New Roman" w:cs="Times New Roman"/>
          <w:sz w:val="18"/>
          <w:szCs w:val="18"/>
          <w:lang w:eastAsia="fr-FR"/>
        </w:rPr>
      </w:pPr>
      <w:r>
        <w:rPr>
          <w:rFonts w:hint="default" w:ascii="Times New Roman" w:hAnsi="Times New Roman" w:eastAsia="Calibri" w:cs="Times New Roman"/>
          <w:sz w:val="18"/>
          <w:szCs w:val="18"/>
        </w:rPr>
        <w:t xml:space="preserve">Sow Y, Fall B, Sarr A, </w:t>
      </w:r>
      <w:r>
        <w:rPr>
          <w:rFonts w:hint="default" w:ascii="Times New Roman" w:hAnsi="Times New Roman" w:eastAsia="Calibri" w:cs="Times New Roman"/>
          <w:iCs/>
          <w:sz w:val="18"/>
          <w:szCs w:val="18"/>
        </w:rPr>
        <w:t>et al</w:t>
      </w:r>
      <w:r>
        <w:rPr>
          <w:rFonts w:hint="default" w:ascii="Times New Roman" w:hAnsi="Times New Roman" w:eastAsia="Calibri" w:cs="Times New Roman"/>
          <w:sz w:val="18"/>
          <w:szCs w:val="18"/>
        </w:rPr>
        <w:t xml:space="preserve">. Pyonéphrose : 44 observations au Sénégal. </w:t>
      </w:r>
      <w:r>
        <w:rPr>
          <w:rFonts w:hint="default" w:ascii="Times New Roman" w:hAnsi="Times New Roman" w:eastAsia="Calibri" w:cs="Times New Roman"/>
          <w:iCs/>
          <w:sz w:val="18"/>
          <w:szCs w:val="18"/>
        </w:rPr>
        <w:t xml:space="preserve">Méd Trop </w:t>
      </w:r>
      <w:r>
        <w:rPr>
          <w:rFonts w:hint="default" w:ascii="Times New Roman" w:hAnsi="Times New Roman" w:eastAsia="Calibri" w:cs="Times New Roman"/>
          <w:sz w:val="18"/>
          <w:szCs w:val="18"/>
        </w:rPr>
        <w:t>2011; 71: 495-8</w:t>
      </w:r>
      <w:r>
        <w:rPr>
          <w:rFonts w:hint="default" w:ascii="Times New Roman" w:hAnsi="Times New Roman" w:eastAsia="Times New Roman" w:cs="Times New Roman"/>
          <w:sz w:val="18"/>
          <w:szCs w:val="18"/>
          <w:lang w:eastAsia="fr-FR"/>
        </w:rPr>
        <w:t xml:space="preserve"> </w:t>
      </w:r>
    </w:p>
    <w:p>
      <w:pPr>
        <w:numPr>
          <w:ilvl w:val="0"/>
          <w:numId w:val="2"/>
        </w:numPr>
        <w:autoSpaceDE w:val="0"/>
        <w:autoSpaceDN w:val="0"/>
        <w:adjustRightInd w:val="0"/>
        <w:spacing w:after="0" w:line="240" w:lineRule="auto"/>
        <w:contextualSpacing/>
        <w:jc w:val="both"/>
        <w:rPr>
          <w:rFonts w:hint="default" w:ascii="Times New Roman" w:hAnsi="Times New Roman" w:eastAsia="Calibri" w:cs="Times New Roman"/>
          <w:sz w:val="18"/>
          <w:szCs w:val="18"/>
        </w:rPr>
      </w:pP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HYPERLINK "http://europepmc.org/search;jsessionid=ED1755857778376479D3BA9327E55DEA?query=AUTH:%22Rabii+R%22&amp;page=1" </w:instrText>
      </w:r>
      <w:r>
        <w:rPr>
          <w:rFonts w:hint="default" w:ascii="Times New Roman" w:hAnsi="Times New Roman" w:cs="Times New Roman"/>
          <w:sz w:val="18"/>
          <w:szCs w:val="18"/>
        </w:rPr>
        <w:fldChar w:fldCharType="separate"/>
      </w:r>
      <w:r>
        <w:rPr>
          <w:rFonts w:hint="default" w:ascii="Times New Roman" w:hAnsi="Times New Roman" w:eastAsia="Times New Roman" w:cs="Times New Roman"/>
          <w:sz w:val="18"/>
          <w:szCs w:val="18"/>
          <w:lang w:eastAsia="fr-FR"/>
        </w:rPr>
        <w:t>Rabii R</w:t>
      </w:r>
      <w:r>
        <w:rPr>
          <w:rFonts w:hint="default" w:ascii="Times New Roman" w:hAnsi="Times New Roman" w:eastAsia="Times New Roman" w:cs="Times New Roman"/>
          <w:sz w:val="18"/>
          <w:szCs w:val="18"/>
          <w:lang w:eastAsia="fr-FR"/>
        </w:rPr>
        <w:fldChar w:fldCharType="end"/>
      </w:r>
      <w:r>
        <w:rPr>
          <w:rFonts w:hint="default" w:ascii="Times New Roman" w:hAnsi="Times New Roman" w:eastAsia="Times New Roman" w:cs="Times New Roman"/>
          <w:sz w:val="18"/>
          <w:szCs w:val="18"/>
          <w:lang w:eastAsia="fr-FR"/>
        </w:rPr>
        <w:t>, </w:t>
      </w: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HYPERLINK "http://europepmc.org/search;jsessionid=ED1755857778376479D3BA9327E55DEA?query=AUTH:%22Joual+A%22&amp;page=1" </w:instrText>
      </w:r>
      <w:r>
        <w:rPr>
          <w:rFonts w:hint="default" w:ascii="Times New Roman" w:hAnsi="Times New Roman" w:cs="Times New Roman"/>
          <w:sz w:val="18"/>
          <w:szCs w:val="18"/>
        </w:rPr>
        <w:fldChar w:fldCharType="separate"/>
      </w:r>
      <w:r>
        <w:rPr>
          <w:rFonts w:hint="default" w:ascii="Times New Roman" w:hAnsi="Times New Roman" w:eastAsia="Times New Roman" w:cs="Times New Roman"/>
          <w:sz w:val="18"/>
          <w:szCs w:val="18"/>
          <w:lang w:eastAsia="fr-FR"/>
        </w:rPr>
        <w:t>Joual A</w:t>
      </w:r>
      <w:r>
        <w:rPr>
          <w:rFonts w:hint="default" w:ascii="Times New Roman" w:hAnsi="Times New Roman" w:eastAsia="Times New Roman" w:cs="Times New Roman"/>
          <w:sz w:val="18"/>
          <w:szCs w:val="18"/>
          <w:lang w:eastAsia="fr-FR"/>
        </w:rPr>
        <w:fldChar w:fldCharType="end"/>
      </w:r>
      <w:r>
        <w:rPr>
          <w:rFonts w:hint="default" w:ascii="Times New Roman" w:hAnsi="Times New Roman" w:eastAsia="Times New Roman" w:cs="Times New Roman"/>
          <w:sz w:val="18"/>
          <w:szCs w:val="18"/>
          <w:lang w:eastAsia="fr-FR"/>
        </w:rPr>
        <w:t xml:space="preserve">,  </w:t>
      </w: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HYPERLINK "http://europepmc.org/search;jsessionid=ED1755857778376479D3BA9327E55DEA?query=AUTH:%22Rais+H%22&amp;page=1" </w:instrText>
      </w:r>
      <w:r>
        <w:rPr>
          <w:rFonts w:hint="default" w:ascii="Times New Roman" w:hAnsi="Times New Roman" w:cs="Times New Roman"/>
          <w:sz w:val="18"/>
          <w:szCs w:val="18"/>
        </w:rPr>
        <w:fldChar w:fldCharType="separate"/>
      </w:r>
      <w:r>
        <w:rPr>
          <w:rFonts w:hint="default" w:ascii="Times New Roman" w:hAnsi="Times New Roman" w:eastAsia="Times New Roman" w:cs="Times New Roman"/>
          <w:sz w:val="18"/>
          <w:szCs w:val="18"/>
          <w:lang w:eastAsia="fr-FR"/>
        </w:rPr>
        <w:t>Rais H</w:t>
      </w:r>
      <w:r>
        <w:rPr>
          <w:rFonts w:hint="default" w:ascii="Times New Roman" w:hAnsi="Times New Roman" w:eastAsia="Times New Roman" w:cs="Times New Roman"/>
          <w:sz w:val="18"/>
          <w:szCs w:val="18"/>
          <w:lang w:eastAsia="fr-FR"/>
        </w:rPr>
        <w:fldChar w:fldCharType="end"/>
      </w:r>
      <w:r>
        <w:rPr>
          <w:rFonts w:hint="default" w:ascii="Times New Roman" w:hAnsi="Times New Roman" w:eastAsia="Times New Roman" w:cs="Times New Roman"/>
          <w:sz w:val="18"/>
          <w:szCs w:val="18"/>
          <w:lang w:eastAsia="fr-FR"/>
        </w:rPr>
        <w:t xml:space="preserve"> et al </w:t>
      </w: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HYPERLINK "http://europepmc.org/search;jsessionid=ED1755857778376479D3BA9327E55DEA?query=JOURNAL:%22Ann+Urol+%28Paris%29%22&amp;page=1" </w:instrText>
      </w:r>
      <w:r>
        <w:rPr>
          <w:rFonts w:hint="default" w:ascii="Times New Roman" w:hAnsi="Times New Roman" w:cs="Times New Roman"/>
          <w:sz w:val="18"/>
          <w:szCs w:val="18"/>
        </w:rPr>
        <w:fldChar w:fldCharType="separate"/>
      </w:r>
      <w:r>
        <w:rPr>
          <w:rFonts w:hint="default" w:ascii="Times New Roman" w:hAnsi="Times New Roman" w:eastAsia="Times New Roman" w:cs="Times New Roman"/>
          <w:sz w:val="18"/>
          <w:szCs w:val="18"/>
          <w:lang w:eastAsia="fr-FR"/>
        </w:rPr>
        <w:t>Annales D'urologie</w:t>
      </w:r>
      <w:r>
        <w:rPr>
          <w:rFonts w:hint="default" w:ascii="Times New Roman" w:hAnsi="Times New Roman" w:eastAsia="Times New Roman" w:cs="Times New Roman"/>
          <w:sz w:val="18"/>
          <w:szCs w:val="18"/>
          <w:lang w:eastAsia="fr-FR"/>
        </w:rPr>
        <w:fldChar w:fldCharType="end"/>
      </w:r>
      <w:r>
        <w:rPr>
          <w:rFonts w:hint="default" w:ascii="Times New Roman" w:hAnsi="Times New Roman" w:eastAsia="Times New Roman" w:cs="Times New Roman"/>
          <w:sz w:val="18"/>
          <w:szCs w:val="18"/>
          <w:u w:val="single"/>
          <w:lang w:eastAsia="fr-FR"/>
        </w:rPr>
        <w:t xml:space="preserve"> </w:t>
      </w:r>
      <w:r>
        <w:rPr>
          <w:rFonts w:hint="default" w:ascii="Times New Roman" w:hAnsi="Times New Roman" w:eastAsia="Times New Roman" w:cs="Times New Roman"/>
          <w:sz w:val="18"/>
          <w:szCs w:val="18"/>
          <w:lang w:eastAsia="fr-FR"/>
        </w:rPr>
        <w:t>2000, 34(3):161-164</w:t>
      </w:r>
      <w:r>
        <w:rPr>
          <w:rFonts w:hint="default" w:ascii="Times New Roman" w:hAnsi="Times New Roman" w:eastAsia="Calibri" w:cs="Times New Roman"/>
          <w:sz w:val="18"/>
          <w:szCs w:val="18"/>
        </w:rPr>
        <w:t>.</w:t>
      </w:r>
    </w:p>
    <w:p>
      <w:pPr>
        <w:numPr>
          <w:ilvl w:val="0"/>
          <w:numId w:val="2"/>
        </w:numPr>
        <w:autoSpaceDE w:val="0"/>
        <w:autoSpaceDN w:val="0"/>
        <w:adjustRightInd w:val="0"/>
        <w:spacing w:after="0" w:line="240" w:lineRule="auto"/>
        <w:contextualSpacing/>
        <w:jc w:val="both"/>
        <w:rPr>
          <w:rFonts w:hint="default" w:ascii="Times New Roman" w:hAnsi="Times New Roman" w:eastAsia="Calibri" w:cs="Times New Roman"/>
          <w:sz w:val="18"/>
          <w:szCs w:val="18"/>
        </w:rPr>
      </w:pPr>
      <w:r>
        <w:rPr>
          <w:rFonts w:hint="default" w:ascii="Times New Roman" w:hAnsi="Times New Roman" w:eastAsia="Calibri" w:cs="Times New Roman"/>
          <w:sz w:val="18"/>
          <w:szCs w:val="18"/>
        </w:rPr>
        <w:t xml:space="preserve">Watson RA, Esposito M, Richter F et al. Percutaneous nephrostomy as adjunct management in advanced upper urinary tract infection. </w:t>
      </w:r>
      <w:r>
        <w:rPr>
          <w:rFonts w:hint="default" w:ascii="Times New Roman" w:hAnsi="Times New Roman" w:eastAsia="Calibri" w:cs="Times New Roman"/>
          <w:iCs/>
          <w:sz w:val="18"/>
          <w:szCs w:val="18"/>
        </w:rPr>
        <w:t xml:space="preserve">Urology </w:t>
      </w:r>
      <w:r>
        <w:rPr>
          <w:rFonts w:hint="default" w:ascii="Times New Roman" w:hAnsi="Times New Roman" w:eastAsia="Calibri" w:cs="Times New Roman"/>
          <w:sz w:val="18"/>
          <w:szCs w:val="18"/>
        </w:rPr>
        <w:t>1999 ; 54 : 234-9</w:t>
      </w:r>
      <w:r>
        <w:rPr>
          <w:rFonts w:hint="default" w:ascii="Times New Roman" w:hAnsi="Times New Roman" w:eastAsia="Calibri" w:cs="Times New Roman"/>
          <w:sz w:val="18"/>
          <w:szCs w:val="18"/>
          <w:lang w:val="fr-FR"/>
        </w:rPr>
        <w:t>.</w:t>
      </w:r>
    </w:p>
    <w:p>
      <w:pPr>
        <w:numPr>
          <w:ilvl w:val="0"/>
          <w:numId w:val="2"/>
        </w:numPr>
        <w:autoSpaceDE w:val="0"/>
        <w:autoSpaceDN w:val="0"/>
        <w:adjustRightInd w:val="0"/>
        <w:spacing w:after="0" w:line="240" w:lineRule="auto"/>
        <w:contextualSpacing/>
        <w:jc w:val="both"/>
        <w:rPr>
          <w:rFonts w:hint="default" w:ascii="Times New Roman" w:hAnsi="Times New Roman" w:eastAsia="Calibri" w:cs="Times New Roman"/>
          <w:sz w:val="18"/>
          <w:szCs w:val="18"/>
        </w:rPr>
      </w:pPr>
      <w:r>
        <w:rPr>
          <w:rFonts w:hint="default" w:ascii="Times New Roman" w:hAnsi="Times New Roman" w:eastAsia="Calibri" w:cs="Times New Roman"/>
          <w:sz w:val="18"/>
          <w:szCs w:val="18"/>
        </w:rPr>
        <w:t>Diallo Y, Kouka SC, Kane R, et al. Pyonéphrose : Aspects cliniques et thérapeutiques à propos de 19 cas. Rev. méd. Madag. 2016 ; 6(1): 671-675</w:t>
      </w:r>
      <w:r>
        <w:rPr>
          <w:rFonts w:hint="default" w:ascii="Times New Roman" w:hAnsi="Times New Roman" w:eastAsia="Calibri" w:cs="Times New Roman"/>
          <w:sz w:val="18"/>
          <w:szCs w:val="18"/>
          <w:lang w:val="fr-FR"/>
        </w:rPr>
        <w:t>.</w:t>
      </w:r>
    </w:p>
    <w:p>
      <w:pPr>
        <w:numPr>
          <w:ilvl w:val="0"/>
          <w:numId w:val="2"/>
        </w:numPr>
        <w:autoSpaceDE w:val="0"/>
        <w:autoSpaceDN w:val="0"/>
        <w:adjustRightInd w:val="0"/>
        <w:spacing w:after="0" w:line="240" w:lineRule="auto"/>
        <w:contextualSpacing/>
        <w:jc w:val="both"/>
        <w:rPr>
          <w:rFonts w:hint="default" w:ascii="Times New Roman" w:hAnsi="Times New Roman" w:eastAsia="Calibri" w:cs="Times New Roman"/>
          <w:sz w:val="18"/>
          <w:szCs w:val="18"/>
        </w:rPr>
      </w:pPr>
      <w:r>
        <w:rPr>
          <w:rFonts w:hint="default" w:ascii="Times New Roman" w:hAnsi="Times New Roman" w:eastAsia="Calibri" w:cs="Times New Roman"/>
          <w:bCs/>
          <w:sz w:val="18"/>
          <w:szCs w:val="18"/>
        </w:rPr>
        <w:t>Hasigov A,  Ndamba Engbang JP, FidarovF.</w:t>
      </w:r>
      <w:r>
        <w:rPr>
          <w:rFonts w:hint="default" w:ascii="Times New Roman" w:hAnsi="Times New Roman" w:eastAsia="Calibri" w:cs="Times New Roman"/>
          <w:sz w:val="18"/>
          <w:szCs w:val="18"/>
        </w:rPr>
        <w:t xml:space="preserve"> </w:t>
      </w:r>
      <w:r>
        <w:rPr>
          <w:rFonts w:hint="default" w:ascii="Times New Roman" w:hAnsi="Times New Roman" w:eastAsia="Calibri" w:cs="Times New Roman"/>
          <w:bCs/>
          <w:sz w:val="18"/>
          <w:szCs w:val="18"/>
        </w:rPr>
        <w:t>Giant Pyonephrosis Due to Urolithiasis and Diabetes: A Case Repor. Open Journal of Urology, 2016, 6, 122-125</w:t>
      </w:r>
      <w:r>
        <w:rPr>
          <w:rFonts w:hint="default" w:ascii="Times New Roman" w:hAnsi="Times New Roman" w:eastAsia="Calibri" w:cs="Times New Roman"/>
          <w:bCs/>
          <w:sz w:val="18"/>
          <w:szCs w:val="18"/>
          <w:lang w:val="fr-FR"/>
        </w:rPr>
        <w:t>.</w:t>
      </w:r>
    </w:p>
    <w:p>
      <w:pPr>
        <w:numPr>
          <w:ilvl w:val="0"/>
          <w:numId w:val="2"/>
        </w:numPr>
        <w:autoSpaceDE w:val="0"/>
        <w:autoSpaceDN w:val="0"/>
        <w:adjustRightInd w:val="0"/>
        <w:spacing w:after="0" w:line="240" w:lineRule="auto"/>
        <w:contextualSpacing/>
        <w:jc w:val="both"/>
        <w:rPr>
          <w:rFonts w:hint="default" w:ascii="Times New Roman" w:hAnsi="Times New Roman" w:eastAsia="Calibri" w:cs="Times New Roman"/>
          <w:sz w:val="18"/>
          <w:szCs w:val="18"/>
        </w:rPr>
      </w:pPr>
      <w:r>
        <w:rPr>
          <w:rFonts w:hint="default" w:ascii="Times New Roman" w:hAnsi="Times New Roman" w:eastAsia="Calibri" w:cs="Times New Roman"/>
          <w:sz w:val="18"/>
          <w:szCs w:val="18"/>
        </w:rPr>
        <w:t>Diallo Y, Soumah SA, Kouka SC et al  Pyonéphrose révélée par une grossesse : à propos de 2 observations et revue de la littérature J Afr Imag Méd 2015; (7), 2: 39-44</w:t>
      </w:r>
      <w:r>
        <w:rPr>
          <w:rFonts w:hint="default" w:ascii="Times New Roman" w:hAnsi="Times New Roman" w:eastAsia="Calibri" w:cs="Times New Roman"/>
          <w:sz w:val="18"/>
          <w:szCs w:val="18"/>
          <w:lang w:val="fr-FR"/>
        </w:rPr>
        <w:t>.</w:t>
      </w:r>
    </w:p>
    <w:p>
      <w:pPr>
        <w:numPr>
          <w:ilvl w:val="0"/>
          <w:numId w:val="2"/>
        </w:numPr>
        <w:autoSpaceDE w:val="0"/>
        <w:autoSpaceDN w:val="0"/>
        <w:adjustRightInd w:val="0"/>
        <w:spacing w:after="0" w:line="240" w:lineRule="auto"/>
        <w:contextualSpacing/>
        <w:jc w:val="both"/>
        <w:rPr>
          <w:rFonts w:hint="default" w:ascii="Times New Roman" w:hAnsi="Times New Roman" w:eastAsia="Calibri" w:cs="Times New Roman"/>
          <w:sz w:val="18"/>
          <w:szCs w:val="18"/>
        </w:rPr>
      </w:pPr>
      <w:r>
        <w:rPr>
          <w:rFonts w:hint="default" w:ascii="Times New Roman" w:hAnsi="Times New Roman" w:eastAsia="Calibri" w:cs="Times New Roman"/>
          <w:sz w:val="18"/>
          <w:szCs w:val="18"/>
        </w:rPr>
        <w:t xml:space="preserve">St Lezin M, Hofmann R, Stoller ML. Pyonephrosis: diagnosis and treatment. </w:t>
      </w:r>
      <w:r>
        <w:rPr>
          <w:rFonts w:hint="default" w:ascii="Times New Roman" w:hAnsi="Times New Roman" w:eastAsia="Calibri" w:cs="Times New Roman"/>
          <w:iCs/>
          <w:sz w:val="18"/>
          <w:szCs w:val="18"/>
        </w:rPr>
        <w:t xml:space="preserve">Br J Urol </w:t>
      </w:r>
      <w:r>
        <w:rPr>
          <w:rFonts w:hint="default" w:ascii="Times New Roman" w:hAnsi="Times New Roman" w:eastAsia="Calibri" w:cs="Times New Roman"/>
          <w:sz w:val="18"/>
          <w:szCs w:val="18"/>
        </w:rPr>
        <w:t>1992 ; 70 : 360-3.</w:t>
      </w:r>
    </w:p>
    <w:p>
      <w:pPr>
        <w:numPr>
          <w:ilvl w:val="0"/>
          <w:numId w:val="2"/>
        </w:numPr>
        <w:autoSpaceDE w:val="0"/>
        <w:autoSpaceDN w:val="0"/>
        <w:adjustRightInd w:val="0"/>
        <w:spacing w:after="0" w:line="240" w:lineRule="auto"/>
        <w:contextualSpacing/>
        <w:jc w:val="both"/>
        <w:rPr>
          <w:rFonts w:hint="default" w:ascii="Times New Roman" w:hAnsi="Times New Roman" w:eastAsia="Calibri" w:cs="Times New Roman"/>
          <w:sz w:val="18"/>
          <w:szCs w:val="18"/>
        </w:rPr>
      </w:pPr>
      <w:r>
        <w:rPr>
          <w:rFonts w:hint="default" w:ascii="Times New Roman" w:hAnsi="Times New Roman" w:eastAsia="Calibri" w:cs="Times New Roman"/>
          <w:sz w:val="18"/>
          <w:szCs w:val="18"/>
        </w:rPr>
        <w:t>Wu TT, Lee YH, Tzeng WS, et al. The role of C-reactive</w:t>
      </w:r>
      <w:r>
        <w:rPr>
          <w:rFonts w:hint="default" w:ascii="Times New Roman" w:hAnsi="Times New Roman" w:eastAsia="Calibri" w:cs="Times New Roman"/>
          <w:iCs/>
          <w:sz w:val="18"/>
          <w:szCs w:val="18"/>
        </w:rPr>
        <w:t xml:space="preserve"> </w:t>
      </w:r>
      <w:r>
        <w:rPr>
          <w:rFonts w:hint="default" w:ascii="Times New Roman" w:hAnsi="Times New Roman" w:eastAsia="Calibri" w:cs="Times New Roman"/>
          <w:sz w:val="18"/>
          <w:szCs w:val="18"/>
        </w:rPr>
        <w:t>protein and erythrocyte sedimentation rate in the diagnosis of infected hydronephrosis</w:t>
      </w:r>
      <w:r>
        <w:rPr>
          <w:rFonts w:hint="default" w:ascii="Times New Roman" w:hAnsi="Times New Roman" w:eastAsia="Calibri" w:cs="Times New Roman"/>
          <w:iCs/>
          <w:sz w:val="18"/>
          <w:szCs w:val="18"/>
        </w:rPr>
        <w:t xml:space="preserve"> </w:t>
      </w:r>
      <w:r>
        <w:rPr>
          <w:rFonts w:hint="default" w:ascii="Times New Roman" w:hAnsi="Times New Roman" w:eastAsia="Calibri" w:cs="Times New Roman"/>
          <w:sz w:val="18"/>
          <w:szCs w:val="18"/>
        </w:rPr>
        <w:t xml:space="preserve">and pyonephrosis. </w:t>
      </w:r>
      <w:r>
        <w:rPr>
          <w:rFonts w:hint="default" w:ascii="Times New Roman" w:hAnsi="Times New Roman" w:eastAsia="Calibri" w:cs="Times New Roman"/>
          <w:iCs/>
          <w:sz w:val="18"/>
          <w:szCs w:val="18"/>
        </w:rPr>
        <w:t xml:space="preserve">J Urol </w:t>
      </w:r>
      <w:r>
        <w:rPr>
          <w:rFonts w:hint="default" w:ascii="Times New Roman" w:hAnsi="Times New Roman" w:eastAsia="Calibri" w:cs="Times New Roman"/>
          <w:sz w:val="18"/>
          <w:szCs w:val="18"/>
        </w:rPr>
        <w:t>1994 ; 152 : 26-8.</w:t>
      </w:r>
    </w:p>
    <w:p>
      <w:pPr>
        <w:numPr>
          <w:ilvl w:val="0"/>
          <w:numId w:val="2"/>
        </w:numPr>
        <w:autoSpaceDE w:val="0"/>
        <w:autoSpaceDN w:val="0"/>
        <w:adjustRightInd w:val="0"/>
        <w:spacing w:after="0" w:line="240" w:lineRule="auto"/>
        <w:contextualSpacing/>
        <w:jc w:val="both"/>
        <w:rPr>
          <w:rFonts w:hint="default" w:ascii="Times New Roman" w:hAnsi="Times New Roman" w:eastAsia="Calibri" w:cs="Times New Roman"/>
          <w:sz w:val="18"/>
          <w:szCs w:val="18"/>
        </w:rPr>
      </w:pPr>
      <w:r>
        <w:rPr>
          <w:rFonts w:hint="default" w:ascii="Times New Roman" w:hAnsi="Times New Roman" w:eastAsia="Calibri" w:cs="Times New Roman"/>
          <w:sz w:val="18"/>
          <w:szCs w:val="18"/>
        </w:rPr>
        <w:t>El Khader K., Ouali M., Koutani A., et all. Carcinome à cellules transitionnelles du moignon urétéral après néphrectomie pour pyonéphrose. s.l. : Progrès en Urologie, 2001.</w:t>
      </w:r>
    </w:p>
    <w:p>
      <w:pPr>
        <w:numPr>
          <w:ilvl w:val="0"/>
          <w:numId w:val="2"/>
        </w:numPr>
        <w:autoSpaceDE w:val="0"/>
        <w:autoSpaceDN w:val="0"/>
        <w:adjustRightInd w:val="0"/>
        <w:spacing w:after="0" w:line="240" w:lineRule="auto"/>
        <w:contextualSpacing/>
        <w:jc w:val="both"/>
        <w:rPr>
          <w:rFonts w:hint="default" w:ascii="Times New Roman" w:hAnsi="Times New Roman" w:eastAsia="Calibri" w:cs="Times New Roman"/>
          <w:sz w:val="18"/>
          <w:szCs w:val="18"/>
        </w:rPr>
      </w:pPr>
      <w:r>
        <w:rPr>
          <w:rFonts w:hint="default" w:ascii="Times New Roman" w:hAnsi="Times New Roman" w:eastAsia="Calibri" w:cs="Times New Roman"/>
          <w:sz w:val="18"/>
          <w:szCs w:val="18"/>
        </w:rPr>
        <w:t xml:space="preserve"> Joffre F., CINQUALBRE A. Pathologie infectieuse du haut appareil urinaire. EMC (Paris) 1991 ;34150 : A10.</w:t>
      </w:r>
    </w:p>
    <w:p>
      <w:pPr>
        <w:numPr>
          <w:ilvl w:val="0"/>
          <w:numId w:val="2"/>
        </w:numPr>
        <w:autoSpaceDE w:val="0"/>
        <w:autoSpaceDN w:val="0"/>
        <w:adjustRightInd w:val="0"/>
        <w:spacing w:after="0" w:line="240" w:lineRule="auto"/>
        <w:contextualSpacing/>
        <w:jc w:val="both"/>
        <w:rPr>
          <w:rFonts w:hint="default" w:ascii="Times New Roman" w:hAnsi="Times New Roman" w:eastAsia="Calibri" w:cs="Times New Roman"/>
          <w:sz w:val="18"/>
          <w:szCs w:val="18"/>
        </w:rPr>
      </w:pPr>
      <w:r>
        <w:rPr>
          <w:rFonts w:hint="default" w:ascii="Times New Roman" w:hAnsi="Times New Roman" w:eastAsia="Calibri" w:cs="Times New Roman"/>
          <w:sz w:val="18"/>
          <w:szCs w:val="18"/>
        </w:rPr>
        <w:t>Lemaitre L., Puech P., Fauquet I, et all. Apport de l’imagerie dans la prise en charge des infections de l’appareil urinaire. s.l. : EMC 18-070-A-2].</w:t>
      </w:r>
    </w:p>
    <w:p>
      <w:pPr>
        <w:numPr>
          <w:ilvl w:val="0"/>
          <w:numId w:val="2"/>
        </w:numPr>
        <w:autoSpaceDE w:val="0"/>
        <w:autoSpaceDN w:val="0"/>
        <w:adjustRightInd w:val="0"/>
        <w:spacing w:after="0" w:line="240" w:lineRule="auto"/>
        <w:contextualSpacing/>
        <w:jc w:val="both"/>
        <w:rPr>
          <w:rFonts w:hint="default" w:ascii="Times New Roman" w:hAnsi="Times New Roman" w:eastAsia="Calibri" w:cs="Times New Roman"/>
          <w:sz w:val="18"/>
          <w:szCs w:val="18"/>
        </w:rPr>
      </w:pPr>
      <w:r>
        <w:rPr>
          <w:rFonts w:hint="default" w:ascii="Times New Roman" w:hAnsi="Times New Roman" w:eastAsia="Calibri" w:cs="Times New Roman"/>
          <w:sz w:val="18"/>
          <w:szCs w:val="18"/>
        </w:rPr>
        <w:t>Peterson Ac, Allen RC. Pyonephrosis. s.l. : WWW.Emedecine.com, 2006.</w:t>
      </w:r>
    </w:p>
    <w:p>
      <w:pPr>
        <w:numPr>
          <w:ilvl w:val="0"/>
          <w:numId w:val="2"/>
        </w:numPr>
        <w:autoSpaceDE w:val="0"/>
        <w:autoSpaceDN w:val="0"/>
        <w:adjustRightInd w:val="0"/>
        <w:spacing w:after="0" w:line="240" w:lineRule="auto"/>
        <w:contextualSpacing/>
        <w:jc w:val="both"/>
        <w:rPr>
          <w:rFonts w:hint="default" w:ascii="Times New Roman" w:hAnsi="Times New Roman" w:eastAsia="Calibri" w:cs="Times New Roman"/>
          <w:sz w:val="18"/>
          <w:szCs w:val="18"/>
        </w:rPr>
      </w:pPr>
      <w:r>
        <w:rPr>
          <w:rFonts w:hint="default" w:ascii="Times New Roman" w:hAnsi="Times New Roman" w:eastAsia="Calibri" w:cs="Times New Roman"/>
          <w:sz w:val="18"/>
          <w:szCs w:val="18"/>
        </w:rPr>
        <w:t>Patrick J. Fultz, William R. Hampton, et all. Computed Tomography of Pyonephrosis. 1993.  Abdom Imaging ; 18 (1) :82-87.</w:t>
      </w:r>
    </w:p>
    <w:p>
      <w:pPr>
        <w:numPr>
          <w:ilvl w:val="0"/>
          <w:numId w:val="2"/>
        </w:numPr>
        <w:autoSpaceDE w:val="0"/>
        <w:autoSpaceDN w:val="0"/>
        <w:adjustRightInd w:val="0"/>
        <w:spacing w:after="0" w:line="240" w:lineRule="auto"/>
        <w:contextualSpacing/>
        <w:jc w:val="both"/>
        <w:rPr>
          <w:rFonts w:hint="default" w:ascii="Times New Roman" w:hAnsi="Times New Roman" w:eastAsia="Calibri" w:cs="Times New Roman"/>
          <w:sz w:val="18"/>
          <w:szCs w:val="18"/>
        </w:rPr>
      </w:pPr>
      <w:r>
        <w:rPr>
          <w:rFonts w:hint="default" w:ascii="Times New Roman" w:hAnsi="Times New Roman" w:eastAsia="Calibri" w:cs="Times New Roman"/>
          <w:sz w:val="18"/>
          <w:szCs w:val="18"/>
        </w:rPr>
        <w:t>Bouhafs M.A, Cherradi N., El Azzouzi D et all. La pyélonéphrite xanthogranulomateuse chez l’enfant.  Prog  Urol. 2006,2, 192-196</w:t>
      </w:r>
      <w:r>
        <w:rPr>
          <w:rFonts w:hint="default" w:ascii="Times New Roman" w:hAnsi="Times New Roman" w:eastAsia="Calibri" w:cs="Times New Roman"/>
          <w:sz w:val="18"/>
          <w:szCs w:val="18"/>
          <w:lang w:val="fr-FR"/>
        </w:rPr>
        <w:t>.</w:t>
      </w:r>
    </w:p>
    <w:p>
      <w:pPr>
        <w:numPr>
          <w:ilvl w:val="0"/>
          <w:numId w:val="2"/>
        </w:numPr>
        <w:autoSpaceDE w:val="0"/>
        <w:autoSpaceDN w:val="0"/>
        <w:adjustRightInd w:val="0"/>
        <w:spacing w:after="0" w:line="240" w:lineRule="auto"/>
        <w:contextualSpacing/>
        <w:jc w:val="both"/>
        <w:rPr>
          <w:rFonts w:hint="default" w:ascii="Times New Roman" w:hAnsi="Times New Roman" w:eastAsia="Calibri" w:cs="Times New Roman"/>
          <w:sz w:val="18"/>
          <w:szCs w:val="18"/>
        </w:rPr>
      </w:pPr>
      <w:r>
        <w:rPr>
          <w:rFonts w:hint="default" w:ascii="Times New Roman" w:hAnsi="Times New Roman" w:eastAsia="Calibri" w:cs="Times New Roman"/>
          <w:sz w:val="18"/>
          <w:szCs w:val="18"/>
        </w:rPr>
        <w:t xml:space="preserve">Xu Zhang, Xin Ma, Hong-Zhao Li, et all. Retroperitoneoscopic subcapsular nephrectomy for infective non functioning kidney with. </w:t>
      </w: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HYPERLINK "https://www.researchgate.net/journal/1464-4096_BJU_International" \t "_blank" </w:instrText>
      </w:r>
      <w:r>
        <w:rPr>
          <w:rFonts w:hint="default" w:ascii="Times New Roman" w:hAnsi="Times New Roman" w:cs="Times New Roman"/>
          <w:sz w:val="18"/>
          <w:szCs w:val="18"/>
        </w:rPr>
        <w:fldChar w:fldCharType="separate"/>
      </w:r>
      <w:r>
        <w:rPr>
          <w:rFonts w:hint="default" w:ascii="Times New Roman" w:hAnsi="Times New Roman" w:eastAsia="Calibri" w:cs="Times New Roman"/>
          <w:sz w:val="18"/>
          <w:szCs w:val="18"/>
        </w:rPr>
        <w:t>BJU International</w:t>
      </w:r>
      <w:r>
        <w:rPr>
          <w:rFonts w:hint="default" w:ascii="Times New Roman" w:hAnsi="Times New Roman" w:eastAsia="Calibri" w:cs="Times New Roman"/>
          <w:sz w:val="18"/>
          <w:szCs w:val="18"/>
        </w:rPr>
        <w:fldChar w:fldCharType="end"/>
      </w:r>
      <w:r>
        <w:rPr>
          <w:rFonts w:hint="default" w:ascii="Times New Roman" w:hAnsi="Times New Roman" w:eastAsia="Calibri" w:cs="Times New Roman"/>
          <w:sz w:val="18"/>
          <w:szCs w:val="18"/>
        </w:rPr>
        <w:t> 2005. 94(9):1329-31</w:t>
      </w:r>
      <w:r>
        <w:rPr>
          <w:rFonts w:hint="default" w:ascii="Times New Roman" w:hAnsi="Times New Roman" w:eastAsia="Calibri" w:cs="Times New Roman"/>
          <w:sz w:val="18"/>
          <w:szCs w:val="18"/>
          <w:lang w:val="fr-FR"/>
        </w:rPr>
        <w:t>.</w:t>
      </w:r>
    </w:p>
    <w:p>
      <w:pPr>
        <w:numPr>
          <w:ilvl w:val="0"/>
          <w:numId w:val="2"/>
        </w:numPr>
        <w:autoSpaceDE w:val="0"/>
        <w:autoSpaceDN w:val="0"/>
        <w:adjustRightInd w:val="0"/>
        <w:spacing w:after="0" w:line="240" w:lineRule="auto"/>
        <w:ind w:left="502" w:leftChars="0" w:hanging="360" w:firstLineChars="0"/>
        <w:contextualSpacing/>
        <w:jc w:val="both"/>
        <w:rPr>
          <w:rFonts w:hint="default" w:ascii="Times New Roman" w:hAnsi="Times New Roman" w:cs="Times New Roman"/>
          <w:b/>
          <w:sz w:val="20"/>
          <w:szCs w:val="20"/>
        </w:rPr>
        <w:sectPr>
          <w:type w:val="continuous"/>
          <w:pgSz w:w="11850" w:h="16783"/>
          <w:pgMar w:top="1134" w:right="850" w:bottom="1417" w:left="1134" w:header="708" w:footer="708" w:gutter="0"/>
          <w:cols w:equalWidth="0" w:num="2">
            <w:col w:w="4840" w:space="305"/>
            <w:col w:w="4720"/>
          </w:cols>
          <w:docGrid w:linePitch="360" w:charSpace="0"/>
        </w:sectPr>
      </w:pPr>
      <w:r>
        <w:rPr>
          <w:rFonts w:hint="default" w:ascii="Times New Roman" w:hAnsi="Times New Roman" w:eastAsia="Calibri" w:cs="Times New Roman"/>
          <w:b w:val="0"/>
          <w:bCs w:val="0"/>
          <w:sz w:val="18"/>
          <w:szCs w:val="18"/>
        </w:rPr>
        <w:t xml:space="preserve">Modi </w:t>
      </w:r>
      <w:r>
        <w:rPr>
          <w:rFonts w:hint="default" w:ascii="Times New Roman" w:hAnsi="Times New Roman" w:eastAsia="Calibri" w:cs="Times New Roman"/>
          <w:sz w:val="18"/>
          <w:szCs w:val="18"/>
        </w:rPr>
        <w:t xml:space="preserve">P, Kadam G, Goel R. Retroperitoneoscopic nephrectomy for pyonephrotic kidneys. </w:t>
      </w:r>
      <w:r>
        <w:rPr>
          <w:rFonts w:hint="default" w:ascii="Times New Roman" w:hAnsi="Times New Roman" w:eastAsia="Calibri" w:cs="Times New Roman"/>
          <w:iCs/>
          <w:sz w:val="18"/>
          <w:szCs w:val="18"/>
        </w:rPr>
        <w:t xml:space="preserve">J Endourol </w:t>
      </w:r>
      <w:r>
        <w:rPr>
          <w:rFonts w:hint="default" w:ascii="Times New Roman" w:hAnsi="Times New Roman" w:eastAsia="Calibri" w:cs="Times New Roman"/>
          <w:sz w:val="18"/>
          <w:szCs w:val="18"/>
        </w:rPr>
        <w:t>2007 ; 21 : 75-7. 15.</w:t>
      </w:r>
    </w:p>
    <w:p>
      <w:pPr>
        <w:tabs>
          <w:tab w:val="left" w:pos="1103"/>
        </w:tabs>
        <w:spacing w:line="240" w:lineRule="auto"/>
        <w:rPr>
          <w:rFonts w:hint="default" w:ascii="Times New Roman" w:hAnsi="Times New Roman" w:cs="Times New Roman"/>
          <w:sz w:val="20"/>
          <w:szCs w:val="20"/>
        </w:rPr>
      </w:pPr>
    </w:p>
    <w:sectPr>
      <w:type w:val="continuous"/>
      <w:pgSz w:w="11850" w:h="16783"/>
      <w:pgMar w:top="1134" w:right="850" w:bottom="1417"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Calibri"/>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黑体">
    <w:altName w:val="Microsoft YaHei U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Microsoft YaHei UI">
    <w:panose1 w:val="020B0503020204020204"/>
    <w:charset w:val="86"/>
    <w:family w:val="auto"/>
    <w:pitch w:val="default"/>
    <w:sig w:usb0="80000287" w:usb1="28CF3C52" w:usb2="00000016" w:usb3="00000000" w:csb0="0004001F" w:csb1="00000000"/>
  </w:font>
  <w:font w:name="SimSun">
    <w:altName w:val="Calibri"/>
    <w:panose1 w:val="00000000000000000000"/>
    <w:charset w:val="86"/>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auto"/>
    <w:pitch w:val="default"/>
    <w:sig w:usb0="A10006FF" w:usb1="4000205B" w:usb2="00000010" w:usb3="00000000" w:csb0="2000019F" w:csb1="00000000"/>
  </w:font>
  <w:font w:name="Batang">
    <w:altName w:val="Malgun Gothic"/>
    <w:panose1 w:val="00000000000000000000"/>
    <w:charset w:val="81"/>
    <w:family w:val="roman"/>
    <w:pitch w:val="default"/>
    <w:sig w:usb0="00000000" w:usb1="00000000" w:usb2="00000030" w:usb3="00000000" w:csb0="0008009F" w:csb1="00000000"/>
  </w:font>
  <w:font w:name="Calibri">
    <w:panose1 w:val="020F0502020204030204"/>
    <w:charset w:val="00"/>
    <w:family w:val="auto"/>
    <w:pitch w:val="default"/>
    <w:sig w:usb0="E10002FF" w:usb1="4000ACFF" w:usb2="00000009" w:usb3="00000000" w:csb0="2000019F" w:csb1="00000000"/>
  </w:font>
  <w:font w:name="Malgun Gothic">
    <w:panose1 w:val="020B0803020000020004"/>
    <w:charset w:val="81"/>
    <w:family w:val="auto"/>
    <w:pitch w:val="default"/>
    <w:sig w:usb0="900002AF" w:usb1="01D77CFB" w:usb2="00000012" w:usb3="00000000" w:csb0="00080001" w:csb1="00000000"/>
  </w:font>
  <w:font w:name="Century Gothic">
    <w:panose1 w:val="020B050202020202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60243"/>
      <w:docPartObj>
        <w:docPartGallery w:val="autotext"/>
      </w:docPartObj>
    </w:sdtPr>
    <w:sdtContent>
      <w:p>
        <w:pPr>
          <w:pStyle w:val="3"/>
          <w:jc w:val="right"/>
        </w:pPr>
      </w:p>
    </w:sdtContent>
  </w:sdt>
  <w:p>
    <w:pPr>
      <w:pStyle w:val="3"/>
      <w:tabs>
        <w:tab w:val="left" w:pos="4140"/>
      </w:tabs>
      <w:rPr>
        <w:rFonts w:hint="default" w:ascii="Times New Roman"/>
        <w:sz w:val="18"/>
        <w:lang w:val="fr-FR"/>
      </w:rPr>
    </w:pPr>
    <w:r>
      <w:rPr>
        <w:rFonts w:ascii="Times New Roman"/>
        <w:sz w:val="18"/>
        <w:lang w:val="en-US"/>
      </w:rPr>
      <mc:AlternateContent>
        <mc:Choice Requires="wpg">
          <w:drawing>
            <wp:anchor distT="0" distB="0" distL="114300" distR="114300" simplePos="0" relativeHeight="251658240" behindDoc="1" locked="0" layoutInCell="0" allowOverlap="1">
              <wp:simplePos x="0" y="0"/>
              <wp:positionH relativeFrom="page">
                <wp:posOffset>6600825</wp:posOffset>
              </wp:positionH>
              <wp:positionV relativeFrom="page">
                <wp:posOffset>9930765</wp:posOffset>
              </wp:positionV>
              <wp:extent cx="419100" cy="321945"/>
              <wp:effectExtent l="0" t="6350" r="0" b="14605"/>
              <wp:wrapTight wrapText="bothSides">
                <wp:wrapPolygon>
                  <wp:start x="6873" y="-426"/>
                  <wp:lineTo x="0" y="2045"/>
                  <wp:lineTo x="0" y="19342"/>
                  <wp:lineTo x="6873" y="20578"/>
                  <wp:lineTo x="16691" y="20578"/>
                  <wp:lineTo x="19636" y="19342"/>
                  <wp:lineTo x="20225" y="17851"/>
                  <wp:lineTo x="21600" y="17851"/>
                  <wp:lineTo x="21600" y="5624"/>
                  <wp:lineTo x="20618" y="5624"/>
                  <wp:lineTo x="20618" y="2045"/>
                  <wp:lineTo x="13745" y="-426"/>
                  <wp:lineTo x="6873" y="-426"/>
                </wp:wrapPolygon>
              </wp:wrapTight>
              <wp:docPr id="34" name="Grouper 34"/>
              <wp:cNvGraphicFramePr/>
              <a:graphic xmlns:a="http://schemas.openxmlformats.org/drawingml/2006/main">
                <a:graphicData uri="http://schemas.microsoft.com/office/word/2010/wordprocessingGroup">
                  <wpg:wgp>
                    <wpg:cNvGrpSpPr/>
                    <wpg:grpSpPr>
                      <a:xfrm>
                        <a:off x="0" y="0"/>
                        <a:ext cx="419100" cy="321945"/>
                        <a:chOff x="1731" y="14550"/>
                        <a:chExt cx="660" cy="507"/>
                      </a:xfrm>
                    </wpg:grpSpPr>
                    <wps:wsp>
                      <wps:cNvPr id="28" name="Losange 28"/>
                      <wps:cNvSpPr/>
                      <wps:spPr>
                        <a:xfrm>
                          <a:off x="1793" y="14550"/>
                          <a:ext cx="536" cy="507"/>
                        </a:xfrm>
                        <a:prstGeom prst="diamond">
                          <a:avLst/>
                        </a:prstGeom>
                        <a:noFill/>
                        <a:ln w="9525" cap="flat" cmpd="sng">
                          <a:solidFill>
                            <a:srgbClr val="A5A5A5"/>
                          </a:solidFill>
                          <a:prstDash val="solid"/>
                          <a:miter/>
                          <a:headEnd type="none" w="med" len="med"/>
                          <a:tailEnd type="none" w="med" len="med"/>
                        </a:ln>
                      </wps:spPr>
                      <wps:bodyPr upright="1"/>
                    </wps:wsp>
                    <wps:wsp>
                      <wps:cNvPr id="29" name="Rectangle 29"/>
                      <wps:cNvSpPr/>
                      <wps:spPr>
                        <a:xfrm>
                          <a:off x="1848" y="14616"/>
                          <a:ext cx="427" cy="375"/>
                        </a:xfrm>
                        <a:prstGeom prst="rect">
                          <a:avLst/>
                        </a:prstGeom>
                        <a:noFill/>
                        <a:ln w="9525" cap="flat" cmpd="sng">
                          <a:solidFill>
                            <a:srgbClr val="A5A5A5"/>
                          </a:solidFill>
                          <a:prstDash val="solid"/>
                          <a:miter/>
                          <a:headEnd type="none" w="med" len="med"/>
                          <a:tailEnd type="none" w="med" len="med"/>
                        </a:ln>
                      </wps:spPr>
                      <wps:bodyPr upright="1"/>
                    </wps:wsp>
                    <wps:wsp>
                      <wps:cNvPr id="30" name="Zone de texte 30"/>
                      <wps:cNvSpPr txBox="1"/>
                      <wps:spPr>
                        <a:xfrm>
                          <a:off x="1731" y="14639"/>
                          <a:ext cx="660" cy="330"/>
                        </a:xfrm>
                        <a:prstGeom prst="rect">
                          <a:avLst/>
                        </a:prstGeom>
                        <a:noFill/>
                        <a:ln>
                          <a:noFill/>
                        </a:ln>
                      </wps:spPr>
                      <wps:txbx>
                        <w:txbxContent>
                          <w:p>
                            <w:pPr>
                              <w:jc w:val="center"/>
                              <w:rPr>
                                <w:color w:val="17365D"/>
                                <w:sz w:val="16"/>
                                <w:szCs w:val="16"/>
                              </w:rPr>
                            </w:pPr>
                            <w:r>
                              <w:fldChar w:fldCharType="begin"/>
                            </w:r>
                            <w:r>
                              <w:instrText xml:space="preserve">PAGE   \* MERGEFORMAT</w:instrText>
                            </w:r>
                            <w:r>
                              <w:fldChar w:fldCharType="separate"/>
                            </w:r>
                            <w:r>
                              <w:rPr>
                                <w:color w:val="17365D"/>
                                <w:sz w:val="16"/>
                                <w:szCs w:val="16"/>
                              </w:rPr>
                              <w:t>39</w:t>
                            </w:r>
                            <w:r>
                              <w:rPr>
                                <w:color w:val="17365D"/>
                                <w:sz w:val="16"/>
                                <w:szCs w:val="16"/>
                              </w:rPr>
                              <w:fldChar w:fldCharType="end"/>
                            </w:r>
                          </w:p>
                        </w:txbxContent>
                      </wps:txbx>
                      <wps:bodyPr lIns="0" tIns="27432" rIns="0" bIns="0" upright="1"/>
                    </wps:wsp>
                    <wpg:grpSp>
                      <wpg:cNvPr id="33" name="Grouper 33"/>
                      <wpg:cNvGrpSpPr/>
                      <wpg:grpSpPr>
                        <a:xfrm>
                          <a:off x="1783" y="14647"/>
                          <a:ext cx="562" cy="314"/>
                          <a:chOff x="1715" y="14936"/>
                          <a:chExt cx="672" cy="376"/>
                        </a:xfrm>
                      </wpg:grpSpPr>
                      <wps:wsp>
                        <wps:cNvPr id="31" name="Forme libre 31"/>
                        <wps:cNvSpPr/>
                        <wps:spPr>
                          <a:xfrm rot="-5400000">
                            <a:off x="1792" y="14859"/>
                            <a:ext cx="375" cy="530"/>
                          </a:xfrm>
                          <a:custGeom>
                            <a:avLst/>
                            <a:gdLst>
                              <a:gd name="txL" fmla="*/ 4493 w 21600"/>
                              <a:gd name="txT" fmla="*/ 4483 h 21600"/>
                              <a:gd name="txR" fmla="*/ 17107 w 21600"/>
                              <a:gd name="txB" fmla="*/ 17117 h 21600"/>
                            </a:gdLst>
                            <a:ahLst/>
                            <a:cxnLst>
                              <a:cxn ang="0">
                                <a:pos x="328" y="265"/>
                              </a:cxn>
                              <a:cxn ang="0">
                                <a:pos x="188" y="530"/>
                              </a:cxn>
                              <a:cxn ang="0">
                                <a:pos x="47" y="265"/>
                              </a:cxn>
                              <a:cxn ang="0">
                                <a:pos x="188" y="0"/>
                              </a:cxn>
                            </a:cxnLst>
                            <a:rect l="txL" t="txT" r="txR" b="txB"/>
                            <a:pathLst>
                              <a:path w="21600" h="21600">
                                <a:moveTo>
                                  <a:pt x="0" y="0"/>
                                </a:moveTo>
                                <a:lnTo>
                                  <a:pt x="5400" y="21600"/>
                                </a:lnTo>
                                <a:lnTo>
                                  <a:pt x="16200" y="21600"/>
                                </a:lnTo>
                                <a:lnTo>
                                  <a:pt x="21600" y="0"/>
                                </a:lnTo>
                                <a:lnTo>
                                  <a:pt x="0" y="0"/>
                                </a:lnTo>
                                <a:close/>
                              </a:path>
                            </a:pathLst>
                          </a:custGeom>
                          <a:noFill/>
                          <a:ln w="9525" cap="flat" cmpd="sng">
                            <a:solidFill>
                              <a:srgbClr val="A5A5A5"/>
                            </a:solidFill>
                            <a:prstDash val="solid"/>
                            <a:miter/>
                            <a:headEnd type="none" w="med" len="med"/>
                            <a:tailEnd type="none" w="med" len="med"/>
                          </a:ln>
                        </wps:spPr>
                        <wps:bodyPr upright="1"/>
                      </wps:wsp>
                      <wps:wsp>
                        <wps:cNvPr id="32" name="Forme libre 32"/>
                        <wps:cNvSpPr/>
                        <wps:spPr>
                          <a:xfrm rot="5400000" flipH="1">
                            <a:off x="1934" y="14858"/>
                            <a:ext cx="375" cy="530"/>
                          </a:xfrm>
                          <a:custGeom>
                            <a:avLst/>
                            <a:gdLst>
                              <a:gd name="txL" fmla="*/ 4493 w 21600"/>
                              <a:gd name="txT" fmla="*/ 4483 h 21600"/>
                              <a:gd name="txR" fmla="*/ 17107 w 21600"/>
                              <a:gd name="txB" fmla="*/ 17117 h 21600"/>
                            </a:gdLst>
                            <a:ahLst/>
                            <a:cxnLst>
                              <a:cxn ang="0">
                                <a:pos x="328" y="265"/>
                              </a:cxn>
                              <a:cxn ang="0">
                                <a:pos x="188" y="530"/>
                              </a:cxn>
                              <a:cxn ang="0">
                                <a:pos x="47" y="265"/>
                              </a:cxn>
                              <a:cxn ang="0">
                                <a:pos x="188" y="0"/>
                              </a:cxn>
                            </a:cxnLst>
                            <a:rect l="txL" t="txT" r="txR" b="txB"/>
                            <a:pathLst>
                              <a:path w="21600" h="21600">
                                <a:moveTo>
                                  <a:pt x="0" y="0"/>
                                </a:moveTo>
                                <a:lnTo>
                                  <a:pt x="5400" y="21600"/>
                                </a:lnTo>
                                <a:lnTo>
                                  <a:pt x="16200" y="21600"/>
                                </a:lnTo>
                                <a:lnTo>
                                  <a:pt x="21600" y="0"/>
                                </a:lnTo>
                                <a:lnTo>
                                  <a:pt x="0" y="0"/>
                                </a:lnTo>
                                <a:close/>
                              </a:path>
                            </a:pathLst>
                          </a:custGeom>
                          <a:noFill/>
                          <a:ln w="9525" cap="flat" cmpd="sng">
                            <a:solidFill>
                              <a:srgbClr val="A5A5A5"/>
                            </a:solidFill>
                            <a:prstDash val="solid"/>
                            <a:miter/>
                            <a:headEnd type="none" w="med" len="med"/>
                            <a:tailEnd type="none" w="med" len="med"/>
                          </a:ln>
                        </wps:spPr>
                        <wps:bodyPr upright="1"/>
                      </wps:wsp>
                    </wpg:grpSp>
                  </wpg:wgp>
                </a:graphicData>
              </a:graphic>
            </wp:anchor>
          </w:drawing>
        </mc:Choice>
        <mc:Fallback>
          <w:pict>
            <v:group id="_x0000_s1026" o:spid="_x0000_s1026" o:spt="203" style="position:absolute;left:0pt;margin-left:519.75pt;margin-top:781.95pt;height:25.35pt;width:33pt;mso-position-horizontal-relative:page;mso-position-vertical-relative:page;mso-wrap-distance-left:9pt;mso-wrap-distance-right:9pt;z-index:-251658240;mso-width-relative:page;mso-height-relative:page;" coordorigin="1731,14550" coordsize="660,507" wrapcoords="6873 -426 0 2045 0 19342 6873 20578 16691 20578 19636 19342 20225 17851 21600 17851 21600 5624 20618 5624 20618 2045 13745 -426 6873 -426" o:allowincell="f" o:gfxdata="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">
              <o:lock v:ext="edit" aspectratio="f"/>
              <v:shape id="_x0000_s1026" o:spid="_x0000_s1026" o:spt="4" type="#_x0000_t4" style="position:absolute;left:1793;top:14550;height:507;width:536;" filled="f" stroked="t" coordsize="21600,21600" o:gfxdata="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euxTjugAAANsA&#10;AAAPAAAAAAAAAAEAIAAAACIAAABkcnMvZG93bnJldi54bWxQSwECFAAUAAAACACHTuJAMy8FnjsA&#10;AAA5AAAAEAAAAAAAAAABACAAAAAJAQAAZHJzL3NoYXBleG1sLnhtbFBLBQYAAAAABgAGAFsBAACz&#10;AwAAAAA=&#10;">
                <v:fill on="f" focussize="0,0"/>
                <v:stroke color="#A5A5A5" joinstyle="miter"/>
                <v:imagedata o:title=""/>
                <o:lock v:ext="edit" aspectratio="f"/>
              </v:shape>
              <v:rect id="_x0000_s1026" o:spid="_x0000_s1026" o:spt="1" style="position:absolute;left:1848;top:14616;height:375;width:427;" filled="f" stroked="t" coordsize="21600,21600" o:gfxdata="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MW6Ab4A&#10;AADbAAAADwAAAAAAAAABACAAAAAiAAAAZHJzL2Rvd25yZXYueG1sUEsBAhQAFAAAAAgAh07iQDMv&#10;BZ47AAAAOQAAABAAAAAAAAAAAQAgAAAADQEAAGRycy9zaGFwZXhtbC54bWxQSwUGAAAAAAYABgBb&#10;AQAAtwMAAAAA&#10;">
                <v:fill on="f" focussize="0,0"/>
                <v:stroke color="#A5A5A5" joinstyle="miter"/>
                <v:imagedata o:title=""/>
                <o:lock v:ext="edit" aspectratio="f"/>
              </v:rect>
              <v:shape id="_x0000_s1026" o:spid="_x0000_s1026" o:spt="202" type="#_x0000_t202" style="position:absolute;left:1731;top:14639;height:330;width:660;" filled="f" stroked="f" coordsize="21600,21600" o:gfxdata="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V/obq5AAAA2wAA&#10;AA8AAAAAAAAAAQAgAAAAIgAAAGRycy9kb3ducmV2LnhtbFBLAQIUABQAAAAIAIdO4kAzLwWeOwAA&#10;ADkAAAAQAAAAAAAAAAEAIAAAAAgBAABkcnMvc2hhcGV4bWwueG1sUEsFBgAAAAAGAAYAWwEAALID&#10;AAAAAA==&#10;">
                <v:fill on="f" focussize="0,0"/>
                <v:stroke on="f"/>
                <v:imagedata o:title=""/>
                <o:lock v:ext="edit" aspectratio="f"/>
                <v:textbox inset="0mm,0.762mm,0mm,0mm">
                  <w:txbxContent>
                    <w:p>
                      <w:pPr>
                        <w:jc w:val="center"/>
                        <w:rPr>
                          <w:color w:val="17365D"/>
                          <w:sz w:val="16"/>
                          <w:szCs w:val="16"/>
                        </w:rPr>
                      </w:pPr>
                      <w:r>
                        <w:fldChar w:fldCharType="begin"/>
                      </w:r>
                      <w:r>
                        <w:instrText xml:space="preserve">PAGE   \* MERGEFORMAT</w:instrText>
                      </w:r>
                      <w:r>
                        <w:fldChar w:fldCharType="separate"/>
                      </w:r>
                      <w:r>
                        <w:rPr>
                          <w:color w:val="17365D"/>
                          <w:sz w:val="16"/>
                          <w:szCs w:val="16"/>
                        </w:rPr>
                        <w:t>39</w:t>
                      </w:r>
                      <w:r>
                        <w:rPr>
                          <w:color w:val="17365D"/>
                          <w:sz w:val="16"/>
                          <w:szCs w:val="16"/>
                        </w:rPr>
                        <w:fldChar w:fldCharType="end"/>
                      </w:r>
                    </w:p>
                  </w:txbxContent>
                </v:textbox>
              </v:shape>
              <v:group id="_x0000_s1026" o:spid="_x0000_s1026" o:spt="203" style="position:absolute;left:1783;top:14647;height:314;width:562;" coordorigin="1715,14936" coordsize="672,376" o:gfxdata="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lpUwK+AAAA2wAAAA8AAAAAAAAAAQAgAAAAIgAAAGRycy9kb3ducmV2Lnht&#10;bFBLAQIUABQAAAAIAIdO4kAzLwWeOwAAADkAAAAVAAAAAAAAAAEAIAAAAA0BAABkcnMvZ3JvdXBz&#10;aGFwZXhtbC54bWxQSwUGAAAAAAYABgBgAQAAygMAAAAA&#10;">
                <o:lock v:ext="edit" aspectratio="f"/>
                <v:shape id="_x0000_s1026" o:spid="_x0000_s1026" o:spt="100" style="position:absolute;left:1792;top:14859;height:530;width:375;rotation:-5898240f;" filled="f" stroked="t" coordsize="21600,21600" o:gfxdata="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gitWr4A&#10;AADbAAAADwAAAAAAAAABACAAAAAiAAAAZHJzL2Rvd25yZXYueG1sUEsBAhQAFAAAAAgAh07iQDMv&#10;BZ47AAAAOQAAABAAAAAAAAAAAQAgAAAADQEAAGRycy9zaGFwZXhtbC54bWxQSwUGAAAAAAYABgBb&#10;AQAAtwMAAAAA&#10;" path="m0,0l5400,21600,16200,21600,21600,0,0,0xe">
                  <v:path o:connectlocs="328,265;188,530;47,265;188,0" o:connectangles="0,0,0,0"/>
                  <v:fill on="f" focussize="0,0"/>
                  <v:stroke color="#A5A5A5" joinstyle="miter"/>
                  <v:imagedata o:title=""/>
                  <o:lock v:ext="edit" aspectratio="f"/>
                </v:shape>
                <v:shape id="_x0000_s1026" o:spid="_x0000_s1026" o:spt="100" style="position:absolute;left:1934;top:14858;flip:x;height:530;width:375;rotation:-5898240f;" filled="f" stroked="t" coordsize="21600,21600" o:gfxdata="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BRXJ7sAAADb&#10;AAAADwAAAAAAAAABACAAAAAiAAAAZHJzL2Rvd25yZXYueG1sUEsBAhQAFAAAAAgAh07iQDMvBZ47&#10;AAAAOQAAABAAAAAAAAAAAQAgAAAACgEAAGRycy9zaGFwZXhtbC54bWxQSwUGAAAAAAYABgBbAQAA&#10;tAMAAAAA&#10;" path="m0,0l5400,21600,16200,21600,21600,0,0,0xe">
                  <v:path o:connectlocs="328,265;188,530;47,265;188,0" o:connectangles="0,0,0,0"/>
                  <v:fill on="f" focussize="0,0"/>
                  <v:stroke color="#A5A5A5" joinstyle="miter"/>
                  <v:imagedata o:title=""/>
                  <o:lock v:ext="edit" aspectratio="f"/>
                </v:shape>
              </v:group>
              <w10:wrap type="tight"/>
            </v:group>
          </w:pict>
        </mc:Fallback>
      </mc:AlternateContent>
    </w:r>
    <w:r>
      <w:rPr>
        <w:rFonts w:ascii="Times New Roman"/>
        <w:sz w:val="18"/>
        <w:lang w:val="en-US"/>
      </w:rPr>
      <w:t>Health Sci. Dis: Vol 2</w:t>
    </w:r>
    <w:r>
      <w:rPr>
        <w:rFonts w:hint="default" w:ascii="Times New Roman"/>
        <w:sz w:val="18"/>
        <w:lang w:val="fr-FR"/>
      </w:rPr>
      <w:t>2</w:t>
    </w:r>
    <w:r>
      <w:rPr>
        <w:rFonts w:ascii="Times New Roman"/>
        <w:sz w:val="18"/>
        <w:lang w:val="en-US"/>
      </w:rPr>
      <w:t xml:space="preserve"> (</w:t>
    </w:r>
    <w:r>
      <w:rPr>
        <w:rFonts w:hint="default" w:ascii="Times New Roman"/>
        <w:sz w:val="18"/>
        <w:lang w:val="fr-FR"/>
      </w:rPr>
      <w:t>3</w:t>
    </w:r>
    <w:r>
      <w:rPr>
        <w:rFonts w:ascii="Times New Roman"/>
        <w:sz w:val="18"/>
        <w:lang w:val="en-US"/>
      </w:rPr>
      <w:t xml:space="preserve">) </w:t>
    </w:r>
    <w:r>
      <w:rPr>
        <w:rFonts w:hint="default" w:ascii="Times New Roman"/>
        <w:sz w:val="18"/>
        <w:lang w:val="fr-FR"/>
      </w:rPr>
      <w:t>March</w:t>
    </w:r>
    <w:r>
      <w:rPr>
        <w:rFonts w:ascii="Times New Roman"/>
        <w:sz w:val="18"/>
        <w:lang w:val="en-US"/>
      </w:rPr>
      <w:t xml:space="preserve"> 202</w:t>
    </w:r>
    <w:r>
      <w:rPr>
        <w:rFonts w:hint="default" w:ascii="Times New Roman"/>
        <w:sz w:val="18"/>
        <w:lang w:val="fr-FR"/>
      </w:rPr>
      <w:t>1</w:t>
    </w:r>
  </w:p>
  <w:p>
    <w:pPr>
      <w:pStyle w:val="3"/>
      <w:tabs>
        <w:tab w:val="left" w:pos="3008"/>
      </w:tabs>
    </w:pPr>
    <w:r>
      <w:rPr>
        <w:rFonts w:ascii="Times New Roman"/>
        <w:sz w:val="18"/>
        <w:lang w:val="en-US"/>
      </w:rPr>
      <w:t xml:space="preserve">Available free at </w:t>
    </w:r>
    <w:r>
      <w:fldChar w:fldCharType="begin"/>
    </w:r>
    <w:r>
      <w:instrText xml:space="preserve"> HYPERLINK "http://www.hsd-fmsb.org" </w:instrText>
    </w:r>
    <w:r>
      <w:fldChar w:fldCharType="separate"/>
    </w:r>
    <w:r>
      <w:rPr>
        <w:rStyle w:val="6"/>
        <w:rFonts w:ascii="Times New Roman"/>
        <w:sz w:val="18"/>
        <w:lang w:val="en-US"/>
      </w:rPr>
      <w:t>www.hsd-fmsb.org</w:t>
    </w:r>
    <w:r>
      <w:rPr>
        <w:rStyle w:val="6"/>
        <w:rFonts w:ascii="Times New Roman"/>
        <w:sz w:val="18"/>
        <w:lang w:val="en-US"/>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rPr>
        <w:rFonts w:ascii="Times New Roman" w:hAnsi="Times New Roman"/>
        <w:i/>
        <w:sz w:val="20"/>
      </w:rPr>
    </w:pPr>
    <w:r>
      <w:rPr>
        <w:rFonts w:hint="default" w:ascii="Times New Roman" w:hAnsi="Times New Roman"/>
        <w:sz w:val="20"/>
        <w:lang w:val="fr-FR"/>
      </w:rPr>
      <w:t>Prise en charge de la pyonéphrose au CHU de Brazzaville</w:t>
    </w:r>
    <w:r>
      <w:rPr>
        <w:rFonts w:ascii="Times New Roman" w:hAnsi="Times New Roman"/>
        <w:sz w:val="20"/>
      </w:rPr>
      <w:tab/>
    </w:r>
    <w:r>
      <w:rPr>
        <w:rFonts w:hint="default" w:ascii="Times New Roman" w:hAnsi="Times New Roman"/>
        <w:sz w:val="20"/>
        <w:lang w:val="fr-FR"/>
      </w:rPr>
      <w:tab/>
    </w:r>
    <w:r>
      <w:rPr>
        <w:rFonts w:hint="default" w:ascii="Times New Roman" w:hAnsi="Times New Roman"/>
        <w:sz w:val="20"/>
        <w:lang w:val="fr-FR"/>
      </w:rPr>
      <w:tab/>
    </w:r>
    <w:r>
      <w:rPr>
        <w:rFonts w:hint="default" w:ascii="Times New Roman" w:hAnsi="Times New Roman"/>
        <w:sz w:val="20"/>
        <w:lang w:val="fr-FR"/>
      </w:rPr>
      <w:tab/>
    </w:r>
    <w:r>
      <w:rPr>
        <w:rFonts w:hint="default" w:ascii="Times New Roman" w:hAnsi="Times New Roman"/>
        <w:sz w:val="20"/>
        <w:lang w:val="fr-FR"/>
      </w:rPr>
      <w:tab/>
    </w:r>
    <w:r>
      <w:rPr>
        <w:rFonts w:hint="default" w:ascii="Times New Roman" w:hAnsi="Times New Roman"/>
        <w:sz w:val="20"/>
        <w:lang w:val="fr-FR"/>
      </w:rPr>
      <w:tab/>
    </w:r>
    <w:r>
      <w:rPr>
        <w:rFonts w:hint="default" w:ascii="Times New Roman" w:hAnsi="Times New Roman"/>
        <w:sz w:val="20"/>
        <w:lang w:val="fr-FR"/>
      </w:rPr>
      <w:t xml:space="preserve">    </w:t>
    </w:r>
    <w:r>
      <w:rPr>
        <w:rFonts w:hint="default" w:ascii="Times New Roman" w:hAnsi="Times New Roman"/>
        <w:i/>
        <w:sz w:val="20"/>
        <w:lang w:val="fr-FR"/>
      </w:rPr>
      <w:t>Ondongo</w:t>
    </w:r>
    <w:r>
      <w:rPr>
        <w:rFonts w:ascii="Times New Roman" w:hAnsi="Times New Roman"/>
        <w:i/>
        <w:sz w:val="20"/>
      </w:rPr>
      <w:t xml:space="preserve"> et al</w:t>
    </w:r>
  </w:p>
  <w:p>
    <w:pPr>
      <w:spacing w:after="120" w:line="240" w:lineRule="auto"/>
    </w:pPr>
    <w:r>
      <w:rPr>
        <w:rFonts w:ascii="Times New Roman" w:hAnsi="Times New Roman"/>
        <w:i/>
        <w:sz w:val="20"/>
      </w:rPr>
      <w:t>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34B77"/>
    <w:multiLevelType w:val="multilevel"/>
    <w:tmpl w:val="59D34B77"/>
    <w:lvl w:ilvl="0" w:tentative="0">
      <w:start w:val="1"/>
      <w:numFmt w:val="decimal"/>
      <w:lvlText w:val="%1."/>
      <w:lvlJc w:val="left"/>
      <w:pPr>
        <w:ind w:left="502" w:hanging="360"/>
      </w:pPr>
      <w:rPr>
        <w:i w:val="0"/>
        <w:color w:val="auto"/>
      </w:rPr>
    </w:lvl>
    <w:lvl w:ilvl="1" w:tentative="0">
      <w:start w:val="1"/>
      <w:numFmt w:val="lowerLetter"/>
      <w:lvlText w:val="%2."/>
      <w:lvlJc w:val="left"/>
      <w:pPr>
        <w:ind w:left="1222" w:hanging="360"/>
      </w:pPr>
    </w:lvl>
    <w:lvl w:ilvl="2" w:tentative="0">
      <w:start w:val="1"/>
      <w:numFmt w:val="lowerRoman"/>
      <w:lvlText w:val="%3."/>
      <w:lvlJc w:val="right"/>
      <w:pPr>
        <w:ind w:left="1942" w:hanging="180"/>
      </w:pPr>
    </w:lvl>
    <w:lvl w:ilvl="3" w:tentative="0">
      <w:start w:val="1"/>
      <w:numFmt w:val="decimal"/>
      <w:lvlText w:val="%4."/>
      <w:lvlJc w:val="left"/>
      <w:pPr>
        <w:ind w:left="2662" w:hanging="360"/>
      </w:pPr>
    </w:lvl>
    <w:lvl w:ilvl="4" w:tentative="0">
      <w:start w:val="1"/>
      <w:numFmt w:val="lowerLetter"/>
      <w:lvlText w:val="%5."/>
      <w:lvlJc w:val="left"/>
      <w:pPr>
        <w:ind w:left="3382" w:hanging="360"/>
      </w:pPr>
    </w:lvl>
    <w:lvl w:ilvl="5" w:tentative="0">
      <w:start w:val="1"/>
      <w:numFmt w:val="lowerRoman"/>
      <w:lvlText w:val="%6."/>
      <w:lvlJc w:val="right"/>
      <w:pPr>
        <w:ind w:left="4102" w:hanging="180"/>
      </w:pPr>
    </w:lvl>
    <w:lvl w:ilvl="6" w:tentative="0">
      <w:start w:val="1"/>
      <w:numFmt w:val="decimal"/>
      <w:lvlText w:val="%7."/>
      <w:lvlJc w:val="left"/>
      <w:pPr>
        <w:ind w:left="4822" w:hanging="360"/>
      </w:pPr>
    </w:lvl>
    <w:lvl w:ilvl="7" w:tentative="0">
      <w:start w:val="1"/>
      <w:numFmt w:val="lowerLetter"/>
      <w:lvlText w:val="%8."/>
      <w:lvlJc w:val="left"/>
      <w:pPr>
        <w:ind w:left="5542" w:hanging="360"/>
      </w:pPr>
    </w:lvl>
    <w:lvl w:ilvl="8" w:tentative="0">
      <w:start w:val="1"/>
      <w:numFmt w:val="lowerRoman"/>
      <w:lvlText w:val="%9."/>
      <w:lvlJc w:val="right"/>
      <w:pPr>
        <w:ind w:left="6262" w:hanging="180"/>
      </w:pPr>
    </w:lvl>
  </w:abstractNum>
  <w:abstractNum w:abstractNumId="1">
    <w:nsid w:val="749674A8"/>
    <w:multiLevelType w:val="multilevel"/>
    <w:tmpl w:val="749674A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nforcement="0"/>
  <w:defaultTabStop w:val="708"/>
  <w:hyphenationZone w:val="425"/>
  <w:characterSpacingControl w:val="doNotCompress"/>
  <w:hdrShapeDefaults>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D8"/>
    <w:rsid w:val="000012CC"/>
    <w:rsid w:val="00003D5F"/>
    <w:rsid w:val="00004B58"/>
    <w:rsid w:val="00011957"/>
    <w:rsid w:val="00014945"/>
    <w:rsid w:val="00026599"/>
    <w:rsid w:val="00035E21"/>
    <w:rsid w:val="0005002C"/>
    <w:rsid w:val="00064EF2"/>
    <w:rsid w:val="000664F5"/>
    <w:rsid w:val="0007079D"/>
    <w:rsid w:val="000777F5"/>
    <w:rsid w:val="00083BD5"/>
    <w:rsid w:val="000A08FF"/>
    <w:rsid w:val="000A348E"/>
    <w:rsid w:val="000A427C"/>
    <w:rsid w:val="000B4852"/>
    <w:rsid w:val="000C0D81"/>
    <w:rsid w:val="000D1320"/>
    <w:rsid w:val="000D1BB0"/>
    <w:rsid w:val="000D2E51"/>
    <w:rsid w:val="000D570F"/>
    <w:rsid w:val="000D6B37"/>
    <w:rsid w:val="000E1CDF"/>
    <w:rsid w:val="000E1F92"/>
    <w:rsid w:val="000E4E82"/>
    <w:rsid w:val="000E5692"/>
    <w:rsid w:val="000F754A"/>
    <w:rsid w:val="0011150C"/>
    <w:rsid w:val="00115D72"/>
    <w:rsid w:val="00121F53"/>
    <w:rsid w:val="0012337C"/>
    <w:rsid w:val="00127958"/>
    <w:rsid w:val="00137E68"/>
    <w:rsid w:val="001465AE"/>
    <w:rsid w:val="0016033F"/>
    <w:rsid w:val="00175645"/>
    <w:rsid w:val="00184F97"/>
    <w:rsid w:val="001978F8"/>
    <w:rsid w:val="001A4F2F"/>
    <w:rsid w:val="001A56C4"/>
    <w:rsid w:val="001B3542"/>
    <w:rsid w:val="001B4139"/>
    <w:rsid w:val="001B4379"/>
    <w:rsid w:val="001C521E"/>
    <w:rsid w:val="001D1832"/>
    <w:rsid w:val="001D78C1"/>
    <w:rsid w:val="001E09F7"/>
    <w:rsid w:val="001F4326"/>
    <w:rsid w:val="001F56DD"/>
    <w:rsid w:val="0020350C"/>
    <w:rsid w:val="00234631"/>
    <w:rsid w:val="00237F64"/>
    <w:rsid w:val="002429BA"/>
    <w:rsid w:val="00250E9E"/>
    <w:rsid w:val="00263BB0"/>
    <w:rsid w:val="002656CD"/>
    <w:rsid w:val="002724F9"/>
    <w:rsid w:val="0027743F"/>
    <w:rsid w:val="00284B28"/>
    <w:rsid w:val="002A1EDF"/>
    <w:rsid w:val="002A5264"/>
    <w:rsid w:val="002A5A39"/>
    <w:rsid w:val="002B0FE1"/>
    <w:rsid w:val="002C4878"/>
    <w:rsid w:val="002D13A2"/>
    <w:rsid w:val="002D514F"/>
    <w:rsid w:val="002D56F7"/>
    <w:rsid w:val="002D695E"/>
    <w:rsid w:val="002E0F41"/>
    <w:rsid w:val="002E260E"/>
    <w:rsid w:val="002F0BBD"/>
    <w:rsid w:val="002F206F"/>
    <w:rsid w:val="0030517D"/>
    <w:rsid w:val="0031138F"/>
    <w:rsid w:val="00313A9B"/>
    <w:rsid w:val="00324CAA"/>
    <w:rsid w:val="00346BDE"/>
    <w:rsid w:val="003556DD"/>
    <w:rsid w:val="00357B93"/>
    <w:rsid w:val="00357DEF"/>
    <w:rsid w:val="00357F71"/>
    <w:rsid w:val="00360FE1"/>
    <w:rsid w:val="00365315"/>
    <w:rsid w:val="00365B10"/>
    <w:rsid w:val="00370547"/>
    <w:rsid w:val="00374AF9"/>
    <w:rsid w:val="003776B7"/>
    <w:rsid w:val="00380DB3"/>
    <w:rsid w:val="003845A5"/>
    <w:rsid w:val="003845AB"/>
    <w:rsid w:val="0038733C"/>
    <w:rsid w:val="00387675"/>
    <w:rsid w:val="0038767F"/>
    <w:rsid w:val="00393E9E"/>
    <w:rsid w:val="003A1A61"/>
    <w:rsid w:val="003A33E7"/>
    <w:rsid w:val="003A6C65"/>
    <w:rsid w:val="003A7D0E"/>
    <w:rsid w:val="003B51AC"/>
    <w:rsid w:val="003B7169"/>
    <w:rsid w:val="003C667F"/>
    <w:rsid w:val="003D45A4"/>
    <w:rsid w:val="003D7D5C"/>
    <w:rsid w:val="003E1298"/>
    <w:rsid w:val="003E1E1A"/>
    <w:rsid w:val="003E548A"/>
    <w:rsid w:val="004058A5"/>
    <w:rsid w:val="004059CD"/>
    <w:rsid w:val="00406570"/>
    <w:rsid w:val="0041566C"/>
    <w:rsid w:val="0041584C"/>
    <w:rsid w:val="00422725"/>
    <w:rsid w:val="00436B4A"/>
    <w:rsid w:val="00444F46"/>
    <w:rsid w:val="00452C9F"/>
    <w:rsid w:val="00463383"/>
    <w:rsid w:val="00480B66"/>
    <w:rsid w:val="004B1559"/>
    <w:rsid w:val="004B31D7"/>
    <w:rsid w:val="004C3F3A"/>
    <w:rsid w:val="004C56D9"/>
    <w:rsid w:val="004D3A80"/>
    <w:rsid w:val="004F65FB"/>
    <w:rsid w:val="00507E2B"/>
    <w:rsid w:val="00512785"/>
    <w:rsid w:val="00526094"/>
    <w:rsid w:val="00531F31"/>
    <w:rsid w:val="005328BB"/>
    <w:rsid w:val="00540EB7"/>
    <w:rsid w:val="005745AB"/>
    <w:rsid w:val="005A36A4"/>
    <w:rsid w:val="005B76AF"/>
    <w:rsid w:val="005C0AAD"/>
    <w:rsid w:val="005C49F4"/>
    <w:rsid w:val="005C5AAE"/>
    <w:rsid w:val="005E03DA"/>
    <w:rsid w:val="005E2B57"/>
    <w:rsid w:val="005E557F"/>
    <w:rsid w:val="005F4C00"/>
    <w:rsid w:val="00600622"/>
    <w:rsid w:val="00614433"/>
    <w:rsid w:val="00615F9C"/>
    <w:rsid w:val="00623398"/>
    <w:rsid w:val="0063132C"/>
    <w:rsid w:val="006313DD"/>
    <w:rsid w:val="006349E8"/>
    <w:rsid w:val="006359D8"/>
    <w:rsid w:val="00651559"/>
    <w:rsid w:val="00652BBD"/>
    <w:rsid w:val="0066023D"/>
    <w:rsid w:val="00660659"/>
    <w:rsid w:val="00663CD2"/>
    <w:rsid w:val="00673B5F"/>
    <w:rsid w:val="00673BD1"/>
    <w:rsid w:val="00676FB1"/>
    <w:rsid w:val="006913D0"/>
    <w:rsid w:val="00694348"/>
    <w:rsid w:val="006957D3"/>
    <w:rsid w:val="006A12E1"/>
    <w:rsid w:val="006B42CC"/>
    <w:rsid w:val="006B46B4"/>
    <w:rsid w:val="006C2A31"/>
    <w:rsid w:val="006C4D6E"/>
    <w:rsid w:val="006C5030"/>
    <w:rsid w:val="006C6753"/>
    <w:rsid w:val="006C685A"/>
    <w:rsid w:val="006D6E44"/>
    <w:rsid w:val="006E0646"/>
    <w:rsid w:val="006E1B2D"/>
    <w:rsid w:val="006E322C"/>
    <w:rsid w:val="006E4030"/>
    <w:rsid w:val="006E54A3"/>
    <w:rsid w:val="006E746F"/>
    <w:rsid w:val="006F541E"/>
    <w:rsid w:val="006F5EC3"/>
    <w:rsid w:val="00700833"/>
    <w:rsid w:val="00706484"/>
    <w:rsid w:val="00720CCE"/>
    <w:rsid w:val="00756ECA"/>
    <w:rsid w:val="007664EA"/>
    <w:rsid w:val="00772B91"/>
    <w:rsid w:val="007764AC"/>
    <w:rsid w:val="007804EC"/>
    <w:rsid w:val="00783113"/>
    <w:rsid w:val="00790019"/>
    <w:rsid w:val="00795ACB"/>
    <w:rsid w:val="00796E9E"/>
    <w:rsid w:val="007A6C5A"/>
    <w:rsid w:val="007B41F7"/>
    <w:rsid w:val="007B5C86"/>
    <w:rsid w:val="007B7894"/>
    <w:rsid w:val="007E3E3C"/>
    <w:rsid w:val="008120E7"/>
    <w:rsid w:val="008172E0"/>
    <w:rsid w:val="00823D4B"/>
    <w:rsid w:val="008268B1"/>
    <w:rsid w:val="008308A5"/>
    <w:rsid w:val="00840400"/>
    <w:rsid w:val="0085139B"/>
    <w:rsid w:val="00852CE2"/>
    <w:rsid w:val="00853D72"/>
    <w:rsid w:val="00870E44"/>
    <w:rsid w:val="00871C34"/>
    <w:rsid w:val="008807C4"/>
    <w:rsid w:val="00881F03"/>
    <w:rsid w:val="00882C2C"/>
    <w:rsid w:val="0088732E"/>
    <w:rsid w:val="00890888"/>
    <w:rsid w:val="00892FC4"/>
    <w:rsid w:val="008B29CD"/>
    <w:rsid w:val="008C167F"/>
    <w:rsid w:val="008C3888"/>
    <w:rsid w:val="008C43FD"/>
    <w:rsid w:val="008E591A"/>
    <w:rsid w:val="008E6851"/>
    <w:rsid w:val="00916116"/>
    <w:rsid w:val="0091694C"/>
    <w:rsid w:val="00916E58"/>
    <w:rsid w:val="00927D18"/>
    <w:rsid w:val="00931611"/>
    <w:rsid w:val="00936D17"/>
    <w:rsid w:val="00942BFD"/>
    <w:rsid w:val="0095402C"/>
    <w:rsid w:val="009666AF"/>
    <w:rsid w:val="00970832"/>
    <w:rsid w:val="00971CC5"/>
    <w:rsid w:val="00972850"/>
    <w:rsid w:val="009733F2"/>
    <w:rsid w:val="00981364"/>
    <w:rsid w:val="00987A35"/>
    <w:rsid w:val="009900D8"/>
    <w:rsid w:val="009A04A2"/>
    <w:rsid w:val="009B5684"/>
    <w:rsid w:val="009C1376"/>
    <w:rsid w:val="009D0BA8"/>
    <w:rsid w:val="009D6061"/>
    <w:rsid w:val="009D7158"/>
    <w:rsid w:val="009E0E23"/>
    <w:rsid w:val="009E6CDE"/>
    <w:rsid w:val="009F05EA"/>
    <w:rsid w:val="009F6CA8"/>
    <w:rsid w:val="00A14734"/>
    <w:rsid w:val="00A24A65"/>
    <w:rsid w:val="00A24F5A"/>
    <w:rsid w:val="00A27EDA"/>
    <w:rsid w:val="00A45858"/>
    <w:rsid w:val="00A54F93"/>
    <w:rsid w:val="00A61F6B"/>
    <w:rsid w:val="00A63759"/>
    <w:rsid w:val="00A637CB"/>
    <w:rsid w:val="00A73B69"/>
    <w:rsid w:val="00A74060"/>
    <w:rsid w:val="00A770D0"/>
    <w:rsid w:val="00A90C0B"/>
    <w:rsid w:val="00A93793"/>
    <w:rsid w:val="00A96778"/>
    <w:rsid w:val="00A96877"/>
    <w:rsid w:val="00AA0180"/>
    <w:rsid w:val="00AA3DE6"/>
    <w:rsid w:val="00AA5736"/>
    <w:rsid w:val="00AA6D27"/>
    <w:rsid w:val="00AC7C7B"/>
    <w:rsid w:val="00AD1F5F"/>
    <w:rsid w:val="00AD3814"/>
    <w:rsid w:val="00AF2B80"/>
    <w:rsid w:val="00B01E75"/>
    <w:rsid w:val="00B153B8"/>
    <w:rsid w:val="00B158F2"/>
    <w:rsid w:val="00B16BF7"/>
    <w:rsid w:val="00B35F2B"/>
    <w:rsid w:val="00B40242"/>
    <w:rsid w:val="00B4130B"/>
    <w:rsid w:val="00B41A54"/>
    <w:rsid w:val="00B42A2F"/>
    <w:rsid w:val="00B43445"/>
    <w:rsid w:val="00B44D51"/>
    <w:rsid w:val="00B46C98"/>
    <w:rsid w:val="00B47B5D"/>
    <w:rsid w:val="00B51338"/>
    <w:rsid w:val="00B53448"/>
    <w:rsid w:val="00B62C0A"/>
    <w:rsid w:val="00B64AE7"/>
    <w:rsid w:val="00B659CC"/>
    <w:rsid w:val="00B726CD"/>
    <w:rsid w:val="00B7437B"/>
    <w:rsid w:val="00B92901"/>
    <w:rsid w:val="00B93501"/>
    <w:rsid w:val="00BA5722"/>
    <w:rsid w:val="00BB1B2D"/>
    <w:rsid w:val="00BD30A3"/>
    <w:rsid w:val="00BE7C9F"/>
    <w:rsid w:val="00C04D2C"/>
    <w:rsid w:val="00C13C4F"/>
    <w:rsid w:val="00C1534D"/>
    <w:rsid w:val="00C23443"/>
    <w:rsid w:val="00C2424B"/>
    <w:rsid w:val="00C27ABE"/>
    <w:rsid w:val="00C32109"/>
    <w:rsid w:val="00C43B06"/>
    <w:rsid w:val="00C5150C"/>
    <w:rsid w:val="00C616E0"/>
    <w:rsid w:val="00C66AD2"/>
    <w:rsid w:val="00C801ED"/>
    <w:rsid w:val="00C91A15"/>
    <w:rsid w:val="00C952AF"/>
    <w:rsid w:val="00C97E8A"/>
    <w:rsid w:val="00CA1556"/>
    <w:rsid w:val="00CA3CB6"/>
    <w:rsid w:val="00CB26E6"/>
    <w:rsid w:val="00CB3A6E"/>
    <w:rsid w:val="00CB5581"/>
    <w:rsid w:val="00CB5FC8"/>
    <w:rsid w:val="00CC07FB"/>
    <w:rsid w:val="00CC2874"/>
    <w:rsid w:val="00CC5041"/>
    <w:rsid w:val="00CC604F"/>
    <w:rsid w:val="00CD3736"/>
    <w:rsid w:val="00CD58E6"/>
    <w:rsid w:val="00CD6378"/>
    <w:rsid w:val="00CE5450"/>
    <w:rsid w:val="00CE5DDB"/>
    <w:rsid w:val="00CF07E6"/>
    <w:rsid w:val="00D03ABD"/>
    <w:rsid w:val="00D14DC7"/>
    <w:rsid w:val="00D20B03"/>
    <w:rsid w:val="00D22022"/>
    <w:rsid w:val="00D25898"/>
    <w:rsid w:val="00D3047E"/>
    <w:rsid w:val="00D328C4"/>
    <w:rsid w:val="00D32FA2"/>
    <w:rsid w:val="00D40A47"/>
    <w:rsid w:val="00D419C1"/>
    <w:rsid w:val="00D424AA"/>
    <w:rsid w:val="00D466E6"/>
    <w:rsid w:val="00D6637C"/>
    <w:rsid w:val="00D67B51"/>
    <w:rsid w:val="00D70007"/>
    <w:rsid w:val="00D75612"/>
    <w:rsid w:val="00D7788A"/>
    <w:rsid w:val="00D81257"/>
    <w:rsid w:val="00D905B8"/>
    <w:rsid w:val="00DB3F4D"/>
    <w:rsid w:val="00DB5EF1"/>
    <w:rsid w:val="00DD0869"/>
    <w:rsid w:val="00DD6C58"/>
    <w:rsid w:val="00DE0D6E"/>
    <w:rsid w:val="00DE1339"/>
    <w:rsid w:val="00DE6DEF"/>
    <w:rsid w:val="00DE71B0"/>
    <w:rsid w:val="00DF08D2"/>
    <w:rsid w:val="00E053B5"/>
    <w:rsid w:val="00E336D8"/>
    <w:rsid w:val="00E57C39"/>
    <w:rsid w:val="00E614C4"/>
    <w:rsid w:val="00E655B9"/>
    <w:rsid w:val="00E65955"/>
    <w:rsid w:val="00E67D53"/>
    <w:rsid w:val="00E75165"/>
    <w:rsid w:val="00E774BE"/>
    <w:rsid w:val="00E81102"/>
    <w:rsid w:val="00E81A75"/>
    <w:rsid w:val="00E91A01"/>
    <w:rsid w:val="00EA1CBA"/>
    <w:rsid w:val="00EA356E"/>
    <w:rsid w:val="00EB1DC6"/>
    <w:rsid w:val="00EB23DB"/>
    <w:rsid w:val="00EC6B82"/>
    <w:rsid w:val="00EC7FDB"/>
    <w:rsid w:val="00ED29DC"/>
    <w:rsid w:val="00ED535A"/>
    <w:rsid w:val="00EE43D3"/>
    <w:rsid w:val="00EF702D"/>
    <w:rsid w:val="00F002D2"/>
    <w:rsid w:val="00F03C36"/>
    <w:rsid w:val="00F05C25"/>
    <w:rsid w:val="00F073E2"/>
    <w:rsid w:val="00F07AE2"/>
    <w:rsid w:val="00F1339B"/>
    <w:rsid w:val="00F21475"/>
    <w:rsid w:val="00F2677B"/>
    <w:rsid w:val="00F26E33"/>
    <w:rsid w:val="00F37708"/>
    <w:rsid w:val="00F421B9"/>
    <w:rsid w:val="00F45E41"/>
    <w:rsid w:val="00F47F43"/>
    <w:rsid w:val="00F50A7B"/>
    <w:rsid w:val="00F52F04"/>
    <w:rsid w:val="00F55BFD"/>
    <w:rsid w:val="00F742C1"/>
    <w:rsid w:val="00F760B6"/>
    <w:rsid w:val="00F879C3"/>
    <w:rsid w:val="00F92162"/>
    <w:rsid w:val="00FA2C82"/>
    <w:rsid w:val="00FA6B8C"/>
    <w:rsid w:val="00FB0546"/>
    <w:rsid w:val="00FC02EF"/>
    <w:rsid w:val="00FC0961"/>
    <w:rsid w:val="00FD67C8"/>
    <w:rsid w:val="00FE2545"/>
    <w:rsid w:val="00FF3C0C"/>
    <w:rsid w:val="014C1F13"/>
    <w:rsid w:val="067B52CB"/>
    <w:rsid w:val="0AB57AF8"/>
    <w:rsid w:val="0F5C3665"/>
    <w:rsid w:val="13B47139"/>
    <w:rsid w:val="33A119D1"/>
    <w:rsid w:val="4D660A46"/>
    <w:rsid w:val="614379E0"/>
    <w:rsid w:val="6B3465FE"/>
    <w:rsid w:val="75374F63"/>
  </w:rsids>
  <m:mathPr>
    <m:mathFont m:val="Cambria Math"/>
    <m:brkBin m:val="before"/>
    <m:brkBinSub m:val="--"/>
    <m:smallFrac m:val="0"/>
    <m:dispDef/>
    <m:lMargin m:val="0"/>
    <m:rMargin m:val="0"/>
    <m:defJc m:val="centerGroup"/>
    <m:wrapIndent m:val="1440"/>
    <m:intLim m:val="subSup"/>
    <m:naryLim m:val="undOvr"/>
  </m:mathPr>
  <w:doNotAutoCompressPictures/>
  <w:themeFontLang w:val="fr-FR"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qFormat="1" w:uiPriority="99" w:name="Balloon Text"/>
    <w:lsdException w:qFormat="1" w:unhideWhenUsed="0" w:uiPriority="59" w:semiHidden="0" w:name="Table Grid"/>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fr-FR" w:eastAsia="en-US"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6"/>
    <w:semiHidden/>
    <w:unhideWhenUsed/>
    <w:qFormat/>
    <w:uiPriority w:val="99"/>
    <w:pPr>
      <w:spacing w:after="0" w:line="240" w:lineRule="auto"/>
    </w:pPr>
    <w:rPr>
      <w:rFonts w:ascii="Tahoma" w:hAnsi="Tahoma" w:cs="Tahoma"/>
      <w:sz w:val="16"/>
      <w:szCs w:val="16"/>
    </w:rPr>
  </w:style>
  <w:style w:type="paragraph" w:styleId="3">
    <w:name w:val="footer"/>
    <w:basedOn w:val="1"/>
    <w:link w:val="15"/>
    <w:unhideWhenUsed/>
    <w:qFormat/>
    <w:uiPriority w:val="99"/>
    <w:pPr>
      <w:tabs>
        <w:tab w:val="center" w:pos="4536"/>
        <w:tab w:val="right" w:pos="9072"/>
      </w:tabs>
      <w:spacing w:after="0" w:line="240" w:lineRule="auto"/>
    </w:pPr>
  </w:style>
  <w:style w:type="paragraph" w:styleId="4">
    <w:name w:val="header"/>
    <w:basedOn w:val="1"/>
    <w:link w:val="14"/>
    <w:unhideWhenUsed/>
    <w:qFormat/>
    <w:uiPriority w:val="99"/>
    <w:pPr>
      <w:tabs>
        <w:tab w:val="center" w:pos="4536"/>
        <w:tab w:val="right" w:pos="9072"/>
      </w:tabs>
      <w:spacing w:after="0" w:line="240" w:lineRule="auto"/>
    </w:pPr>
  </w:style>
  <w:style w:type="character" w:styleId="6">
    <w:name w:val="Hyperlink"/>
    <w:unhideWhenUsed/>
    <w:qFormat/>
    <w:uiPriority w:val="99"/>
    <w:rPr>
      <w:color w:val="0000FF"/>
      <w:u w:val="single"/>
    </w:rPr>
  </w:style>
  <w:style w:type="character" w:customStyle="1" w:styleId="8">
    <w:name w:val="A0"/>
    <w:qFormat/>
    <w:uiPriority w:val="99"/>
    <w:rPr>
      <w:color w:val="000000"/>
      <w:sz w:val="22"/>
      <w:szCs w:val="22"/>
    </w:rPr>
  </w:style>
  <w:style w:type="paragraph" w:styleId="9">
    <w:name w:val="List Paragraph"/>
    <w:basedOn w:val="1"/>
    <w:qFormat/>
    <w:uiPriority w:val="34"/>
    <w:pPr>
      <w:ind w:left="720"/>
      <w:contextualSpacing/>
    </w:pPr>
  </w:style>
  <w:style w:type="table" w:styleId="10">
    <w:name w:val="Table Grid"/>
    <w:basedOn w:val="7"/>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1">
    <w:name w:val="Default"/>
    <w:qFormat/>
    <w:uiPriority w:val="0"/>
    <w:pPr>
      <w:autoSpaceDE w:val="0"/>
      <w:autoSpaceDN w:val="0"/>
      <w:adjustRightInd w:val="0"/>
      <w:spacing w:after="0" w:line="240" w:lineRule="auto"/>
    </w:pPr>
    <w:rPr>
      <w:rFonts w:ascii="Verdana" w:hAnsi="Verdana" w:cs="Verdana" w:eastAsiaTheme="minorHAnsi"/>
      <w:color w:val="000000"/>
      <w:sz w:val="24"/>
      <w:szCs w:val="24"/>
      <w:lang w:val="fr-FR" w:eastAsia="en-US" w:bidi="ar-SA"/>
    </w:rPr>
  </w:style>
  <w:style w:type="paragraph" w:styleId="12">
    <w:name w:val="No Spacing"/>
    <w:link w:val="13"/>
    <w:qFormat/>
    <w:uiPriority w:val="1"/>
    <w:pPr>
      <w:spacing w:after="0" w:line="240" w:lineRule="auto"/>
    </w:pPr>
    <w:rPr>
      <w:rFonts w:asciiTheme="minorHAnsi" w:hAnsiTheme="minorHAnsi" w:eastAsiaTheme="minorHAnsi" w:cstheme="minorBidi"/>
      <w:sz w:val="22"/>
      <w:szCs w:val="22"/>
      <w:lang w:val="fr-FR" w:eastAsia="en-US" w:bidi="ar-SA"/>
    </w:rPr>
  </w:style>
  <w:style w:type="character" w:customStyle="1" w:styleId="13">
    <w:name w:val="Sans interligne Car"/>
    <w:basedOn w:val="5"/>
    <w:link w:val="12"/>
    <w:qFormat/>
    <w:uiPriority w:val="1"/>
  </w:style>
  <w:style w:type="character" w:customStyle="1" w:styleId="14">
    <w:name w:val="En-tête Car"/>
    <w:basedOn w:val="5"/>
    <w:link w:val="4"/>
    <w:qFormat/>
    <w:uiPriority w:val="99"/>
  </w:style>
  <w:style w:type="character" w:customStyle="1" w:styleId="15">
    <w:name w:val="Pied de page Car"/>
    <w:basedOn w:val="5"/>
    <w:link w:val="3"/>
    <w:qFormat/>
    <w:uiPriority w:val="99"/>
  </w:style>
  <w:style w:type="character" w:customStyle="1" w:styleId="16">
    <w:name w:val="Texte de bulles Car"/>
    <w:basedOn w:val="5"/>
    <w:link w:val="2"/>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Feuil1!$C$8</c:f>
              <c:strCache>
                <c:ptCount val="1"/>
                <c:pt idx="0">
                  <c:v>Effectif </c:v>
                </c:pt>
              </c:strCache>
            </c:strRef>
          </c:tx>
          <c:explosion val="0"/>
          <c:dPt>
            <c:idx val="0"/>
            <c:bubble3D val="0"/>
          </c:dPt>
          <c:dPt>
            <c:idx val="1"/>
            <c:bubble3D val="0"/>
          </c:dPt>
          <c:dPt>
            <c:idx val="2"/>
            <c:bubble3D val="0"/>
          </c:dPt>
          <c:dPt>
            <c:idx val="3"/>
            <c:bubble3D val="0"/>
          </c:dPt>
          <c:dLbls>
            <c:dLbl>
              <c:idx val="3"/>
              <c:layout/>
              <c:numFmt formatCode="General" sourceLinked="1"/>
              <c:spPr>
                <a:noFill/>
                <a:ln>
                  <a:noFill/>
                </a:ln>
                <a:effectLst/>
              </c:spPr>
              <c:txPr>
                <a:bodyPr rot="0" spcFirstLastPara="0" vertOverflow="ellipsis" vert="horz" wrap="square" lIns="38100" tIns="19050" rIns="38100" bIns="19050" anchor="ctr" anchorCtr="1"/>
                <a:lstStyle/>
                <a:p>
                  <a:pPr>
                    <a:defRPr lang="fr-FR" sz="600" b="0" i="0" u="none" strike="noStrike" kern="1200" baseline="0">
                      <a:solidFill>
                        <a:schemeClr val="tx1"/>
                      </a:solidFill>
                      <a:latin typeface="Times New Roman" panose="02020603050405020304" charset="0"/>
                      <a:ea typeface="+mn-ea"/>
                      <a:cs typeface="Times New Roman" panose="02020603050405020304" charset="0"/>
                    </a:defRPr>
                  </a:pPr>
                </a:p>
              </c:txPr>
              <c:dLblPos val="bestFit"/>
              <c:showLegendKey val="0"/>
              <c:showVal val="0"/>
              <c:showCatName val="1"/>
              <c:showSerName val="0"/>
              <c:showPercent val="1"/>
              <c:showBubbleSize val="0"/>
              <c:separator>
</c:separator>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fr-FR" sz="600" b="0" i="0" u="none" strike="noStrike" kern="1200" baseline="0">
                    <a:solidFill>
                      <a:schemeClr val="tx1"/>
                    </a:solidFill>
                    <a:latin typeface="Times New Roman" panose="02020603050405020304" charset="0"/>
                    <a:ea typeface="+mn-ea"/>
                    <a:cs typeface="Times New Roman" panose="02020603050405020304" charset="0"/>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Feuil1!$B$9:$B$12</c:f>
              <c:strCache>
                <c:ptCount val="4"/>
                <c:pt idx="0">
                  <c:v>Escherichia  coli </c:v>
                </c:pt>
                <c:pt idx="1">
                  <c:v>Klebsiella pneumoniae</c:v>
                </c:pt>
                <c:pt idx="2">
                  <c:v>Protéus mirabilis</c:v>
                </c:pt>
                <c:pt idx="3">
                  <c:v>Staphylococcus aureus</c:v>
                </c:pt>
              </c:strCache>
            </c:strRef>
          </c:cat>
          <c:val>
            <c:numRef>
              <c:f>Feuil1!$C$9:$C$12</c:f>
              <c:numCache>
                <c:formatCode>General</c:formatCode>
                <c:ptCount val="4"/>
                <c:pt idx="0">
                  <c:v>7</c:v>
                </c:pt>
                <c:pt idx="1">
                  <c:v>5</c:v>
                </c:pt>
                <c:pt idx="2">
                  <c:v>3</c:v>
                </c:pt>
                <c:pt idx="3">
                  <c:v>4</c:v>
                </c:pt>
              </c:numCache>
            </c:numRef>
          </c:val>
        </c:ser>
        <c:ser>
          <c:idx val="1"/>
          <c:order val="1"/>
          <c:tx>
            <c:strRef>
              <c:f>Feuil1!$D$8</c:f>
              <c:strCache>
                <c:ptCount val="1"/>
                <c:pt idx="0">
                  <c:v>Pourcentage </c:v>
                </c:pt>
              </c:strCache>
            </c:strRef>
          </c:tx>
          <c:explosion val="0"/>
          <c:dPt>
            <c:idx val="0"/>
            <c:bubble3D val="0"/>
          </c:dPt>
          <c:dPt>
            <c:idx val="1"/>
            <c:bubble3D val="0"/>
          </c:dPt>
          <c:dPt>
            <c:idx val="2"/>
            <c:bubble3D val="0"/>
          </c:dPt>
          <c:dPt>
            <c:idx val="3"/>
            <c:bubble3D val="0"/>
          </c:dPt>
          <c:dLbls>
            <c:spPr>
              <a:noFill/>
              <a:ln>
                <a:noFill/>
              </a:ln>
              <a:effectLst/>
            </c:spPr>
            <c:txPr>
              <a:bodyPr rot="0" spcFirstLastPara="0" vertOverflow="ellipsis" vert="horz" wrap="square" lIns="38100" tIns="19050" rIns="38100" bIns="19050" anchor="ctr" anchorCtr="1"/>
              <a:lstStyle/>
              <a:p>
                <a:pPr>
                  <a:defRPr lang="fr-FR"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Feuil1!$B$9:$B$12</c:f>
              <c:strCache>
                <c:ptCount val="4"/>
                <c:pt idx="0">
                  <c:v>Escherichia  coli </c:v>
                </c:pt>
                <c:pt idx="1">
                  <c:v>Klebsiella pneumoniae</c:v>
                </c:pt>
                <c:pt idx="2">
                  <c:v>Protéus mirabilis</c:v>
                </c:pt>
                <c:pt idx="3">
                  <c:v>Staphylococcus aureus</c:v>
                </c:pt>
              </c:strCache>
            </c:strRef>
          </c:cat>
          <c:val>
            <c:numRef>
              <c:f>Feuil1!$D$9:$D$12</c:f>
              <c:numCache>
                <c:formatCode>General</c:formatCode>
                <c:ptCount val="4"/>
                <c:pt idx="0">
                  <c:v>36.84</c:v>
                </c:pt>
                <c:pt idx="1">
                  <c:v>26.31</c:v>
                </c:pt>
                <c:pt idx="2">
                  <c:v>15.8</c:v>
                </c:pt>
                <c:pt idx="3">
                  <c:v>21.05</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txPr>
    <a:bodyPr/>
    <a:lstStyle/>
    <a:p>
      <a:pPr>
        <a:defRPr lang="fr-F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Feuil2!$F$8</c:f>
              <c:strCache>
                <c:ptCount val="1"/>
                <c:pt idx="0">
                  <c:v>Pourcentage</c:v>
                </c:pt>
              </c:strCache>
            </c:strRef>
          </c:tx>
          <c:invertIfNegative val="0"/>
          <c:dLbls>
            <c:dLbl>
              <c:idx val="0"/>
              <c:layout/>
              <c:tx>
                <c:rich>
                  <a:bodyPr rot="0" spcFirstLastPara="0" vertOverflow="ellipsis" vert="horz" wrap="square" lIns="38100" tIns="19050" rIns="38100" bIns="19050" anchor="ctr" anchorCtr="1"/>
                  <a:lstStyle/>
                  <a:p>
                    <a:pPr>
                      <a:defRPr lang="fr-FR" sz="700" b="0" i="0" u="none" strike="noStrike" kern="1200" baseline="0">
                        <a:solidFill>
                          <a:schemeClr val="tx1"/>
                        </a:solidFill>
                        <a:latin typeface="Times New Roman" panose="02020603050405020304" charset="0"/>
                        <a:ea typeface="+mn-ea"/>
                        <a:cs typeface="Times New Roman" panose="02020603050405020304" charset="0"/>
                      </a:defRPr>
                    </a:pPr>
                    <a:r>
                      <a:rPr lang="en-US" sz="700"/>
                      <a:t>56,5</a:t>
                    </a:r>
                    <a:endParaRPr lang="en-US" sz="700"/>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fr-FR" sz="700" b="0" i="0" u="none" strike="noStrike" kern="1200" baseline="0">
                        <a:solidFill>
                          <a:schemeClr val="tx1"/>
                        </a:solidFill>
                        <a:latin typeface="Times New Roman" panose="02020603050405020304" charset="0"/>
                        <a:ea typeface="+mn-ea"/>
                        <a:cs typeface="Times New Roman" panose="02020603050405020304" charset="0"/>
                      </a:defRPr>
                    </a:pPr>
                    <a:r>
                      <a:rPr lang="en-US" sz="700"/>
                      <a:t>4,3</a:t>
                    </a:r>
                    <a:endParaRPr lang="en-US" sz="700"/>
                  </a:p>
                </c:rich>
              </c:tx>
              <c:dLblPos val="outEnd"/>
              <c:showLegendKey val="0"/>
              <c:showVal val="1"/>
              <c:showCatName val="0"/>
              <c:showSerName val="0"/>
              <c:showPercent val="0"/>
              <c:showBubbleSize val="0"/>
              <c:extLst>
                <c:ext xmlns:c15="http://schemas.microsoft.com/office/drawing/2012/chart" uri="{CE6537A1-D6FC-4f65-9D91-7224C49458BB}"/>
              </c:extLst>
            </c:dLbl>
            <c:dLbl>
              <c:idx val="3"/>
              <c:layout/>
              <c:tx>
                <c:rich>
                  <a:bodyPr rot="0" spcFirstLastPara="0" vertOverflow="ellipsis" vert="horz" wrap="square" lIns="38100" tIns="19050" rIns="38100" bIns="19050" anchor="ctr" anchorCtr="1"/>
                  <a:lstStyle/>
                  <a:p>
                    <a:pPr>
                      <a:defRPr lang="fr-FR" sz="700" b="0" i="0" u="none" strike="noStrike" kern="1200" baseline="0">
                        <a:solidFill>
                          <a:schemeClr val="tx1"/>
                        </a:solidFill>
                        <a:latin typeface="Times New Roman" panose="02020603050405020304" charset="0"/>
                        <a:ea typeface="+mn-ea"/>
                        <a:cs typeface="Times New Roman" panose="02020603050405020304" charset="0"/>
                      </a:defRPr>
                    </a:pPr>
                    <a:r>
                      <a:rPr lang="en-US" sz="700"/>
                      <a:t>8,7</a:t>
                    </a:r>
                    <a:endParaRPr lang="en-US" sz="700"/>
                  </a:p>
                </c:rich>
              </c:tx>
              <c:dLblPos val="outEnd"/>
              <c:showLegendKey val="0"/>
              <c:showVal val="1"/>
              <c:showCatName val="0"/>
              <c:showSerName val="0"/>
              <c:showPercent val="0"/>
              <c:showBubbleSize val="0"/>
              <c:extLst>
                <c:ext xmlns:c15="http://schemas.microsoft.com/office/drawing/2012/chart" uri="{CE6537A1-D6FC-4f65-9D91-7224C49458BB}"/>
              </c:extLst>
            </c:dLbl>
            <c:dLbl>
              <c:idx val="4"/>
              <c:layout/>
              <c:tx>
                <c:rich>
                  <a:bodyPr rot="0" spcFirstLastPara="0" vertOverflow="ellipsis" vert="horz" wrap="square" lIns="38100" tIns="19050" rIns="38100" bIns="19050" anchor="ctr" anchorCtr="1"/>
                  <a:lstStyle/>
                  <a:p>
                    <a:pPr>
                      <a:defRPr lang="fr-FR" sz="700" b="0" i="0" u="none" strike="noStrike" kern="1200" baseline="0">
                        <a:solidFill>
                          <a:schemeClr val="tx1"/>
                        </a:solidFill>
                        <a:latin typeface="Times New Roman" panose="02020603050405020304" charset="0"/>
                        <a:ea typeface="+mn-ea"/>
                        <a:cs typeface="Times New Roman" panose="02020603050405020304" charset="0"/>
                      </a:defRPr>
                    </a:pPr>
                    <a:r>
                      <a:rPr lang="en-US" sz="700"/>
                      <a:t>8,7</a:t>
                    </a:r>
                    <a:endParaRPr lang="en-US" sz="700"/>
                  </a:p>
                </c:rich>
              </c:tx>
              <c:dLblPos val="outEnd"/>
              <c:showLegendKey val="0"/>
              <c:showVal val="1"/>
              <c:showCatName val="0"/>
              <c:showSerName val="0"/>
              <c:showPercent val="0"/>
              <c:showBubbleSize val="0"/>
              <c:extLst>
                <c:ext xmlns:c15="http://schemas.microsoft.com/office/drawing/2012/chart" uri="{CE6537A1-D6FC-4f65-9D91-7224C49458BB}"/>
              </c:extLst>
            </c:dLbl>
            <c:dLbl>
              <c:idx val="5"/>
              <c:layout/>
              <c:tx>
                <c:rich>
                  <a:bodyPr rot="0" spcFirstLastPara="0" vertOverflow="ellipsis" vert="horz" wrap="square" lIns="38100" tIns="19050" rIns="38100" bIns="19050" anchor="ctr" anchorCtr="1"/>
                  <a:lstStyle/>
                  <a:p>
                    <a:pPr>
                      <a:defRPr lang="fr-FR" sz="700" b="0" i="0" u="none" strike="noStrike" kern="1200" baseline="0">
                        <a:solidFill>
                          <a:schemeClr val="tx1"/>
                        </a:solidFill>
                        <a:latin typeface="Times New Roman" panose="02020603050405020304" charset="0"/>
                        <a:ea typeface="+mn-ea"/>
                        <a:cs typeface="Times New Roman" panose="02020603050405020304" charset="0"/>
                      </a:defRPr>
                    </a:pPr>
                    <a:r>
                      <a:rPr lang="en-US" sz="700"/>
                      <a:t>4,3</a:t>
                    </a:r>
                    <a:endParaRPr lang="en-US" sz="700"/>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fr-FR" sz="700" b="0" i="0" u="none" strike="noStrike" kern="1200" baseline="0">
                    <a:solidFill>
                      <a:schemeClr val="tx1"/>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Feuil2!$D$9:$D$14</c:f>
              <c:strCache>
                <c:ptCount val="6"/>
                <c:pt idx="0">
                  <c:v>Calcul rénal</c:v>
                </c:pt>
                <c:pt idx="1">
                  <c:v>Calcul urétéral</c:v>
                </c:pt>
                <c:pt idx="2">
                  <c:v>Syndrome de la jonction pyélo-urétérale</c:v>
                </c:pt>
                <c:pt idx="3">
                  <c:v>Sténose urétérale</c:v>
                </c:pt>
                <c:pt idx="4">
                  <c:v>Indéterminée</c:v>
                </c:pt>
                <c:pt idx="5">
                  <c:v>Méga-uretère primitif</c:v>
                </c:pt>
              </c:strCache>
            </c:strRef>
          </c:cat>
          <c:val>
            <c:numRef>
              <c:f>Feuil2!$F$9:$F$14</c:f>
              <c:numCache>
                <c:formatCode>General</c:formatCode>
                <c:ptCount val="6"/>
                <c:pt idx="0">
                  <c:v>56.52</c:v>
                </c:pt>
                <c:pt idx="1">
                  <c:v>4.35</c:v>
                </c:pt>
                <c:pt idx="2">
                  <c:v>17.4</c:v>
                </c:pt>
                <c:pt idx="3">
                  <c:v>8.69</c:v>
                </c:pt>
                <c:pt idx="4">
                  <c:v>8.69</c:v>
                </c:pt>
                <c:pt idx="5">
                  <c:v>4.35</c:v>
                </c:pt>
              </c:numCache>
            </c:numRef>
          </c:val>
        </c:ser>
        <c:dLbls>
          <c:showLegendKey val="0"/>
          <c:showVal val="1"/>
          <c:showCatName val="0"/>
          <c:showSerName val="0"/>
          <c:showPercent val="0"/>
          <c:showBubbleSize val="0"/>
        </c:dLbls>
        <c:gapWidth val="75"/>
        <c:axId val="2104043608"/>
        <c:axId val="2103982840"/>
      </c:barChart>
      <c:catAx>
        <c:axId val="2104043608"/>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fr-FR" sz="700" b="0" i="0" u="none" strike="noStrike" kern="1200" baseline="0">
                <a:solidFill>
                  <a:schemeClr val="tx1"/>
                </a:solidFill>
                <a:latin typeface="Times New Roman" panose="02020603050405020304" charset="0"/>
                <a:ea typeface="+mn-ea"/>
                <a:cs typeface="Times New Roman" panose="02020603050405020304" charset="0"/>
              </a:defRPr>
            </a:pPr>
          </a:p>
        </c:txPr>
        <c:crossAx val="2103982840"/>
        <c:crosses val="autoZero"/>
        <c:auto val="1"/>
        <c:lblAlgn val="ctr"/>
        <c:lblOffset val="100"/>
        <c:noMultiLvlLbl val="0"/>
      </c:catAx>
      <c:valAx>
        <c:axId val="2103982840"/>
        <c:scaling>
          <c:orientation val="minMax"/>
        </c:scaling>
        <c:delete val="0"/>
        <c:axPos val="l"/>
        <c:numFmt formatCode="General" sourceLinked="1"/>
        <c:majorTickMark val="none"/>
        <c:minorTickMark val="none"/>
        <c:tickLblPos val="nextTo"/>
        <c:txPr>
          <a:bodyPr rot="-60000000" spcFirstLastPara="0" vertOverflow="ellipsis" vert="horz" wrap="square" anchor="ctr" anchorCtr="1"/>
          <a:lstStyle/>
          <a:p>
            <a:pPr>
              <a:defRPr lang="fr-FR" sz="800" b="0" i="0" u="none" strike="noStrike" kern="1200" baseline="0">
                <a:solidFill>
                  <a:schemeClr val="tx1"/>
                </a:solidFill>
                <a:latin typeface="Times New Roman" panose="02020603050405020304" charset="0"/>
                <a:ea typeface="+mn-ea"/>
                <a:cs typeface="Times New Roman" panose="02020603050405020304" charset="0"/>
              </a:defRPr>
            </a:pPr>
          </a:p>
        </c:txPr>
        <c:crossAx val="2104043608"/>
        <c:crosses val="autoZero"/>
        <c:crossBetween val="between"/>
      </c:valAx>
      <c:spPr>
        <a:solidFill>
          <a:schemeClr val="bg1"/>
        </a:solidFill>
        <a:ln>
          <a:noFill/>
        </a:ln>
        <a:effectLst/>
      </c:spPr>
    </c:plotArea>
    <c:legend>
      <c:legendPos val="b"/>
      <c:legendEntry>
        <c:idx val="0"/>
        <c:txPr>
          <a:bodyPr rot="0" spcFirstLastPara="0" vertOverflow="ellipsis" vert="horz" wrap="square" anchor="ctr" anchorCtr="1"/>
          <a:lstStyle/>
          <a:p>
            <a:pPr>
              <a:defRPr lang="fr-FR" sz="700" b="0" i="0" u="none" strike="noStrike" kern="1200" baseline="0">
                <a:solidFill>
                  <a:schemeClr val="tx1"/>
                </a:solidFill>
                <a:latin typeface="Times New Roman" panose="02020603050405020304" charset="0"/>
                <a:ea typeface="+mn-ea"/>
                <a:cs typeface="Times New Roman" panose="02020603050405020304" charset="0"/>
              </a:defRPr>
            </a:pPr>
          </a:p>
        </c:txPr>
      </c:legendEntry>
      <c:layout>
        <c:manualLayout>
          <c:xMode val="edge"/>
          <c:yMode val="edge"/>
          <c:x val="0.794155844155844"/>
          <c:y val="0.748250116658889"/>
        </c:manualLayout>
      </c:layout>
      <c:overlay val="0"/>
      <c:txPr>
        <a:bodyPr rot="0" spcFirstLastPara="0" vertOverflow="ellipsis" vert="horz" wrap="square" anchor="ctr" anchorCtr="1"/>
        <a:lstStyle/>
        <a:p>
          <a:pPr>
            <a:defRPr lang="fr-FR" sz="700" b="0" i="0" u="none" strike="noStrike" kern="1200" baseline="0">
              <a:solidFill>
                <a:schemeClr val="tx1"/>
              </a:solidFill>
              <a:latin typeface="Times New Roman" panose="02020603050405020304" charset="0"/>
              <a:ea typeface="+mn-ea"/>
              <a:cs typeface="Times New Roman" panose="02020603050405020304" charset="0"/>
            </a:defRPr>
          </a:pPr>
        </a:p>
      </c:txPr>
    </c:legend>
    <c:plotVisOnly val="1"/>
    <c:dispBlanksAs val="gap"/>
    <c:showDLblsOverMax val="0"/>
  </c:chart>
  <c:txPr>
    <a:bodyPr/>
    <a:lstStyle/>
    <a:p>
      <a:pPr>
        <a:defRPr lang="fr-FR"/>
      </a:pPr>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36E00B-9168-ED43-9770-2F02501D60A0}">
  <ds:schemaRefs/>
</ds:datastoreItem>
</file>

<file path=docProps/app.xml><?xml version="1.0" encoding="utf-8"?>
<Properties xmlns="http://schemas.openxmlformats.org/officeDocument/2006/extended-properties" xmlns:vt="http://schemas.openxmlformats.org/officeDocument/2006/docPropsVTypes">
  <Template>Normal.dotm</Template>
  <Pages>15</Pages>
  <Words>4173</Words>
  <Characters>22952</Characters>
  <Lines>191</Lines>
  <Paragraphs>54</Paragraphs>
  <TotalTime>59</TotalTime>
  <ScaleCrop>false</ScaleCrop>
  <LinksUpToDate>false</LinksUpToDate>
  <CharactersWithSpaces>27071</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2021-01-23T04:21:00Z</dcterms:created>
  <dc:creator>AMA</dc:creator>
  <cp:lastModifiedBy>user</cp:lastModifiedBy>
  <cp:lastPrinted>2020-04-28T14:42:00Z</cp:lastPrinted>
  <dcterms:modified xsi:type="dcterms:W3CDTF">2021-02-23T05:42:13Z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1036-11.2.0.8970</vt:lpwstr>
  </property>
</Properties>
</file>