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hint="default" w:ascii="Times New Roman" w:hAnsi="Times New Roman"/>
          <w:b/>
          <w:bCs/>
          <w:sz w:val="24"/>
          <w:lang w:val="fr-FR"/>
        </w:rPr>
      </w:pPr>
      <w:r>
        <w:rPr>
          <w:rFonts w:hint="default" w:ascii="Times New Roman" w:hAnsi="Times New Roman"/>
          <w:b/>
          <w:bCs/>
          <w:sz w:val="24"/>
          <w:lang w:val="en-US" w:eastAsia="fr-FR"/>
        </w:rPr>
        <w:drawing>
          <wp:anchor distT="0" distB="0" distL="114300" distR="114300" simplePos="0" relativeHeight="251667456"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hint="default" w:ascii="Times New Roman" w:hAnsi="Times New Roman"/>
          <w:b/>
          <w:bCs/>
          <w:sz w:val="24"/>
          <w:lang w:val="en-US" w:eastAsia="fr-FR"/>
        </w:rPr>
        <w:t>Cas</w:t>
      </w:r>
      <w:r>
        <w:rPr>
          <w:rFonts w:ascii="Times New Roman" w:hAnsi="Times New Roman"/>
          <w:b/>
          <w:bCs/>
          <w:sz w:val="24"/>
          <w:lang w:val="en-US"/>
        </w:rPr>
        <w:t xml:space="preserve"> </w:t>
      </w:r>
      <w:r>
        <w:rPr>
          <w:rFonts w:hint="default" w:ascii="Times New Roman" w:hAnsi="Times New Roman"/>
          <w:b/>
          <w:bCs/>
          <w:sz w:val="24"/>
          <w:lang w:val="fr-FR"/>
        </w:rPr>
        <w:t>Clinique</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Corps Étrangers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ur Sténose Œsophagienne : à Propos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3 Cas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ans </w:t>
      </w:r>
      <w:r>
        <w:rPr>
          <w:rFonts w:hint="default" w:ascii="Times New Roman" w:hAnsi="Times New Roman" w:eastAsia="Times New Roman"/>
          <w:b/>
          <w:bCs/>
          <w:color w:val="17365D"/>
          <w:spacing w:val="5"/>
          <w:sz w:val="32"/>
          <w:szCs w:val="72"/>
          <w:lang w:val="fr-FR"/>
        </w:rPr>
        <w:t>u</w:t>
      </w:r>
      <w:r>
        <w:rPr>
          <w:rFonts w:hint="default" w:ascii="Times New Roman" w:hAnsi="Times New Roman" w:eastAsia="Times New Roman"/>
          <w:b/>
          <w:bCs/>
          <w:color w:val="17365D"/>
          <w:spacing w:val="5"/>
          <w:sz w:val="32"/>
          <w:szCs w:val="72"/>
        </w:rPr>
        <w:t>n Service d’O</w:t>
      </w:r>
      <w:r>
        <w:rPr>
          <w:rFonts w:hint="default" w:ascii="Times New Roman" w:hAnsi="Times New Roman" w:eastAsia="Times New Roman"/>
          <w:b/>
          <w:bCs/>
          <w:color w:val="17365D"/>
          <w:spacing w:val="5"/>
          <w:sz w:val="32"/>
          <w:szCs w:val="72"/>
          <w:lang w:val="fr-FR"/>
        </w:rPr>
        <w:t>RL</w:t>
      </w:r>
      <w:r>
        <w:rPr>
          <w:rFonts w:hint="default" w:ascii="Times New Roman" w:hAnsi="Times New Roman" w:eastAsia="Times New Roman"/>
          <w:b/>
          <w:bCs/>
          <w:color w:val="17365D"/>
          <w:spacing w:val="5"/>
          <w:sz w:val="32"/>
          <w:szCs w:val="72"/>
        </w:rPr>
        <w:t xml:space="preserve"> Subsaharien</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Foreign bodies on esophageal stenosis: about 3 cases in a Sub-Saharan ENT Departmentlinical</w:t>
      </w:r>
    </w:p>
    <w:p>
      <w:pPr>
        <w:keepNext w:val="0"/>
        <w:keepLines w:val="0"/>
        <w:pageBreakBefore w:val="0"/>
        <w:widowControl/>
        <w:tabs>
          <w:tab w:val="left" w:pos="516"/>
        </w:tabs>
        <w:kinsoku/>
        <w:wordWrap/>
        <w:overflowPunct/>
        <w:topLinePunct w:val="0"/>
        <w:autoSpaceDE/>
        <w:autoSpaceDN/>
        <w:bidi w:val="0"/>
        <w:adjustRightInd/>
        <w:snapToGrid/>
        <w:spacing w:after="0" w:line="240" w:lineRule="auto"/>
        <w:ind w:right="265"/>
        <w:jc w:val="center"/>
        <w:textAlignment w:val="auto"/>
        <w:rPr>
          <w:rFonts w:hint="default" w:ascii="Times New Roman" w:hAnsi="Times New Roman" w:eastAsia="Times New Roman" w:cs="Times New Roman"/>
          <w:b w:val="0"/>
          <w:bCs/>
          <w:color w:val="000000"/>
          <w:sz w:val="24"/>
          <w:szCs w:val="24"/>
          <w:vertAlign w:val="superscript"/>
        </w:rPr>
      </w:pPr>
      <w:r>
        <w:rPr>
          <w:rFonts w:hint="default" w:ascii="Times New Roman" w:hAnsi="Times New Roman" w:eastAsia="Times New Roman" w:cs="Times New Roman"/>
          <w:b w:val="0"/>
          <w:bCs/>
          <w:color w:val="000000"/>
          <w:sz w:val="24"/>
          <w:szCs w:val="24"/>
        </w:rPr>
        <w:t>Keita</w:t>
      </w:r>
      <w:r>
        <w:rPr>
          <w:rFonts w:hint="default" w:ascii="Times New Roman" w:hAnsi="Times New Roman" w:eastAsia="Times New Roman" w:cs="Times New Roman"/>
          <w:b w:val="0"/>
          <w:bCs/>
          <w:color w:val="000000"/>
          <w:sz w:val="24"/>
          <w:szCs w:val="24"/>
          <w:lang w:val="fr-FR"/>
        </w:rPr>
        <w:t xml:space="preserve"> A</w:t>
      </w:r>
      <w:r>
        <w:rPr>
          <w:rFonts w:hint="default" w:ascii="Times New Roman" w:hAnsi="Times New Roman" w:eastAsia="Times New Roman" w:cs="Times New Roman"/>
          <w:b w:val="0"/>
          <w:bCs/>
          <w:color w:val="000000"/>
          <w:sz w:val="24"/>
          <w:szCs w:val="24"/>
          <w:vertAlign w:val="superscript"/>
        </w:rPr>
        <w:t>1</w:t>
      </w:r>
      <w:r>
        <w:rPr>
          <w:rFonts w:hint="default" w:ascii="Times New Roman" w:hAnsi="Times New Roman" w:eastAsia="Times New Roman" w:cs="Times New Roman"/>
          <w:b w:val="0"/>
          <w:bCs/>
          <w:color w:val="000000"/>
          <w:sz w:val="24"/>
          <w:szCs w:val="24"/>
        </w:rPr>
        <w:t>, Abdou Bacharou</w:t>
      </w:r>
      <w:r>
        <w:rPr>
          <w:rFonts w:hint="default" w:ascii="Times New Roman" w:hAnsi="Times New Roman" w:eastAsia="Times New Roman" w:cs="Times New Roman"/>
          <w:b w:val="0"/>
          <w:bCs/>
          <w:color w:val="000000"/>
          <w:sz w:val="24"/>
          <w:szCs w:val="24"/>
          <w:lang w:val="fr-FR"/>
        </w:rPr>
        <w:t xml:space="preserve"> H</w:t>
      </w:r>
      <w:r>
        <w:rPr>
          <w:rFonts w:hint="default" w:ascii="Times New Roman" w:hAnsi="Times New Roman" w:eastAsia="Times New Roman" w:cs="Times New Roman"/>
          <w:b w:val="0"/>
          <w:bCs/>
          <w:color w:val="000000"/>
          <w:sz w:val="24"/>
          <w:szCs w:val="24"/>
          <w:vertAlign w:val="superscript"/>
        </w:rPr>
        <w:t>2</w:t>
      </w:r>
      <w:r>
        <w:rPr>
          <w:rFonts w:hint="default" w:ascii="Times New Roman" w:hAnsi="Times New Roman" w:eastAsia="Times New Roman" w:cs="Times New Roman"/>
          <w:b w:val="0"/>
          <w:bCs/>
          <w:color w:val="000000"/>
          <w:sz w:val="24"/>
          <w:szCs w:val="24"/>
        </w:rPr>
        <w:t>, Diallo</w:t>
      </w:r>
      <w:r>
        <w:rPr>
          <w:rFonts w:hint="default" w:ascii="Times New Roman" w:hAnsi="Times New Roman" w:eastAsia="Times New Roman" w:cs="Times New Roman"/>
          <w:b w:val="0"/>
          <w:bCs/>
          <w:color w:val="000000"/>
          <w:sz w:val="24"/>
          <w:szCs w:val="24"/>
          <w:lang w:val="fr-FR"/>
        </w:rPr>
        <w:t xml:space="preserve"> I</w:t>
      </w:r>
      <w:r>
        <w:rPr>
          <w:rFonts w:hint="default" w:ascii="Times New Roman" w:hAnsi="Times New Roman" w:eastAsia="Times New Roman" w:cs="Times New Roman"/>
          <w:b w:val="0"/>
          <w:bCs/>
          <w:color w:val="000000"/>
          <w:sz w:val="24"/>
          <w:szCs w:val="24"/>
          <w:vertAlign w:val="superscript"/>
        </w:rPr>
        <w:t>1</w:t>
      </w:r>
      <w:r>
        <w:rPr>
          <w:rFonts w:hint="default" w:ascii="Times New Roman" w:hAnsi="Times New Roman" w:eastAsia="Times New Roman" w:cs="Times New Roman"/>
          <w:b w:val="0"/>
          <w:bCs/>
          <w:color w:val="000000"/>
          <w:sz w:val="24"/>
          <w:szCs w:val="24"/>
        </w:rPr>
        <w:t>, Fofana</w:t>
      </w:r>
      <w:r>
        <w:rPr>
          <w:rFonts w:hint="default" w:ascii="Times New Roman" w:hAnsi="Times New Roman" w:eastAsia="Times New Roman" w:cs="Times New Roman"/>
          <w:b w:val="0"/>
          <w:bCs/>
          <w:color w:val="000000"/>
          <w:sz w:val="24"/>
          <w:szCs w:val="24"/>
          <w:lang w:val="fr-FR"/>
        </w:rPr>
        <w:t xml:space="preserve"> M</w:t>
      </w:r>
      <w:r>
        <w:rPr>
          <w:rFonts w:hint="default" w:ascii="Times New Roman" w:hAnsi="Times New Roman" w:eastAsia="Times New Roman" w:cs="Times New Roman"/>
          <w:b w:val="0"/>
          <w:bCs/>
          <w:color w:val="000000"/>
          <w:sz w:val="24"/>
          <w:szCs w:val="24"/>
          <w:vertAlign w:val="superscript"/>
        </w:rPr>
        <w:t>3</w:t>
      </w:r>
      <w:r>
        <w:rPr>
          <w:rFonts w:hint="default" w:ascii="Times New Roman" w:hAnsi="Times New Roman" w:eastAsia="Times New Roman" w:cs="Times New Roman"/>
          <w:b w:val="0"/>
          <w:bCs/>
          <w:color w:val="000000"/>
          <w:sz w:val="24"/>
          <w:szCs w:val="24"/>
        </w:rPr>
        <w:t>, Diallo</w:t>
      </w:r>
      <w:r>
        <w:rPr>
          <w:rFonts w:hint="default" w:ascii="Times New Roman" w:hAnsi="Times New Roman" w:eastAsia="Times New Roman" w:cs="Times New Roman"/>
          <w:b w:val="0"/>
          <w:bCs/>
          <w:color w:val="000000"/>
          <w:sz w:val="24"/>
          <w:szCs w:val="24"/>
          <w:lang w:val="fr-FR"/>
        </w:rPr>
        <w:t xml:space="preserve"> </w:t>
      </w:r>
      <w:r>
        <w:rPr>
          <w:rFonts w:hint="default" w:ascii="Times New Roman" w:hAnsi="Times New Roman" w:eastAsia="Times New Roman" w:cs="Times New Roman"/>
          <w:b w:val="0"/>
          <w:bCs/>
          <w:color w:val="000000"/>
          <w:sz w:val="24"/>
          <w:szCs w:val="24"/>
        </w:rPr>
        <w:t>MMR</w:t>
      </w:r>
      <w:r>
        <w:rPr>
          <w:rFonts w:hint="default" w:ascii="Times New Roman" w:hAnsi="Times New Roman" w:eastAsia="Times New Roman" w:cs="Times New Roman"/>
          <w:b w:val="0"/>
          <w:bCs/>
          <w:color w:val="000000"/>
          <w:sz w:val="24"/>
          <w:szCs w:val="24"/>
          <w:vertAlign w:val="superscript"/>
        </w:rPr>
        <w:t>4</w:t>
      </w:r>
      <w:r>
        <w:rPr>
          <w:rFonts w:hint="default" w:ascii="Times New Roman" w:hAnsi="Times New Roman" w:eastAsia="Times New Roman" w:cs="Times New Roman"/>
          <w:b w:val="0"/>
          <w:bCs/>
          <w:color w:val="000000"/>
          <w:sz w:val="24"/>
          <w:szCs w:val="24"/>
        </w:rPr>
        <w:t>, Diallo MA</w:t>
      </w:r>
      <w:r>
        <w:rPr>
          <w:rFonts w:hint="default" w:ascii="Times New Roman" w:hAnsi="Times New Roman" w:eastAsia="Times New Roman" w:cs="Times New Roman"/>
          <w:b w:val="0"/>
          <w:bCs/>
          <w:color w:val="000000"/>
          <w:sz w:val="24"/>
          <w:szCs w:val="24"/>
          <w:vertAlign w:val="superscript"/>
        </w:rPr>
        <w:t>1</w:t>
      </w:r>
      <w:r>
        <w:rPr>
          <w:rFonts w:hint="default" w:ascii="Times New Roman" w:hAnsi="Times New Roman" w:eastAsia="Times New Roman" w:cs="Times New Roman"/>
          <w:b w:val="0"/>
          <w:bCs/>
          <w:color w:val="000000"/>
          <w:sz w:val="24"/>
          <w:szCs w:val="24"/>
        </w:rPr>
        <w:t>, Camara</w:t>
      </w:r>
      <w:r>
        <w:rPr>
          <w:rFonts w:hint="default" w:ascii="Times New Roman" w:hAnsi="Times New Roman" w:eastAsia="Times New Roman" w:cs="Times New Roman"/>
          <w:b w:val="0"/>
          <w:bCs/>
          <w:color w:val="000000"/>
          <w:sz w:val="24"/>
          <w:szCs w:val="24"/>
          <w:lang w:val="fr-FR"/>
        </w:rPr>
        <w:t xml:space="preserve"> </w:t>
      </w:r>
      <w:r>
        <w:rPr>
          <w:rFonts w:hint="default" w:ascii="Times New Roman" w:hAnsi="Times New Roman" w:eastAsia="Times New Roman" w:cs="Times New Roman"/>
          <w:b w:val="0"/>
          <w:bCs/>
          <w:color w:val="000000"/>
          <w:sz w:val="24"/>
          <w:szCs w:val="24"/>
        </w:rPr>
        <w:t>A</w:t>
      </w:r>
      <w:r>
        <w:rPr>
          <w:rFonts w:hint="default" w:ascii="Times New Roman" w:hAnsi="Times New Roman" w:eastAsia="Times New Roman" w:cs="Times New Roman"/>
          <w:b w:val="0"/>
          <w:bCs/>
          <w:color w:val="000000"/>
          <w:sz w:val="24"/>
          <w:szCs w:val="24"/>
          <w:vertAlign w:val="superscript"/>
        </w:rPr>
        <w:t>1</w:t>
      </w:r>
      <w:r>
        <w:rPr>
          <w:rFonts w:hint="default" w:ascii="Times New Roman" w:hAnsi="Times New Roman" w:eastAsia="Times New Roman" w:cs="Times New Roman"/>
          <w:b w:val="0"/>
          <w:bCs/>
          <w:color w:val="000000"/>
          <w:sz w:val="24"/>
          <w:szCs w:val="24"/>
        </w:rPr>
        <w:t>, Cisse A</w:t>
      </w:r>
      <w:r>
        <w:rPr>
          <w:rFonts w:hint="default" w:ascii="Times New Roman" w:hAnsi="Times New Roman" w:eastAsia="Times New Roman" w:cs="Times New Roman"/>
          <w:b w:val="0"/>
          <w:bCs/>
          <w:color w:val="000000"/>
          <w:sz w:val="24"/>
          <w:szCs w:val="24"/>
          <w:vertAlign w:val="superscript"/>
        </w:rPr>
        <w:t>5</w:t>
      </w:r>
      <w:r>
        <w:rPr>
          <w:rFonts w:hint="default" w:ascii="Times New Roman" w:hAnsi="Times New Roman" w:eastAsia="Times New Roman" w:cs="Times New Roman"/>
          <w:b w:val="0"/>
          <w:bCs/>
          <w:color w:val="000000"/>
          <w:sz w:val="24"/>
          <w:szCs w:val="24"/>
        </w:rPr>
        <w:t>, Sacko S</w:t>
      </w:r>
      <w:r>
        <w:rPr>
          <w:rFonts w:hint="default" w:ascii="Times New Roman" w:hAnsi="Times New Roman" w:eastAsia="Times New Roman" w:cs="Times New Roman"/>
          <w:b w:val="0"/>
          <w:bCs/>
          <w:color w:val="000000"/>
          <w:sz w:val="24"/>
          <w:szCs w:val="24"/>
          <w:vertAlign w:val="superscript"/>
        </w:rPr>
        <w:t>1</w:t>
      </w:r>
      <w:r>
        <w:rPr>
          <w:rFonts w:hint="default" w:ascii="Times New Roman" w:hAnsi="Times New Roman" w:eastAsia="Times New Roman" w:cs="Times New Roman"/>
          <w:b w:val="0"/>
          <w:bCs/>
          <w:color w:val="000000"/>
          <w:sz w:val="24"/>
          <w:szCs w:val="24"/>
        </w:rPr>
        <w:t>, Diallo MG</w:t>
      </w:r>
      <w:r>
        <w:rPr>
          <w:rFonts w:hint="default" w:ascii="Times New Roman" w:hAnsi="Times New Roman" w:eastAsia="Times New Roman" w:cs="Times New Roman"/>
          <w:b w:val="0"/>
          <w:bCs/>
          <w:color w:val="000000"/>
          <w:sz w:val="24"/>
          <w:szCs w:val="24"/>
          <w:vertAlign w:val="superscript"/>
        </w:rPr>
        <w:t>1</w:t>
      </w:r>
      <w:r>
        <w:rPr>
          <w:rFonts w:hint="default" w:ascii="Times New Roman" w:hAnsi="Times New Roman" w:eastAsia="Times New Roman" w:cs="Times New Roman"/>
          <w:b w:val="0"/>
          <w:bCs/>
          <w:color w:val="000000"/>
          <w:sz w:val="24"/>
          <w:szCs w:val="24"/>
        </w:rPr>
        <w:t>, Keïta R</w:t>
      </w:r>
      <w:r>
        <w:rPr>
          <w:rFonts w:hint="default" w:ascii="Times New Roman" w:hAnsi="Times New Roman" w:eastAsia="Times New Roman" w:cs="Times New Roman"/>
          <w:b w:val="0"/>
          <w:bCs/>
          <w:color w:val="000000"/>
          <w:sz w:val="24"/>
          <w:szCs w:val="24"/>
          <w:vertAlign w:val="superscript"/>
        </w:rPr>
        <w:t>6</w:t>
      </w:r>
      <w:r>
        <w:rPr>
          <w:rFonts w:hint="default" w:ascii="Times New Roman" w:hAnsi="Times New Roman" w:eastAsia="Times New Roman" w:cs="Times New Roman"/>
          <w:b w:val="0"/>
          <w:bCs/>
          <w:color w:val="000000"/>
          <w:sz w:val="24"/>
          <w:szCs w:val="24"/>
        </w:rPr>
        <w:t>, Kaman MC</w:t>
      </w:r>
      <w:r>
        <w:rPr>
          <w:rFonts w:hint="default" w:ascii="Times New Roman" w:hAnsi="Times New Roman" w:eastAsia="Times New Roman" w:cs="Times New Roman"/>
          <w:b w:val="0"/>
          <w:bCs/>
          <w:color w:val="000000"/>
          <w:sz w:val="24"/>
          <w:szCs w:val="24"/>
          <w:vertAlign w:val="superscript"/>
        </w:rPr>
        <w:t>1</w:t>
      </w:r>
    </w:p>
    <w:tbl>
      <w:tblPr>
        <w:tblStyle w:val="6"/>
        <w:tblW w:w="10173" w:type="dxa"/>
        <w:tblInd w:w="0" w:type="dxa"/>
        <w:tblLayout w:type="fixed"/>
        <w:tblCellMar>
          <w:top w:w="0" w:type="dxa"/>
          <w:left w:w="108" w:type="dxa"/>
          <w:bottom w:w="0" w:type="dxa"/>
          <w:right w:w="108" w:type="dxa"/>
        </w:tblCellMar>
      </w:tblPr>
      <w:tblGrid>
        <w:gridCol w:w="4034"/>
        <w:gridCol w:w="6139"/>
      </w:tblGrid>
      <w:tr>
        <w:tblPrEx>
          <w:tblLayout w:type="fixed"/>
          <w:tblCellMar>
            <w:top w:w="0" w:type="dxa"/>
            <w:left w:w="108" w:type="dxa"/>
            <w:bottom w:w="0" w:type="dxa"/>
            <w:right w:w="108" w:type="dxa"/>
          </w:tblCellMar>
        </w:tblPrEx>
        <w:trPr>
          <w:trHeight w:val="158" w:hRule="atLeast"/>
        </w:trPr>
        <w:tc>
          <w:tcPr>
            <w:tcW w:w="4034" w:type="dxa"/>
          </w:tcPr>
          <w:p>
            <w:pPr>
              <w:spacing w:after="0" w:line="240" w:lineRule="auto"/>
              <w:rPr>
                <w:b/>
                <w:bCs/>
                <w:color w:val="365F91"/>
                <w:sz w:val="20"/>
                <w:szCs w:val="18"/>
              </w:rPr>
            </w:pPr>
          </w:p>
        </w:tc>
        <w:tc>
          <w:tcPr>
            <w:tcW w:w="6139"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4034"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144145</wp:posOffset>
                      </wp:positionV>
                      <wp:extent cx="2279015" cy="4306570"/>
                      <wp:effectExtent l="0" t="0" r="6985" b="17780"/>
                      <wp:wrapNone/>
                      <wp:docPr id="8" name="Zone de texte 8"/>
                      <wp:cNvGraphicFramePr/>
                      <a:graphic xmlns:a="http://schemas.openxmlformats.org/drawingml/2006/main">
                        <a:graphicData uri="http://schemas.microsoft.com/office/word/2010/wordprocessingShape">
                          <wps:wsp>
                            <wps:cNvSpPr txBox="1">
                              <a:spLocks noChangeArrowheads="1"/>
                            </wps:cNvSpPr>
                            <wps:spPr bwMode="auto">
                              <a:xfrm>
                                <a:off x="0" y="0"/>
                                <a:ext cx="2279015" cy="4306570"/>
                              </a:xfrm>
                              <a:prstGeom prst="rect">
                                <a:avLst/>
                              </a:prstGeom>
                              <a:solidFill>
                                <a:srgbClr val="FFFFFF"/>
                              </a:solidFill>
                              <a:ln>
                                <a:noFill/>
                              </a:ln>
                              <a:effectLst/>
                            </wps:spPr>
                            <wps:txb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ORL-CCF, Hôpital National Donka, CHU de Conakry</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ORL-CCF, Hôpital de Référence de Niamey</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d’ORL-CCF Hôpital Régional de Kankan</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d’ORL-CCF Hôpital Régional de Mamou</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d’ORL-CCF Hôpital Régional de Labé</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Unité d’ORL-CCF Hôpital Régional de N’Zérékoré</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Abdoulaye KEÏTA</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"mailto:abdoulayeorl@gmail.com/"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color w:val="0000FF"/>
                                      <w:sz w:val="18"/>
                                      <w:szCs w:val="18"/>
                                      <w:u w:val="single"/>
                                    </w:rPr>
                                    <w:t>abdoulayeorl@gmail.com</w:t>
                                  </w:r>
                                  <w:r>
                                    <w:rPr>
                                      <w:rFonts w:hint="default" w:ascii="Times New Roman" w:hAnsi="Times New Roman" w:eastAsia="Times New Roman" w:cs="Times New Roman"/>
                                      <w:color w:val="0000FF"/>
                                      <w:sz w:val="18"/>
                                      <w:szCs w:val="18"/>
                                      <w:u w:val="single"/>
                                      <w:lang w:val="fr-FR"/>
                                    </w:rPr>
                                    <w:t xml:space="preserve"> </w:t>
                                  </w:r>
                                  <w:r>
                                    <w:rPr>
                                      <w:rFonts w:hint="default" w:ascii="Times New Roman" w:hAnsi="Times New Roman" w:eastAsia="Times New Roman" w:cs="Times New Roman"/>
                                      <w:color w:val="0000FF"/>
                                      <w:sz w:val="18"/>
                                      <w:szCs w:val="18"/>
                                      <w:u w:val="single"/>
                                    </w:rPr>
                                    <w:t>/</w:t>
                                  </w:r>
                                  <w:r>
                                    <w:rPr>
                                      <w:rFonts w:hint="default" w:ascii="Times New Roman" w:hAnsi="Times New Roman" w:eastAsia="Times New Roman" w:cs="Times New Roman"/>
                                      <w:color w:val="0000FF"/>
                                      <w:sz w:val="18"/>
                                      <w:szCs w:val="18"/>
                                      <w:u w:val="single"/>
                                    </w:rPr>
                                    <w:fldChar w:fldCharType="end"/>
                                  </w:r>
                                  <w:r>
                                    <w:rPr>
                                      <w:rFonts w:hint="default" w:ascii="Times New Roman" w:hAnsi="Times New Roman" w:eastAsia="Times New Roman" w:cs="Times New Roman"/>
                                      <w:color w:val="0000FF"/>
                                      <w:sz w:val="18"/>
                                      <w:szCs w:val="18"/>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"mailto:abdoulke@yahoo.fr"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color w:val="0000FF"/>
                                      <w:sz w:val="18"/>
                                      <w:szCs w:val="18"/>
                                      <w:u w:val="single"/>
                                    </w:rPr>
                                    <w:t>abdoulke@yahoo.fr</w:t>
                                  </w:r>
                                  <w:r>
                                    <w:rPr>
                                      <w:rFonts w:hint="default" w:ascii="Times New Roman" w:hAnsi="Times New Roman" w:eastAsia="Times New Roman" w:cs="Times New Roman"/>
                                      <w:color w:val="0000FF"/>
                                      <w:sz w:val="18"/>
                                      <w:szCs w:val="18"/>
                                      <w:u w:val="single"/>
                                    </w:rPr>
                                    <w:fldChar w:fldCharType="end"/>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234 Dixinn Hôpital Donka</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(+ 224) 622 44 22 71</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Corps étrangers œsophagiens, Sténose caustique, Prise en charge, Afrique subsaharien</w:t>
                                  </w:r>
                                  <w:r>
                                    <w:rPr>
                                      <w:rFonts w:hint="default" w:ascii="Times New Roman" w:hAnsi="Times New Roman"/>
                                      <w:sz w:val="18"/>
                                      <w:szCs w:val="20"/>
                                      <w:lang w:val="fr-FR"/>
                                    </w:rPr>
                                    <w:t>ne.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cs="Times New Roman"/>
                                      <w:sz w:val="18"/>
                                      <w:szCs w:val="18"/>
                                    </w:rPr>
                                    <w:t>Esophageal foreign bodies, Caustic stenosis, Management, Sub-Saharan Africa</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339.1pt;width:179.45pt;z-index:251666432;mso-width-relative:page;mso-height-relative:page;" fillcolor="#FFFFFF" filled="t" stroked="f" coordsize="21600,21600" o:gfxdata="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2eDC9cAAAAIAQAADwAAAAAAAAABACAAAAAi&#10;AAAAZHJzL2Rvd25yZXYueG1sUEsBAhQAFAAAAAgAh07iQGFu2oULAgAAAwQAAA4AAAAAAAAAAQAg&#10;AAAAJgEAAGRycy9lMm9Eb2MueG1sUEsFBgAAAAAGAAYAWQEAAKMFAAAAAA==&#10;">
                      <v:fill on="t" focussize="0,0"/>
                      <v:stroke on="f"/>
                      <v:imagedata o:title=""/>
                      <o:lock v:ext="edit" aspectratio="f"/>
                      <v:textbo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ORL-CCF, Hôpital National Donka, CHU de Conakry</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ORL-CCF, Hôpital de Référence de Niamey</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d’ORL-CCF Hôpital Régional de Kankan</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d’ORL-CCF Hôpital Régional de Mamou</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d’ORL-CCF Hôpital Régional de Labé</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Unité d’ORL-CCF Hôpital Régional de N’Zérékoré</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Abdoulaye KEÏTA</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"mailto:abdoulayeorl@gmail.com/"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color w:val="0000FF"/>
                                <w:sz w:val="18"/>
                                <w:szCs w:val="18"/>
                                <w:u w:val="single"/>
                              </w:rPr>
                              <w:t>abdoulayeorl@gmail.com</w:t>
                            </w:r>
                            <w:r>
                              <w:rPr>
                                <w:rFonts w:hint="default" w:ascii="Times New Roman" w:hAnsi="Times New Roman" w:eastAsia="Times New Roman" w:cs="Times New Roman"/>
                                <w:color w:val="0000FF"/>
                                <w:sz w:val="18"/>
                                <w:szCs w:val="18"/>
                                <w:u w:val="single"/>
                                <w:lang w:val="fr-FR"/>
                              </w:rPr>
                              <w:t xml:space="preserve"> </w:t>
                            </w:r>
                            <w:r>
                              <w:rPr>
                                <w:rFonts w:hint="default" w:ascii="Times New Roman" w:hAnsi="Times New Roman" w:eastAsia="Times New Roman" w:cs="Times New Roman"/>
                                <w:color w:val="0000FF"/>
                                <w:sz w:val="18"/>
                                <w:szCs w:val="18"/>
                                <w:u w:val="single"/>
                              </w:rPr>
                              <w:t>/</w:t>
                            </w:r>
                            <w:r>
                              <w:rPr>
                                <w:rFonts w:hint="default" w:ascii="Times New Roman" w:hAnsi="Times New Roman" w:eastAsia="Times New Roman" w:cs="Times New Roman"/>
                                <w:color w:val="0000FF"/>
                                <w:sz w:val="18"/>
                                <w:szCs w:val="18"/>
                                <w:u w:val="single"/>
                              </w:rPr>
                              <w:fldChar w:fldCharType="end"/>
                            </w:r>
                            <w:r>
                              <w:rPr>
                                <w:rFonts w:hint="default" w:ascii="Times New Roman" w:hAnsi="Times New Roman" w:eastAsia="Times New Roman" w:cs="Times New Roman"/>
                                <w:color w:val="0000FF"/>
                                <w:sz w:val="18"/>
                                <w:szCs w:val="18"/>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"mailto:abdoulke@yahoo.fr" </w:instrText>
                            </w:r>
                            <w:r>
                              <w:rPr>
                                <w:rFonts w:hint="default" w:ascii="Times New Roman" w:hAnsi="Times New Roman" w:cs="Times New Roman"/>
                                <w:sz w:val="18"/>
                                <w:szCs w:val="18"/>
                              </w:rPr>
                              <w:fldChar w:fldCharType="separate"/>
                            </w:r>
                            <w:r>
                              <w:rPr>
                                <w:rFonts w:hint="default" w:ascii="Times New Roman" w:hAnsi="Times New Roman" w:eastAsia="Times New Roman" w:cs="Times New Roman"/>
                                <w:color w:val="0000FF"/>
                                <w:sz w:val="18"/>
                                <w:szCs w:val="18"/>
                                <w:u w:val="single"/>
                              </w:rPr>
                              <w:t>abdoulke@yahoo.fr</w:t>
                            </w:r>
                            <w:r>
                              <w:rPr>
                                <w:rFonts w:hint="default" w:ascii="Times New Roman" w:hAnsi="Times New Roman" w:eastAsia="Times New Roman" w:cs="Times New Roman"/>
                                <w:color w:val="0000FF"/>
                                <w:sz w:val="18"/>
                                <w:szCs w:val="18"/>
                                <w:u w:val="single"/>
                              </w:rPr>
                              <w:fldChar w:fldCharType="end"/>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234 Dixinn Hôpital Donka</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(+ 224) 622 44 22 71</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Corps étrangers œsophagiens, Sténose caustique, Prise en charge, Afrique subsaharien</w:t>
                            </w:r>
                            <w:r>
                              <w:rPr>
                                <w:rFonts w:hint="default" w:ascii="Times New Roman" w:hAnsi="Times New Roman"/>
                                <w:sz w:val="18"/>
                                <w:szCs w:val="20"/>
                                <w:lang w:val="fr-FR"/>
                              </w:rPr>
                              <w:t>ne.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cs="Times New Roman"/>
                                <w:sz w:val="18"/>
                                <w:szCs w:val="18"/>
                              </w:rPr>
                              <w:t>Esophageal foreign bodies, Caustic stenosis, Management, Sub-Saharan Africa</w:t>
                            </w:r>
                            <w:r>
                              <w:rPr>
                                <w:rFonts w:hint="default" w:ascii="Times New Roman" w:hAnsi="Times New Roman"/>
                                <w:sz w:val="18"/>
                                <w:szCs w:val="20"/>
                                <w:lang w:val="fr-FR"/>
                              </w:rPr>
                              <w:t>.</w:t>
                            </w:r>
                          </w:p>
                        </w:txbxContent>
                      </v:textbox>
                    </v:shape>
                  </w:pict>
                </mc:Fallback>
              </mc:AlternateContent>
            </w:r>
          </w:p>
        </w:tc>
        <w:tc>
          <w:tcPr>
            <w:tcW w:w="6139"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209" w:hRule="atLeast"/>
        </w:trPr>
        <w:tc>
          <w:tcPr>
            <w:tcW w:w="4034" w:type="dxa"/>
            <w:vMerge w:val="continue"/>
          </w:tcPr>
          <w:p>
            <w:pPr>
              <w:rPr>
                <w:b/>
                <w:bCs/>
                <w:color w:val="365F91"/>
                <w:sz w:val="20"/>
                <w:szCs w:val="18"/>
                <w:vertAlign w:val="superscript"/>
              </w:rPr>
            </w:pPr>
          </w:p>
        </w:tc>
        <w:tc>
          <w:tcPr>
            <w:tcW w:w="6139" w:type="dxa"/>
          </w:tcPr>
          <w:p>
            <w:pPr>
              <w:spacing w:after="0" w:line="240" w:lineRule="auto"/>
              <w:jc w:val="both"/>
              <w:rPr>
                <w:rFonts w:ascii="Times New Roman" w:hAnsi="Times New Roman"/>
                <w:sz w:val="20"/>
                <w:szCs w:val="18"/>
                <w:lang w:val="en-US" w:bidi="fr-FR"/>
              </w:rPr>
            </w:pPr>
            <w:r>
              <w:rPr>
                <w:rFonts w:hint="default" w:ascii="Times New Roman" w:hAnsi="Times New Roman"/>
                <w:sz w:val="18"/>
                <w:szCs w:val="16"/>
                <w:lang w:val="en-US" w:bidi="fr-FR"/>
              </w:rPr>
              <w:t>Le corps étranger sur sténose œsophagienne, constitue une urgence. Cette complication redoutable, pose des problèmes de prise en charge. Le but était de partager notre expérience par rapport à ces 3 cas de corps étrangers œsophagiens sur sténose caustique liée à notre contexte. Nous rapportons trois cas de corps étrangers œsophagiens sur sténose d’origine caustique. L’ingestion des corps étrangers (deux nérés et un morceau de viande) s’est faite au décours du repas. Tous reçus dans un contexte d’urgence. Les enfants ont présenté une déshydratation modérée à sévère sur dénutrition. Le diagnostic a été confirmé en per opératoire suivi de l’extraction du corps étranger. Des dilatations furent réalisées chez tous les patients. Les suites opératoires ont été simples. Le suivi a noté une amélioration considérable de la dysphagie. Les corps étrangers œsophagiens sur sténose caustique sont une entité rare dans notre contexte. Ils potentialisent l’aggravation et le pronostic vital des patients. C’est pourquoi, nous attirons l’attention des praticiens ORL sur leur prise en charge précoce.</w:t>
            </w:r>
          </w:p>
        </w:tc>
      </w:tr>
      <w:tr>
        <w:tblPrEx>
          <w:tblLayout w:type="fixed"/>
          <w:tblCellMar>
            <w:top w:w="0" w:type="dxa"/>
            <w:left w:w="108" w:type="dxa"/>
            <w:bottom w:w="0" w:type="dxa"/>
            <w:right w:w="108" w:type="dxa"/>
          </w:tblCellMar>
        </w:tblPrEx>
        <w:trPr>
          <w:trHeight w:val="184" w:hRule="atLeast"/>
        </w:trPr>
        <w:tc>
          <w:tcPr>
            <w:tcW w:w="4034" w:type="dxa"/>
            <w:vMerge w:val="restart"/>
            <w:shd w:val="clear" w:color="auto" w:fill="D3DFEE"/>
          </w:tcPr>
          <w:p>
            <w:pPr>
              <w:rPr>
                <w:b/>
                <w:bCs/>
                <w:color w:val="365F91"/>
                <w:sz w:val="20"/>
                <w:szCs w:val="18"/>
                <w:vertAlign w:val="superscript"/>
                <w:lang w:val="en-US"/>
              </w:rPr>
            </w:pPr>
          </w:p>
        </w:tc>
        <w:tc>
          <w:tcPr>
            <w:tcW w:w="6139"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502" w:hRule="atLeast"/>
        </w:trPr>
        <w:tc>
          <w:tcPr>
            <w:tcW w:w="4034" w:type="dxa"/>
            <w:vMerge w:val="continue"/>
          </w:tcPr>
          <w:p>
            <w:pPr>
              <w:rPr>
                <w:b/>
                <w:bCs/>
                <w:color w:val="365F91"/>
                <w:sz w:val="20"/>
                <w:szCs w:val="18"/>
                <w:vertAlign w:val="superscript"/>
              </w:rPr>
            </w:pPr>
          </w:p>
        </w:tc>
        <w:tc>
          <w:tcPr>
            <w:tcW w:w="6139" w:type="dxa"/>
          </w:tcPr>
          <w:p>
            <w:pPr>
              <w:spacing w:after="0" w:line="240" w:lineRule="auto"/>
              <w:jc w:val="both"/>
              <w:rPr>
                <w:rFonts w:ascii="Times New Roman" w:hAnsi="Times New Roman"/>
                <w:strike/>
                <w:sz w:val="18"/>
                <w:szCs w:val="16"/>
              </w:rPr>
            </w:pPr>
            <w:r>
              <w:rPr>
                <w:rFonts w:hint="default" w:ascii="Times New Roman" w:hAnsi="Times New Roman"/>
                <w:strike w:val="0"/>
                <w:sz w:val="18"/>
                <w:szCs w:val="16"/>
              </w:rPr>
              <w:t>The foreign body on esophageal stenosis is an emergency. This formidable complication poses management problems. The aim was to share our experience in relation to these 3 cases of esophageal foreign bodies on caustic stenosis related to our context. We report three cases of esophageal foreign bodies in stenosis of caustic origin. The ingestion of foreign bodies (two néré and a piece of meat) occurred during the meal. All received in an emergency context. The children presented moderate to severe dehydration due to undernutrition. The diagnosis was confirmed intraoperatively followed by extraction of the foreign body. Dilations were performed in all patients. The operative consequences were simple. Follow-up noted considerable improvement in dysphagia. Esophageal foreign bodies on caustic stenosis are a rare entity in our context. They potentiate the aggravation and the vital prognosis of the patients. This is why we draw the attention of ENT practitioners for their early management.</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sténose œsophagienne acquise est bénigne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vOfufS6z","properties":{"formattedCitation":"[1]","plainCitation":"[1]","noteIndex":0},"citationItems":[{"id":5257,"uris":["http://zotero.org/users/3962825/items/PKLC8HFH"],"uri":["http://zotero.org/users/3962825/items/PKLC8HFH"],"itemData":{"id":5257,"type":"article-journal","abstract":"Aim:\nTo review the patients with esophageal injuries and stenosis with respect to their etiology, clinical course, management, and the lessons learnt from these.\n\nMaterials and Methods:\nRetrospective descriptive observation review of children with esophageal injuries and stenosis admitted between January 2009 and April 2015.\n\nResults:\nEighteen children with esophageal injuries of varied etiology were managed and included, seven with corrosive injury, five with perforation due to various causes, three with mucosal erosion, two with trachea esophageal fistula (TEF), and one wall erosion. The five children who had perforation were due to poststricture dilatation in a child with esophageal atresia and secondary to foreign body impaction or its attempted retrieval in four. Alkaline button cell had caused TEF in two. Three congenital esophageal stenosis (CES) had presented with dysphagia and respiratory tract infection. Six corrosive stricture and two CES responded to dilatation alone and one each of them required surgery. Four of the children with esophageal perforation were detected early and required drainage procedure (1), diversion (1), and medical management (2). Pseudo diverticulum was managed expectantly. Among TEF, one had spontaneous closure and other one was lost to follow-up. All the remaining nineteen children have recovered well except one CES had mortality.\n\nConclusion:\nEsophageal injuries though rare can be potentially devastating and life-threatening.","container-title":"Journal of Indian Association of Pediatric Surgeons","DOI":"10.4103/0971-9261.182589","ISSN":"0971-9261","issue":"3","journalAbbreviation":"J Indian Assoc Pediatr Surg","note":"PMID: 27365909\nPMCID: PMC4895740","page":"139-143","source":"PubMed Central","title":"Review of esophageal injuries and stenosis: Lessons learn and current concepts of management","title-short":"Review of esophageal injuries and stenosis","volume":"21","author":[{"family":"Ramareddy","given":"Raghu Sampalli"},{"family":"Alladi","given":"Anand"}],"issued":{"date-parts":[["2016"]]}}}],"schema":"https://github.com/citation-style-language/schema/raw/master/csl-citation.json"}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Le corps étranger sur sténose œsophagienne constitue une urgence. Cette complication redoutable pose des problèmes de prise en charge qui varient du traitement conservateur au remplacement œsophagien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PqNYJ2Hu","properties":{"formattedCitation":"[2]","plainCitation":"[2]","noteIndex":0},"citationItems":[{"id":5260,"uris":["http://zotero.org/users/3962825/items/KGK4TCXR"],"uri":["http://zotero.org/users/3962825/items/KGK4TCXR"],"itemData":{"id":5260,"type":"article-journal","abstract":"Introduction\nImpacted foreign bodies in the esophagus have the potential to cause serious complications. Ingested sharp objects carry the risk of acute complications as: perforation, acute mediastinitis, and acute bleeding. Rarely, such foreign bodies might migrate through the esophageal wall and present as chronic esophageal foreign body.\nCase presentation\nWe present a case of a 36-month-old girl presented with solid food dysphagia and regurgitation proved to be secondary to esophageal stricture after 26 months of accidental ingestion of aluminum can tab which has migrated through the wall of the upper esophagus into the mediastinum. After two trials of endoscopic treatment; she underwent thoracotomy and partial esophagectomy. Multiple trials of dilation and Mitomycin C injection were followed because of re-stricture.\nConclusion\nForeign body impaction or secondary stricture needs to be considered in the differential diagnosis of children presenting with new onset dysphagia and regurgitation. Metallic Foreign body might be even radiolucent. Practitioners should keep a high index of suspicion for a retained esophageal FB in the child with gastrointestinal or respiratory symptoms that do not respond to standard therapy.","container-title":"Annals of Medicine and Surgery","DOI":"10.1016/j.amsu.2019.07.028","ISSN":"2049-0801","journalAbbreviation":"Annals of Medicine and Surgery","language":"en","page":"91-94","source":"ScienceDirect","title":"Ingested sharp foreign body presented as chronic esophageal stricture and inflammatory mediastinal mass for 113 weeks: Case report","title-short":"Ingested sharp foreign body presented as chronic esophageal stricture and inflammatory mediastinal mass for 113 weeks","volume":"45","author":[{"family":"Tashtush","given":"Nour A."},{"family":"Bataineh","given":"Ziad A."},{"family":"Yusef","given":"Dawood H."},{"family":"Al Quran","given":"Thekraiat M."},{"family":"Rousan","given":"Liqa A."},{"family":"Khasawneh","given":"Ruba"},{"family":"Aleshawi","given":"Abdelwahab J."},{"family":"Altamimi","given":"Eyad M."}],"issued":{"date-parts":[["2019",9,1]]}}}],"schema":"https://github.com/citation-style-language/schema/raw/master/csl-citation.json"}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Notre but est de partager notre expérience par rapport à ces 3 cas de corps étrangers œsophagiens sur sténose caustique </w:t>
      </w:r>
      <w:r>
        <w:rPr>
          <w:rFonts w:hint="default" w:ascii="Times New Roman" w:hAnsi="Times New Roman" w:cs="Times New Roman"/>
          <w:sz w:val="20"/>
          <w:szCs w:val="20"/>
          <w:lang w:val="fr-FR"/>
        </w:rPr>
        <w:t>dans</w:t>
      </w:r>
      <w:r>
        <w:rPr>
          <w:rFonts w:hint="default" w:ascii="Times New Roman" w:hAnsi="Times New Roman" w:cs="Times New Roman"/>
          <w:sz w:val="20"/>
          <w:szCs w:val="20"/>
        </w:rPr>
        <w:t xml:space="preserve"> notre contexte.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rPr>
        <w:t>OBSERVATION</w:t>
      </w:r>
      <w:r>
        <w:rPr>
          <w:rFonts w:hint="default" w:ascii="Times New Roman" w:hAnsi="Times New Roman" w:cs="Times New Roman"/>
          <w:b/>
          <w:sz w:val="20"/>
          <w:szCs w:val="20"/>
          <w:lang w:val="fr-FR"/>
        </w:rPr>
        <w: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lang w:val="fr-FR"/>
        </w:rPr>
        <w:t>Cas n</w:t>
      </w:r>
      <w:r>
        <w:rPr>
          <w:rFonts w:hint="default" w:ascii="Calibri" w:hAnsi="Calibri" w:cs="Calibri"/>
          <w:b/>
          <w:sz w:val="20"/>
          <w:szCs w:val="20"/>
          <w:lang w:val="fr-FR"/>
        </w:rPr>
        <w:t>°</w:t>
      </w:r>
      <w:r>
        <w:rPr>
          <w:rFonts w:hint="default" w:ascii="Times New Roman" w:hAnsi="Times New Roman" w:cs="Times New Roman"/>
          <w:b/>
          <w:sz w:val="20"/>
          <w:szCs w:val="20"/>
          <w:lang w:val="fr-FR"/>
        </w:rPr>
        <w:t xml:space="preserve">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s’agit d’un garçon de 5 ans et 6 mois, pré-scolaire, résidant en milieu rural. Issu d’une fratrie de 2 enfants avec un antécédent d’ingestion de soude caustique à l’âge d’un an. Il a été reçu dans le service ORL dans un contexte d’urgence pour corps étranger œsophagien.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l’histoire, le début serait brutal et remonterait de 7 jours, marqué par l’ingestion de corps étranger à type de graine de « Néré » selon les parents. Cela aurait entra</w:t>
      </w:r>
      <w:r>
        <w:rPr>
          <w:rFonts w:hint="default" w:ascii="Times New Roman" w:hAnsi="Times New Roman" w:cs="Times New Roman"/>
          <w:sz w:val="20"/>
          <w:szCs w:val="20"/>
          <w:lang w:val="fr-FR"/>
        </w:rPr>
        <w:t>î</w:t>
      </w:r>
      <w:r>
        <w:rPr>
          <w:rFonts w:hint="default" w:ascii="Times New Roman" w:hAnsi="Times New Roman" w:cs="Times New Roman"/>
          <w:sz w:val="20"/>
          <w:szCs w:val="20"/>
        </w:rPr>
        <w:t>né une aphagie et une douleur gutturale. Les parents l’envoyèrent consulter dans une formation sanitaire où une tomodensitométrie cervico-thoracique fut réalisée. C’est à l’issu de ce résultat, qu’il a été référé dans le service pour une meilleure prise en charge.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w:t>
      </w:r>
      <w:r>
        <w:rPr>
          <w:rFonts w:hint="default" w:ascii="Times New Roman" w:hAnsi="Times New Roman" w:cs="Times New Roman"/>
          <w:strike w:val="0"/>
          <w:sz w:val="20"/>
          <w:szCs w:val="20"/>
        </w:rPr>
        <w:t xml:space="preserve"> à</w:t>
      </w:r>
      <w:r>
        <w:rPr>
          <w:rFonts w:hint="default" w:ascii="Times New Roman" w:hAnsi="Times New Roman" w:cs="Times New Roman"/>
          <w:sz w:val="20"/>
          <w:szCs w:val="20"/>
        </w:rPr>
        <w:t xml:space="preserve"> l’entrée a noté un assez bon état général, les téguments et conjonctives moyennement colorés, non dyspnéique, avec une dénutrition et une déshydratation modérées. Température = 38,2</w:t>
      </w:r>
      <w:r>
        <w:rPr>
          <w:rFonts w:hint="default" w:ascii="Calibri" w:hAnsi="Calibri" w:cs="Calibri"/>
          <w:b w:val="0"/>
          <w:bCs/>
          <w:sz w:val="20"/>
          <w:szCs w:val="20"/>
          <w:lang w:val="fr-FR"/>
        </w:rPr>
        <w:t>°</w:t>
      </w:r>
      <w:r>
        <w:rPr>
          <w:rFonts w:hint="default" w:ascii="Times New Roman" w:hAnsi="Times New Roman" w:cs="Times New Roman"/>
          <w:sz w:val="20"/>
          <w:szCs w:val="20"/>
        </w:rPr>
        <w:t>c; Poids = 14 kg; Pouls = 88 pulsation/mn; F</w:t>
      </w:r>
      <w:r>
        <w:rPr>
          <w:rFonts w:hint="default" w:ascii="Times New Roman" w:hAnsi="Times New Roman" w:cs="Times New Roman"/>
          <w:sz w:val="20"/>
          <w:szCs w:val="20"/>
          <w:lang w:val="fr-FR"/>
        </w:rPr>
        <w:t xml:space="preserve">réquence respiratoire </w:t>
      </w:r>
      <w:r>
        <w:rPr>
          <w:rFonts w:hint="default" w:ascii="Times New Roman" w:hAnsi="Times New Roman" w:cs="Times New Roman"/>
          <w:sz w:val="20"/>
          <w:szCs w:val="20"/>
        </w:rPr>
        <w:t>= 20 cycle/mn; Tension artérielle = 105/70 mmHg. A la sphère ORL, on a trouvé une hypersialorrhée, légère congestion de l’oropharynx et douleur à la mobilisation cervicale.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TDM cervico-thoracique (</w:t>
      </w:r>
      <w:r>
        <w:rPr>
          <w:rFonts w:hint="default" w:ascii="Times New Roman" w:hAnsi="Times New Roman" w:cs="Times New Roman"/>
          <w:sz w:val="20"/>
          <w:szCs w:val="20"/>
          <w:lang w:val="fr-FR"/>
        </w:rPr>
        <w:t>F</w:t>
      </w:r>
      <w:r>
        <w:rPr>
          <w:rFonts w:hint="default" w:ascii="Times New Roman" w:hAnsi="Times New Roman" w:cs="Times New Roman"/>
          <w:sz w:val="20"/>
          <w:szCs w:val="20"/>
        </w:rPr>
        <w:t>igure 1) a mis en évidence une stase de l’opacifiant ingéré</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dans le conduit œsophagien, juste en dessous de la bouche de Killian (C7).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diagnostic de corps étranger de l’œsophage cervical fut retenu.</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inline distT="0" distB="0" distL="114300" distR="114300">
                <wp:extent cx="2914650" cy="2623185"/>
                <wp:effectExtent l="0" t="0" r="0" b="5715"/>
                <wp:docPr id="16" name="Zone de texte 16"/>
                <wp:cNvGraphicFramePr/>
                <a:graphic xmlns:a="http://schemas.openxmlformats.org/drawingml/2006/main">
                  <a:graphicData uri="http://schemas.microsoft.com/office/word/2010/wordprocessingShape">
                    <wps:wsp>
                      <wps:cNvSpPr txBox="1"/>
                      <wps:spPr>
                        <a:xfrm>
                          <a:off x="704850" y="2928620"/>
                          <a:ext cx="2914650" cy="26231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1892300" cy="2103120"/>
                                  <wp:effectExtent l="0" t="0" r="12700" b="11430"/>
                                  <wp:docPr id="1" name="Image 1" descr="G:\Xender\ORL Pictures\IMG-20200528-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Xender\ORL Pictures\IMG-20200528-WA0032.jpg"/>
                                          <pic:cNvPicPr>
                                            <a:picLocks noChangeAspect="1" noChangeArrowheads="1"/>
                                          </pic:cNvPicPr>
                                        </pic:nvPicPr>
                                        <pic:blipFill>
                                          <a:blip r:embed="rId7">
                                            <a:extLst>
                                              <a:ext uri="{28A0092B-C50C-407E-A947-70E740481C1C}">
                                                <a14:useLocalDpi xmlns:a14="http://schemas.microsoft.com/office/drawing/2010/main" val="0"/>
                                              </a:ext>
                                            </a:extLst>
                                          </a:blip>
                                          <a:srcRect t="26413" r="11706"/>
                                          <a:stretch>
                                            <a:fillRect/>
                                          </a:stretch>
                                        </pic:blipFill>
                                        <pic:spPr>
                                          <a:xfrm>
                                            <a:off x="0" y="0"/>
                                            <a:ext cx="1892300" cy="210312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ascii="Times New Roman" w:hAnsi="Times New Roman" w:cs="Times New Roman"/>
                                <w:b/>
                                <w:sz w:val="18"/>
                                <w:szCs w:val="18"/>
                                <w:u w:val="single"/>
                              </w:rPr>
                              <w:t>Figure 1</w:t>
                            </w:r>
                            <w:r>
                              <w:rPr>
                                <w:rFonts w:ascii="Times New Roman" w:hAnsi="Times New Roman" w:cs="Times New Roman"/>
                                <w:sz w:val="18"/>
                                <w:szCs w:val="18"/>
                                <w:u w:val="single"/>
                              </w:rPr>
                              <w:t> :</w:t>
                            </w:r>
                            <w:r>
                              <w:rPr>
                                <w:rFonts w:ascii="Times New Roman" w:hAnsi="Times New Roman" w:cs="Times New Roman"/>
                                <w:sz w:val="18"/>
                                <w:szCs w:val="18"/>
                              </w:rPr>
                              <w:t xml:space="preserve"> </w:t>
                            </w:r>
                            <w:r>
                              <w:rPr>
                                <w:rFonts w:hint="default" w:ascii="Times New Roman" w:hAnsi="Times New Roman" w:cs="Times New Roman"/>
                                <w:sz w:val="18"/>
                                <w:szCs w:val="18"/>
                                <w:lang w:val="fr-FR"/>
                              </w:rPr>
                              <w:t>P</w:t>
                            </w:r>
                            <w:r>
                              <w:rPr>
                                <w:rFonts w:ascii="Times New Roman" w:hAnsi="Times New Roman" w:cs="Times New Roman"/>
                                <w:sz w:val="18"/>
                                <w:szCs w:val="18"/>
                              </w:rPr>
                              <w:t>atient ayant un corps étranger en dessous de la bouche de Killian sur sténose caustique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06.55pt;width:229.5pt;" fillcolor="#FFFFFF [3201]" filled="t" stroked="f" coordsize="21600,21600" o:gfxdata="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gO+Y7UAAAACAEAAA8AAAAAAAAAAQAgAAAAIgAAAGRycy9kb3ducmV2LnhtbFBL&#10;AQIUABQAAAAIAIdO4kDJJIUiMwIAAFMEAAAOAAAAAAAAAAEAIAAAACMBAABkcnMvZTJvRG9jLnht&#10;bFBLBQYAAAAABgAGAFkBAADIBQ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1892300" cy="2103120"/>
                            <wp:effectExtent l="0" t="0" r="12700" b="11430"/>
                            <wp:docPr id="1" name="Image 1" descr="G:\Xender\ORL Pictures\IMG-20200528-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Xender\ORL Pictures\IMG-20200528-WA0032.jpg"/>
                                    <pic:cNvPicPr>
                                      <a:picLocks noChangeAspect="1" noChangeArrowheads="1"/>
                                    </pic:cNvPicPr>
                                  </pic:nvPicPr>
                                  <pic:blipFill>
                                    <a:blip r:embed="rId7">
                                      <a:extLst>
                                        <a:ext uri="{28A0092B-C50C-407E-A947-70E740481C1C}">
                                          <a14:useLocalDpi xmlns:a14="http://schemas.microsoft.com/office/drawing/2010/main" val="0"/>
                                        </a:ext>
                                      </a:extLst>
                                    </a:blip>
                                    <a:srcRect t="26413" r="11706"/>
                                    <a:stretch>
                                      <a:fillRect/>
                                    </a:stretch>
                                  </pic:blipFill>
                                  <pic:spPr>
                                    <a:xfrm>
                                      <a:off x="0" y="0"/>
                                      <a:ext cx="1892300" cy="210312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ascii="Times New Roman" w:hAnsi="Times New Roman" w:cs="Times New Roman"/>
                          <w:b/>
                          <w:sz w:val="18"/>
                          <w:szCs w:val="18"/>
                          <w:u w:val="single"/>
                        </w:rPr>
                        <w:t>Figure 1</w:t>
                      </w:r>
                      <w:r>
                        <w:rPr>
                          <w:rFonts w:ascii="Times New Roman" w:hAnsi="Times New Roman" w:cs="Times New Roman"/>
                          <w:sz w:val="18"/>
                          <w:szCs w:val="18"/>
                          <w:u w:val="single"/>
                        </w:rPr>
                        <w:t> :</w:t>
                      </w:r>
                      <w:r>
                        <w:rPr>
                          <w:rFonts w:ascii="Times New Roman" w:hAnsi="Times New Roman" w:cs="Times New Roman"/>
                          <w:sz w:val="18"/>
                          <w:szCs w:val="18"/>
                        </w:rPr>
                        <w:t xml:space="preserve"> </w:t>
                      </w:r>
                      <w:r>
                        <w:rPr>
                          <w:rFonts w:hint="default" w:ascii="Times New Roman" w:hAnsi="Times New Roman" w:cs="Times New Roman"/>
                          <w:sz w:val="18"/>
                          <w:szCs w:val="18"/>
                          <w:lang w:val="fr-FR"/>
                        </w:rPr>
                        <w:t>P</w:t>
                      </w:r>
                      <w:r>
                        <w:rPr>
                          <w:rFonts w:ascii="Times New Roman" w:hAnsi="Times New Roman" w:cs="Times New Roman"/>
                          <w:sz w:val="18"/>
                          <w:szCs w:val="18"/>
                        </w:rPr>
                        <w:t>atient ayant un corps étranger en dessous de la bouche de Killian sur sténose caustique</w:t>
                      </w: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per endoscopie, découverte d’une sténose de la bouche de Killian quasi complète empêchant la progression de l’œsophagoscope et la présence d’un corps étranger siégeant à 15 cm de l’arcade dentaire supérieure</w:t>
      </w:r>
      <w:r>
        <w:rPr>
          <w:rFonts w:hint="default" w:ascii="Times New Roman" w:hAnsi="Times New Roman" w:cs="Times New Roman"/>
          <w:sz w:val="20"/>
          <w:szCs w:val="20"/>
          <w:lang w:val="fr-FR"/>
        </w:rPr>
        <w:t xml:space="preserve"> et </w:t>
      </w:r>
      <w:r>
        <w:rPr>
          <w:rFonts w:hint="default" w:ascii="Times New Roman" w:hAnsi="Times New Roman" w:cs="Times New Roman"/>
          <w:sz w:val="20"/>
          <w:szCs w:val="20"/>
        </w:rPr>
        <w:t>obstruant considérablement la lumière de l’œsophage. L’extraction du corps étranger à type de graine de Néré (figure 2) et une dilatation progressive de l’œsophage à la bougie (numéro 10, 13 et 14) furent réalisées.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Pour les soins post-opératoires, nous avons administré du paracétamol (15mg/Kg/j en 3 prises) et l’amoxicilline (80mg/Kg/j en 2 prises). Il a été réadmis à J</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28 post opératoire, pour une 2</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dilatation œsophagienne (bougie numéro 14, 16 et 18).</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inline distT="0" distB="0" distL="114300" distR="114300">
                <wp:extent cx="2876550" cy="2025650"/>
                <wp:effectExtent l="0" t="0" r="0" b="12700"/>
                <wp:docPr id="17" name="Zone de texte 17"/>
                <wp:cNvGraphicFramePr/>
                <a:graphic xmlns:a="http://schemas.openxmlformats.org/drawingml/2006/main">
                  <a:graphicData uri="http://schemas.microsoft.com/office/word/2010/wordprocessingShape">
                    <wps:wsp>
                      <wps:cNvSpPr txBox="1"/>
                      <wps:spPr>
                        <a:xfrm>
                          <a:off x="704850" y="7442200"/>
                          <a:ext cx="2876550" cy="2025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1755140" cy="1516380"/>
                                  <wp:effectExtent l="0" t="0" r="16510" b="7620"/>
                                  <wp:docPr id="3" name="Image 3" descr="G:\Xender\ORL Pictures\IMG_20190801_20444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G:\Xender\ORL Pictures\IMG_20190801_204447_7.jpg"/>
                                          <pic:cNvPicPr>
                                            <a:picLocks noChangeAspect="1" noChangeArrowheads="1"/>
                                          </pic:cNvPicPr>
                                        </pic:nvPicPr>
                                        <pic:blipFill>
                                          <a:blip r:embed="rId8" cstate="print">
                                            <a:extLst>
                                              <a:ext uri="{28A0092B-C50C-407E-A947-70E740481C1C}">
                                                <a14:useLocalDpi xmlns:a14="http://schemas.microsoft.com/office/drawing/2010/main" val="0"/>
                                              </a:ext>
                                            </a:extLst>
                                          </a:blip>
                                          <a:srcRect l="12174" t="27385" r="10364" b="22407"/>
                                          <a:stretch>
                                            <a:fillRect/>
                                          </a:stretch>
                                        </pic:blipFill>
                                        <pic:spPr>
                                          <a:xfrm>
                                            <a:off x="0" y="0"/>
                                            <a:ext cx="1755140" cy="1516380"/>
                                          </a:xfrm>
                                          <a:prstGeom prst="rect">
                                            <a:avLst/>
                                          </a:prstGeom>
                                          <a:noFill/>
                                          <a:ln>
                                            <a:noFill/>
                                          </a:ln>
                                        </pic:spPr>
                                      </pic:pic>
                                    </a:graphicData>
                                  </a:graphic>
                                </wp:inline>
                              </w:drawing>
                            </w:r>
                          </w:p>
                          <w:p>
                            <w:pPr>
                              <w:jc w:val="center"/>
                              <w:rPr>
                                <w:rFonts w:hint="default" w:ascii="Times New Roman" w:hAnsi="Times New Roman" w:cs="Times New Roman"/>
                                <w:sz w:val="20"/>
                                <w:szCs w:val="20"/>
                                <w:lang w:eastAsia="fr-FR"/>
                              </w:rPr>
                            </w:pPr>
                            <w:r>
                              <w:rPr>
                                <w:rFonts w:ascii="Times New Roman" w:hAnsi="Times New Roman" w:cs="Times New Roman"/>
                                <w:b/>
                                <w:sz w:val="18"/>
                                <w:szCs w:val="18"/>
                                <w:u w:val="single"/>
                              </w:rPr>
                              <w:t>Figure 2</w:t>
                            </w:r>
                            <w:r>
                              <w:rPr>
                                <w:rFonts w:ascii="Times New Roman" w:hAnsi="Times New Roman" w:cs="Times New Roman"/>
                                <w:sz w:val="18"/>
                                <w:szCs w:val="18"/>
                                <w:u w:val="single"/>
                              </w:rPr>
                              <w:t> :</w:t>
                            </w:r>
                            <w:r>
                              <w:rPr>
                                <w:rFonts w:ascii="Times New Roman" w:hAnsi="Times New Roman" w:cs="Times New Roman"/>
                                <w:sz w:val="18"/>
                                <w:szCs w:val="18"/>
                              </w:rPr>
                              <w:t xml:space="preserve"> </w:t>
                            </w:r>
                            <w:r>
                              <w:rPr>
                                <w:rFonts w:hint="default" w:ascii="Times New Roman" w:hAnsi="Times New Roman" w:cs="Times New Roman"/>
                                <w:sz w:val="18"/>
                                <w:szCs w:val="18"/>
                                <w:lang w:val="fr-FR"/>
                              </w:rPr>
                              <w:t>C</w:t>
                            </w:r>
                            <w:r>
                              <w:rPr>
                                <w:rFonts w:ascii="Times New Roman" w:hAnsi="Times New Roman" w:cs="Times New Roman"/>
                                <w:sz w:val="18"/>
                                <w:szCs w:val="18"/>
                              </w:rPr>
                              <w:t>orps étranger à type de graine de Néré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159.5pt;width:226.5pt;" fillcolor="#FFFFFF [3201]" filled="t" stroked="f" coordsize="21600,21600" o:gfxdata="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XEwK9MAAAAIAQAADwAAAAAAAAABACAAAAAiAAAAZHJzL2Rvd25yZXYueG1sUEsBAhQA&#10;FAAAAAgAh07iQN6chUAwAgAAUwQAAA4AAAAAAAAAAQAgAAAAIgEAAGRycy9lMm9Eb2MueG1sUEsF&#10;BgAAAAAGAAYAWQEAAMQFA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1755140" cy="1516380"/>
                            <wp:effectExtent l="0" t="0" r="16510" b="7620"/>
                            <wp:docPr id="3" name="Image 3" descr="G:\Xender\ORL Pictures\IMG_20190801_20444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G:\Xender\ORL Pictures\IMG_20190801_204447_7.jpg"/>
                                    <pic:cNvPicPr>
                                      <a:picLocks noChangeAspect="1" noChangeArrowheads="1"/>
                                    </pic:cNvPicPr>
                                  </pic:nvPicPr>
                                  <pic:blipFill>
                                    <a:blip r:embed="rId8" cstate="print">
                                      <a:extLst>
                                        <a:ext uri="{28A0092B-C50C-407E-A947-70E740481C1C}">
                                          <a14:useLocalDpi xmlns:a14="http://schemas.microsoft.com/office/drawing/2010/main" val="0"/>
                                        </a:ext>
                                      </a:extLst>
                                    </a:blip>
                                    <a:srcRect l="12174" t="27385" r="10364" b="22407"/>
                                    <a:stretch>
                                      <a:fillRect/>
                                    </a:stretch>
                                  </pic:blipFill>
                                  <pic:spPr>
                                    <a:xfrm>
                                      <a:off x="0" y="0"/>
                                      <a:ext cx="1755140" cy="1516380"/>
                                    </a:xfrm>
                                    <a:prstGeom prst="rect">
                                      <a:avLst/>
                                    </a:prstGeom>
                                    <a:noFill/>
                                    <a:ln>
                                      <a:noFill/>
                                    </a:ln>
                                  </pic:spPr>
                                </pic:pic>
                              </a:graphicData>
                            </a:graphic>
                          </wp:inline>
                        </w:drawing>
                      </w:r>
                    </w:p>
                    <w:p>
                      <w:pPr>
                        <w:jc w:val="center"/>
                        <w:rPr>
                          <w:rFonts w:hint="default" w:ascii="Times New Roman" w:hAnsi="Times New Roman" w:cs="Times New Roman"/>
                          <w:sz w:val="20"/>
                          <w:szCs w:val="20"/>
                          <w:lang w:eastAsia="fr-FR"/>
                        </w:rPr>
                      </w:pPr>
                      <w:r>
                        <w:rPr>
                          <w:rFonts w:ascii="Times New Roman" w:hAnsi="Times New Roman" w:cs="Times New Roman"/>
                          <w:b/>
                          <w:sz w:val="18"/>
                          <w:szCs w:val="18"/>
                          <w:u w:val="single"/>
                        </w:rPr>
                        <w:t>Figure 2</w:t>
                      </w:r>
                      <w:r>
                        <w:rPr>
                          <w:rFonts w:ascii="Times New Roman" w:hAnsi="Times New Roman" w:cs="Times New Roman"/>
                          <w:sz w:val="18"/>
                          <w:szCs w:val="18"/>
                          <w:u w:val="single"/>
                        </w:rPr>
                        <w:t> :</w:t>
                      </w:r>
                      <w:r>
                        <w:rPr>
                          <w:rFonts w:ascii="Times New Roman" w:hAnsi="Times New Roman" w:cs="Times New Roman"/>
                          <w:sz w:val="18"/>
                          <w:szCs w:val="18"/>
                        </w:rPr>
                        <w:t xml:space="preserve"> </w:t>
                      </w:r>
                      <w:r>
                        <w:rPr>
                          <w:rFonts w:hint="default" w:ascii="Times New Roman" w:hAnsi="Times New Roman" w:cs="Times New Roman"/>
                          <w:sz w:val="18"/>
                          <w:szCs w:val="18"/>
                          <w:lang w:val="fr-FR"/>
                        </w:rPr>
                        <w:t>C</w:t>
                      </w:r>
                      <w:r>
                        <w:rPr>
                          <w:rFonts w:ascii="Times New Roman" w:hAnsi="Times New Roman" w:cs="Times New Roman"/>
                          <w:sz w:val="18"/>
                          <w:szCs w:val="18"/>
                        </w:rPr>
                        <w:t>orps étranger à type de graine de Néré</w:t>
                      </w: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soins post-opératoires ont été identiques et les suites opératoires secondaires ont été simples. </w:t>
      </w:r>
      <w:r>
        <w:rPr>
          <w:rFonts w:hint="default" w:ascii="Times New Roman" w:hAnsi="Times New Roman" w:cs="Times New Roman"/>
          <w:sz w:val="20"/>
          <w:szCs w:val="20"/>
          <w:lang w:val="fr-FR"/>
        </w:rPr>
        <w:t>Exeat</w:t>
      </w:r>
      <w:r>
        <w:rPr>
          <w:rFonts w:hint="default" w:ascii="Times New Roman" w:hAnsi="Times New Roman" w:cs="Times New Roman"/>
          <w:sz w:val="20"/>
          <w:szCs w:val="20"/>
        </w:rPr>
        <w:t xml:space="preserve"> sous traitement médical (amoxicilline acide clavulanique, paracétamol et pansement gastrique). Le suivi a noté une amélioration de la dysphagie aux solides.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lang w:val="fr-FR"/>
        </w:rPr>
        <w:t>Cas n</w:t>
      </w:r>
      <w:r>
        <w:rPr>
          <w:rFonts w:hint="default" w:ascii="Calibri" w:hAnsi="Calibri" w:cs="Calibri"/>
          <w:b/>
          <w:sz w:val="20"/>
          <w:szCs w:val="20"/>
          <w:lang w:val="fr-FR"/>
        </w:rPr>
        <w:t>°</w:t>
      </w:r>
      <w:r>
        <w:rPr>
          <w:rFonts w:hint="default" w:ascii="Times New Roman" w:hAnsi="Times New Roman" w:cs="Times New Roman"/>
          <w:b/>
          <w:sz w:val="20"/>
          <w:szCs w:val="20"/>
          <w:lang w:val="fr-FR"/>
        </w:rPr>
        <w:t xml:space="preserv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Patiente de 41 ans, gestionnaire, résidant en milieu urbain, avec ATCD d’ingestion de soude caustique à l’enfance. Admise pour ingestion de corps étranger à type de morceau de viande à moins de 24 heure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au cours du repas. Sa symptomatologie a été dominée par l’hypersialorrhée et une odynophagie.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à l’entrée a noté: un bon état général, une bonne coloration des téguments et conjonctives. Tension artérielle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120/70mmg; Température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36,8</w:t>
      </w:r>
      <w:r>
        <w:rPr>
          <w:rFonts w:hint="default" w:ascii="Calibri" w:hAnsi="Calibri" w:cs="Calibri"/>
          <w:b w:val="0"/>
          <w:bCs/>
          <w:sz w:val="20"/>
          <w:szCs w:val="20"/>
          <w:lang w:val="fr-FR"/>
        </w:rPr>
        <w:t>°</w:t>
      </w:r>
      <w:r>
        <w:rPr>
          <w:rFonts w:hint="default" w:ascii="Times New Roman" w:hAnsi="Times New Roman" w:cs="Times New Roman"/>
          <w:sz w:val="20"/>
          <w:szCs w:val="20"/>
        </w:rPr>
        <w:t>c; Pouls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98 b/mn; Poids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65 kg. A la sphère ORL, on notait une hypersialorrhée et une congestion de l’oropharynx.</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Radiographie cervico-thoracique (</w:t>
      </w:r>
      <w:r>
        <w:rPr>
          <w:rFonts w:hint="default" w:ascii="Times New Roman" w:hAnsi="Times New Roman" w:cs="Times New Roman"/>
          <w:sz w:val="20"/>
          <w:szCs w:val="20"/>
          <w:lang w:val="fr-FR"/>
        </w:rPr>
        <w:t>F</w:t>
      </w:r>
      <w:r>
        <w:rPr>
          <w:rFonts w:hint="default" w:ascii="Times New Roman" w:hAnsi="Times New Roman" w:cs="Times New Roman"/>
          <w:sz w:val="20"/>
          <w:szCs w:val="20"/>
        </w:rPr>
        <w:t>igure 3) a retrouvé des signes indirects sans corps étranger radio opaque.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diagnostic de corps étranger œsophagien fut retenu et une indication d’oesophagoscopie au tube rigide fut posée.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inline distT="0" distB="0" distL="114300" distR="114300">
                <wp:extent cx="3060700" cy="2825750"/>
                <wp:effectExtent l="0" t="0" r="6350" b="12700"/>
                <wp:docPr id="18" name="Zone de texte 18"/>
                <wp:cNvGraphicFramePr/>
                <a:graphic xmlns:a="http://schemas.openxmlformats.org/drawingml/2006/main">
                  <a:graphicData uri="http://schemas.microsoft.com/office/word/2010/wordprocessingShape">
                    <wps:wsp>
                      <wps:cNvSpPr txBox="1"/>
                      <wps:spPr>
                        <a:xfrm>
                          <a:off x="3987800" y="4048125"/>
                          <a:ext cx="3060700" cy="282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1737995" cy="2158365"/>
                                  <wp:effectExtent l="0" t="0" r="14605" b="13335"/>
                                  <wp:docPr id="2" name="Image 2" descr="G:\Xender\ORL Pictures\IMG-2020061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G:\Xender\ORL Pictures\IMG-20200615-WA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t="6847"/>
                                          <a:stretch>
                                            <a:fillRect/>
                                          </a:stretch>
                                        </pic:blipFill>
                                        <pic:spPr>
                                          <a:xfrm>
                                            <a:off x="0" y="0"/>
                                            <a:ext cx="1737995" cy="215836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ascii="Times New Roman" w:hAnsi="Times New Roman" w:cs="Times New Roman"/>
                                <w:sz w:val="18"/>
                                <w:szCs w:val="18"/>
                              </w:rPr>
                            </w:pPr>
                            <w:r>
                              <w:rPr>
                                <w:rFonts w:ascii="Times New Roman" w:hAnsi="Times New Roman" w:cs="Times New Roman"/>
                                <w:b/>
                                <w:sz w:val="18"/>
                                <w:szCs w:val="18"/>
                                <w:u w:val="single"/>
                              </w:rPr>
                              <w:t>Figure 3</w:t>
                            </w:r>
                            <w:r>
                              <w:rPr>
                                <w:rFonts w:ascii="Times New Roman" w:hAnsi="Times New Roman" w:cs="Times New Roman"/>
                                <w:sz w:val="18"/>
                                <w:szCs w:val="18"/>
                                <w:u w:val="single"/>
                              </w:rPr>
                              <w:t> :</w:t>
                            </w:r>
                            <w:r>
                              <w:rPr>
                                <w:rFonts w:ascii="Times New Roman" w:hAnsi="Times New Roman" w:cs="Times New Roman"/>
                                <w:sz w:val="18"/>
                                <w:szCs w:val="18"/>
                              </w:rPr>
                              <w:t xml:space="preserve"> Patiente ayant ingéré un morceau de viande et présentant une réduction de la lumière œsophagienne sans image radio-opaque</w:t>
                            </w:r>
                          </w:p>
                          <w:p>
                            <w:pPr>
                              <w:jc w:val="center"/>
                              <w:rPr>
                                <w:rFonts w:hint="default" w:ascii="Times New Roman" w:hAnsi="Times New Roman" w:cs="Times New Roman"/>
                                <w:sz w:val="20"/>
                                <w:szCs w:val="20"/>
                                <w:lang w:eastAsia="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22.5pt;width:241pt;" fillcolor="#FFFFFF [3201]" filled="t" stroked="f" coordsize="21600,21600" o:gfxdata="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atHR9AAAAAGAQAADwAAAAAAAAABACAAAAAiAAAAZHJzL2Rvd25yZXYueG1sUEsB&#10;AhQAFAAAAAgAh07iQCwi9TE2AgAAVAQAAA4AAAAAAAAAAQAgAAAAHwEAAGRycy9lMm9Eb2MueG1s&#10;UEsFBgAAAAAGAAYAWQEAAMcFA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1737995" cy="2158365"/>
                            <wp:effectExtent l="0" t="0" r="14605" b="13335"/>
                            <wp:docPr id="2" name="Image 2" descr="G:\Xender\ORL Pictures\IMG-2020061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G:\Xender\ORL Pictures\IMG-20200615-WA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t="6847"/>
                                    <a:stretch>
                                      <a:fillRect/>
                                    </a:stretch>
                                  </pic:blipFill>
                                  <pic:spPr>
                                    <a:xfrm>
                                      <a:off x="0" y="0"/>
                                      <a:ext cx="1737995" cy="215836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ascii="Times New Roman" w:hAnsi="Times New Roman" w:cs="Times New Roman"/>
                          <w:sz w:val="18"/>
                          <w:szCs w:val="18"/>
                        </w:rPr>
                      </w:pPr>
                      <w:r>
                        <w:rPr>
                          <w:rFonts w:ascii="Times New Roman" w:hAnsi="Times New Roman" w:cs="Times New Roman"/>
                          <w:b/>
                          <w:sz w:val="18"/>
                          <w:szCs w:val="18"/>
                          <w:u w:val="single"/>
                        </w:rPr>
                        <w:t>Figure 3</w:t>
                      </w:r>
                      <w:r>
                        <w:rPr>
                          <w:rFonts w:ascii="Times New Roman" w:hAnsi="Times New Roman" w:cs="Times New Roman"/>
                          <w:sz w:val="18"/>
                          <w:szCs w:val="18"/>
                          <w:u w:val="single"/>
                        </w:rPr>
                        <w:t> :</w:t>
                      </w:r>
                      <w:r>
                        <w:rPr>
                          <w:rFonts w:ascii="Times New Roman" w:hAnsi="Times New Roman" w:cs="Times New Roman"/>
                          <w:sz w:val="18"/>
                          <w:szCs w:val="18"/>
                        </w:rPr>
                        <w:t xml:space="preserve"> Patiente ayant ingéré un morceau de viande et présentant une réduction de la lumière œsophagienne sans image radio-opaque</w:t>
                      </w:r>
                    </w:p>
                    <w:p>
                      <w:pPr>
                        <w:jc w:val="center"/>
                        <w:rPr>
                          <w:rFonts w:hint="default" w:ascii="Times New Roman" w:hAnsi="Times New Roman" w:cs="Times New Roman"/>
                          <w:sz w:val="20"/>
                          <w:szCs w:val="20"/>
                          <w:lang w:eastAsia="fr-FR"/>
                        </w:rPr>
                      </w:pP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En per opératoire, l’exploration a noté la présence d’un corps étranger à type de morceau de viande à 18 cm de l’arcade dentaire supérieure que nous avons extrait à l’aide de la pince à corps étranger. Après l’extraction, nous avions objectivé une sténose serrée à 20 cm de l’arcade dentaire supérieure dont nous avions réalisé un bougirage progressif délicatement jusqu’à la bougie N°30.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Les s</w:t>
      </w:r>
      <w:r>
        <w:rPr>
          <w:rFonts w:hint="default" w:ascii="Times New Roman" w:hAnsi="Times New Roman" w:cs="Times New Roman"/>
          <w:sz w:val="20"/>
          <w:szCs w:val="20"/>
        </w:rPr>
        <w:t>oins post opératoire</w:t>
      </w:r>
      <w:r>
        <w:rPr>
          <w:rFonts w:hint="default" w:ascii="Times New Roman" w:hAnsi="Times New Roman" w:cs="Times New Roman"/>
          <w:sz w:val="20"/>
          <w:szCs w:val="20"/>
          <w:lang w:val="fr-FR"/>
        </w:rPr>
        <w:t xml:space="preserve">s ont consisté en l’administration de </w:t>
      </w:r>
      <w:r>
        <w:rPr>
          <w:rFonts w:hint="default" w:ascii="Times New Roman" w:hAnsi="Times New Roman" w:cs="Times New Roman"/>
          <w:sz w:val="20"/>
          <w:szCs w:val="20"/>
        </w:rPr>
        <w:t xml:space="preserve">paracétamol (1g/6h pendant 4 jours), amoxicilline (1g/8h pendant 8 jours), pansement gastrique. Son </w:t>
      </w:r>
      <w:r>
        <w:rPr>
          <w:rFonts w:hint="default" w:ascii="Times New Roman" w:hAnsi="Times New Roman" w:cs="Times New Roman"/>
          <w:sz w:val="20"/>
          <w:szCs w:val="20"/>
          <w:lang w:val="fr-FR"/>
        </w:rPr>
        <w:t>exeat</w:t>
      </w:r>
      <w:r>
        <w:rPr>
          <w:rFonts w:hint="default" w:ascii="Times New Roman" w:hAnsi="Times New Roman" w:cs="Times New Roman"/>
          <w:sz w:val="20"/>
          <w:szCs w:val="20"/>
        </w:rPr>
        <w:t xml:space="preserve"> a été fait à J</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 post opératoire avec des suites opératoires immédiates simples. Elle a été réadmise à J</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21 post opératoire, pour une 2</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dilatation œsophagienne (bougie numéro 32, 34, 36 et 38). Soins post opératoire: paracétamol (1g/6h pendant 4 jours), amoxicilline (1g/8h pendant 8 jours), prednisone 20 mg (3cp/j pendant 5 jours) et pansement gastrique. Exéat A J1 avec le même traitement. Le suivi a noté une amélioration considérable de la dysphagie aux solides.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lang w:val="fr-FR"/>
        </w:rPr>
        <w:t>Cas n</w:t>
      </w:r>
      <w:r>
        <w:rPr>
          <w:rFonts w:hint="default" w:ascii="Calibri" w:hAnsi="Calibri" w:cs="Calibri"/>
          <w:b/>
          <w:sz w:val="20"/>
          <w:szCs w:val="20"/>
          <w:lang w:val="fr-FR"/>
        </w:rPr>
        <w:t>°</w:t>
      </w:r>
      <w:r>
        <w:rPr>
          <w:rFonts w:hint="default" w:ascii="Times New Roman" w:hAnsi="Times New Roman" w:cs="Times New Roman"/>
          <w:b/>
          <w:sz w:val="20"/>
          <w:szCs w:val="20"/>
          <w:lang w:val="fr-FR"/>
        </w:rPr>
        <w:t xml:space="preserve"> 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Patiente de 10 ans, </w:t>
      </w:r>
      <w:r>
        <w:rPr>
          <w:rFonts w:hint="default" w:ascii="Times New Roman" w:hAnsi="Times New Roman" w:cs="Times New Roman"/>
          <w:sz w:val="20"/>
          <w:szCs w:val="20"/>
          <w:lang w:val="fr-FR"/>
        </w:rPr>
        <w:t>é</w:t>
      </w:r>
      <w:r>
        <w:rPr>
          <w:rFonts w:hint="default" w:ascii="Times New Roman" w:hAnsi="Times New Roman" w:cs="Times New Roman"/>
          <w:sz w:val="20"/>
          <w:szCs w:val="20"/>
        </w:rPr>
        <w:t>lève, résidant en milieu rural au</w:t>
      </w:r>
      <w:r>
        <w:rPr>
          <w:rFonts w:hint="default" w:ascii="Times New Roman" w:hAnsi="Times New Roman" w:cs="Times New Roman"/>
          <w:sz w:val="20"/>
          <w:szCs w:val="20"/>
          <w:lang w:val="fr-FR"/>
        </w:rPr>
        <w:t xml:space="preserve"> antécédent</w:t>
      </w:r>
      <w:r>
        <w:rPr>
          <w:rFonts w:hint="default" w:ascii="Times New Roman" w:hAnsi="Times New Roman" w:cs="Times New Roman"/>
          <w:sz w:val="20"/>
          <w:szCs w:val="20"/>
        </w:rPr>
        <w:t xml:space="preserve"> d’ingestion accidentelle de soude caustique à l’âge de 4 ans. Elle nous a été référée pour corps étranger œsophagien.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début remonterait à 3 mois par une sensation d’accrochage à la gorge d’une graine de « néré » qu’elle aurait consommée. Les tentatives d’extraction à domicile ont été vaines. L’évolution a été marquée par la survenue d’une dysphagie totale qui motive une consultation dans une formation sanitaire d’où elle nous a été référée.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L’examen à l’entrée notait un état général peu satisfaisant, un retard staturo-pondéral, une déshydratation modérée,</w:t>
      </w:r>
      <w:r>
        <w:rPr>
          <w:rFonts w:hint="default" w:ascii="Times New Roman" w:hAnsi="Times New Roman" w:cs="Times New Roman"/>
          <w:sz w:val="20"/>
          <w:szCs w:val="20"/>
          <w:lang w:val="fr-FR"/>
        </w:rPr>
        <w:t xml:space="preserve"> une</w:t>
      </w:r>
      <w:r>
        <w:rPr>
          <w:rFonts w:hint="default" w:ascii="Times New Roman" w:hAnsi="Times New Roman" w:cs="Times New Roman"/>
          <w:sz w:val="20"/>
          <w:szCs w:val="20"/>
        </w:rPr>
        <w:t xml:space="preserve"> coloration modérée des téguments et conjonctives. </w:t>
      </w:r>
      <w:r>
        <w:rPr>
          <w:rFonts w:hint="default" w:ascii="Times New Roman" w:hAnsi="Times New Roman" w:cs="Times New Roman"/>
          <w:sz w:val="20"/>
          <w:szCs w:val="20"/>
          <w:lang w:val="fr-FR"/>
        </w:rPr>
        <w:t>Les paramètres étaient</w:t>
      </w:r>
      <w:r>
        <w:rPr>
          <w:rFonts w:hint="default" w:ascii="Times New Roman" w:hAnsi="Times New Roman" w:cs="Times New Roman"/>
          <w:sz w:val="20"/>
          <w:szCs w:val="20"/>
        </w:rPr>
        <w:t>: température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37,9</w:t>
      </w:r>
      <w:r>
        <w:rPr>
          <w:rFonts w:hint="default" w:ascii="Calibri" w:hAnsi="Calibri" w:cs="Calibri"/>
          <w:sz w:val="20"/>
          <w:szCs w:val="20"/>
        </w:rPr>
        <w:t>°</w:t>
      </w:r>
      <w:r>
        <w:rPr>
          <w:rFonts w:hint="default" w:ascii="Times New Roman" w:hAnsi="Times New Roman" w:cs="Times New Roman"/>
          <w:sz w:val="20"/>
          <w:szCs w:val="20"/>
        </w:rPr>
        <w:t>c; tension artérielle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100/60 mmHg; Pouls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86 bat/mn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Po</w:t>
      </w:r>
      <w:r>
        <w:rPr>
          <w:rFonts w:hint="default" w:ascii="Times New Roman" w:hAnsi="Times New Roman" w:cs="Times New Roman"/>
          <w:sz w:val="20"/>
          <w:szCs w:val="20"/>
          <w:lang w:val="fr-FR"/>
        </w:rPr>
        <w:t>ids =</w:t>
      </w:r>
      <w:r>
        <w:rPr>
          <w:rFonts w:hint="default" w:ascii="Times New Roman" w:hAnsi="Times New Roman" w:cs="Times New Roman"/>
          <w:sz w:val="20"/>
          <w:szCs w:val="20"/>
        </w:rPr>
        <w:t xml:space="preserve"> 25 Kg. A l’examen ORL, on notait une hypersialorrhée et une sensibilité à la mobilité cervicale antérieure.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Radiographie cervico-thoracique (</w:t>
      </w:r>
      <w:r>
        <w:rPr>
          <w:rFonts w:hint="default" w:ascii="Times New Roman" w:hAnsi="Times New Roman" w:cs="Times New Roman"/>
          <w:sz w:val="20"/>
          <w:szCs w:val="20"/>
          <w:lang w:val="fr-FR"/>
        </w:rPr>
        <w:t>f</w:t>
      </w:r>
      <w:r>
        <w:rPr>
          <w:rFonts w:hint="default" w:ascii="Times New Roman" w:hAnsi="Times New Roman" w:cs="Times New Roman"/>
          <w:sz w:val="20"/>
          <w:szCs w:val="20"/>
        </w:rPr>
        <w:t>ace</w:t>
      </w:r>
      <w:r>
        <w:rPr>
          <w:rFonts w:hint="default" w:ascii="Times New Roman" w:hAnsi="Times New Roman" w:cs="Times New Roman"/>
          <w:sz w:val="20"/>
          <w:szCs w:val="20"/>
          <w:lang w:val="fr-FR"/>
        </w:rPr>
        <w:t xml:space="preserve"> et p</w:t>
      </w:r>
      <w:r>
        <w:rPr>
          <w:rFonts w:hint="default" w:ascii="Times New Roman" w:hAnsi="Times New Roman" w:cs="Times New Roman"/>
          <w:sz w:val="20"/>
          <w:szCs w:val="20"/>
        </w:rPr>
        <w:t>rofil) notait une réduction de la lumière de l’œsophage cervicale en regard de C6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C7.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Nous avons conclu à un corps étranger de l’œsophage cervical sur sténose cicatricielle et avions indiqué une œsophagoscopie au tube rigide </w:t>
      </w:r>
      <w:r>
        <w:rPr>
          <w:rFonts w:hint="default" w:ascii="Times New Roman" w:hAnsi="Times New Roman" w:cs="Times New Roman"/>
          <w:sz w:val="20"/>
          <w:szCs w:val="20"/>
          <w:lang w:val="fr-FR"/>
        </w:rPr>
        <w:t>associée</w:t>
      </w:r>
      <w:r>
        <w:rPr>
          <w:rFonts w:hint="default" w:ascii="Times New Roman" w:hAnsi="Times New Roman" w:cs="Times New Roman"/>
          <w:sz w:val="20"/>
          <w:szCs w:val="20"/>
        </w:rPr>
        <w:t xml:space="preserve"> bougirage.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En per opératoire, l’exploration a noté la présence d’un corps étranger reposant sur une sténose moyennement serrée à 17 cm de l’arcade dentaire supérieure. Une extraction du corps étranger de type végétal a été réalisée en morceau à l’aide d’une pince à corps étranger suivie d’un bougirage progressif délicat jusqu’à la bougie N°22. </w:t>
      </w:r>
      <w:r>
        <w:rPr>
          <w:rFonts w:hint="default" w:ascii="Times New Roman" w:hAnsi="Times New Roman" w:cs="Times New Roman"/>
          <w:sz w:val="20"/>
          <w:szCs w:val="20"/>
          <w:lang w:val="fr-FR"/>
        </w:rPr>
        <w:t>Les s</w:t>
      </w:r>
      <w:r>
        <w:rPr>
          <w:rFonts w:hint="default" w:ascii="Times New Roman" w:hAnsi="Times New Roman" w:cs="Times New Roman"/>
          <w:sz w:val="20"/>
          <w:szCs w:val="20"/>
        </w:rPr>
        <w:t>oins post opératoire</w:t>
      </w:r>
      <w:r>
        <w:rPr>
          <w:rFonts w:hint="default" w:ascii="Times New Roman" w:hAnsi="Times New Roman" w:cs="Times New Roman"/>
          <w:sz w:val="20"/>
          <w:szCs w:val="20"/>
          <w:lang w:val="fr-FR"/>
        </w:rPr>
        <w:t>s ont consisté en l’administration de</w:t>
      </w:r>
      <w:r>
        <w:rPr>
          <w:rFonts w:hint="default" w:ascii="Times New Roman" w:hAnsi="Times New Roman" w:cs="Times New Roman"/>
          <w:sz w:val="20"/>
          <w:szCs w:val="20"/>
        </w:rPr>
        <w:t xml:space="preserve"> paracétamol (15mg/Kg/j en 3 prise) et l’amoxicilline (80mg/Kg/j en 2 prises). Sortie à J</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 post-opératoire avec des suites opératoires simples. Le suivi a noté un amendement de la dysphagie aux solides.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brûlures caustiques de l’œsophage tirent leur intérêt d’une complication majeure : la sténose cicatricielle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FKUKBIgk","properties":{"formattedCitation":"[3]","plainCitation":"[3]","noteIndex":0},"citationItems":[{"id":5253,"uris":["http://zotero.org/users/3962825/items/KX8ESERZ"],"uri":["http://zotero.org/users/3962825/items/KX8ESERZ"],"itemData":{"id":5253,"type":"article-journal","container-title":"Ann Soc Belge Med Trop","issue":"6","page":"499–508","source":"Google Scholar","title":"Propos sur les brulures caustiques de l'oesophage chez l'enfant africain","volume":"52","author":[{"family":"Durenne","given":"J. M."},{"family":"Navigué","given":"C."}],"issued":{"date-parts":[["1972"]]}}}],"schema":"https://github.com/citation-style-language/schema/raw/master/csl-citation.json"}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L’impactation d’un corps étranger sur sténose œsophagienne est un phénomène rare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naqXONZq","properties":{"formattedCitation":"[2]","plainCitation":"[2]","noteIndex":0},"citationItems":[{"id":5260,"uris":["http://zotero.org/users/3962825/items/KGK4TCXR"],"uri":["http://zotero.org/users/3962825/items/KGK4TCXR"],"itemData":{"id":5260,"type":"article-journal","abstract":"Introduction\nImpacted foreign bodies in the esophagus have the potential to cause serious complications. Ingested sharp objects carry the risk of acute complications as: perforation, acute mediastinitis, and acute bleeding. Rarely, such foreign bodies might migrate through the esophageal wall and present as chronic esophageal foreign body.\nCase presentation\nWe present a case of a 36-month-old girl presented with solid food dysphagia and regurgitation proved to be secondary to esophageal stricture after 26 months of accidental ingestion of aluminum can tab which has migrated through the wall of the upper esophagus into the mediastinum. After two trials of endoscopic treatment; she underwent thoracotomy and partial esophagectomy. Multiple trials of dilation and Mitomycin C injection were followed because of re-stricture.\nConclusion\nForeign body impaction or secondary stricture needs to be considered in the differential diagnosis of children presenting with new onset dysphagia and regurgitation. Metallic Foreign body might be even radiolucent. Practitioners should keep a high index of suspicion for a retained esophageal FB in the child with gastrointestinal or respiratory symptoms that do not respond to standard therapy.","container-title":"Annals of Medicine and Surgery","DOI":"10.1016/j.amsu.2019.07.028","ISSN":"2049-0801","journalAbbreviation":"Annals of Medicine and Surgery","language":"en","page":"91-94","source":"ScienceDirect","title":"Ingested sharp foreign body presented as chronic esophageal stricture and inflammatory mediastinal mass for 113 weeks: Case report","title-short":"Ingested sharp foreign body presented as chronic esophageal stricture and inflammatory mediastinal mass for 113 weeks","volume":"45","author":[{"family":"Tashtush","given":"Nour A."},{"family":"Bataineh","given":"Ziad A."},{"family":"Yusef","given":"Dawood H."},{"family":"Al Quran","given":"Thekraiat M."},{"family":"Rousan","given":"Liqa A."},{"family":"Khasawneh","given":"Ruba"},{"family":"Aleshawi","given":"Abdelwahab J."},{"family":"Altamimi","given":"Eyad M."}],"issued":{"date-parts":[["2019",9,1]]}}}],"schema":"https://github.com/citation-style-language/schema/raw/master/csl-citation.json"}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Les corps étrangers sont variés et constituent une urgence médico-chirurgicale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feLyRCH7","properties":{"formattedCitation":"[4]","plainCitation":"[4]","noteIndex":0},"citationItems":[{"id":3625,"uris":["http://zotero.org/users/3962825/items/RFM8SJ8E"],"uri":["http://zotero.org/users/3962825/items/RFM8SJ8E"],"itemData":{"id":3625,"type":"article-journal","container-title":"Jaccr Africa","issue":"2","page":"238-246","title":"Les corps étrangers oesophagiens au service ORL du CHU Yalgado Ouédraogo","volume":"4","author":[{"family":"Bakyono","given":"KE"},{"family":"Gouéta","given":"EA"},{"family":"Zaghré","given":"N"},{"family":"Diasso","given":"KG"},{"family":"Bambara","given":"C"},{"family":"Nao","given":"EEM"},{"family":"Gyébré","given":"YMC"},{"family":"Ouattara","given":"M"},{"family":"Ouoba","given":"K"}],"issued":{"date-parts":[["2020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Ils sont observés à tous les âges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m5ByVe7A","properties":{"formattedCitation":"[1]","plainCitation":"[1]","noteIndex":0},"citationItems":[{"id":5257,"uris":["http://zotero.org/users/3962825/items/PKLC8HFH"],"uri":["http://zotero.org/users/3962825/items/PKLC8HFH"],"itemData":{"id":5257,"type":"article-journal","abstract":"Aim:\nTo review the patients with esophageal injuries and stenosis with respect to their etiology, clinical course, management, and the lessons learnt from these.\n\nMaterials and Methods:\nRetrospective descriptive observation review of children with esophageal injuries and stenosis admitted between January 2009 and April 2015.\n\nResults:\nEighteen children with esophageal injuries of varied etiology were managed and included, seven with corrosive injury, five with perforation due to various causes, three with mucosal erosion, two with trachea esophageal fistula (TEF), and one wall erosion. The five children who had perforation were due to poststricture dilatation in a child with esophageal atresia and secondary to foreign body impaction or its attempted retrieval in four. Alkaline button cell had caused TEF in two. Three congenital esophageal stenosis (CES) had presented with dysphagia and respiratory tract infection. Six corrosive stricture and two CES responded to dilatation alone and one each of them required surgery. Four of the children with esophageal perforation were detected early and required drainage procedure (1), diversion (1), and medical management (2). Pseudo diverticulum was managed expectantly. Among TEF, one had spontaneous closure and other one was lost to follow-up. All the remaining nineteen children have recovered well except one CES had mortality.\n\nConclusion:\nEsophageal injuries though rare can be potentially devastating and life-threatening.","container-title":"Journal of Indian Association of Pediatric Surgeons","DOI":"10.4103/0971-9261.182589","ISSN":"0971-9261","issue":"3","journalAbbreviation":"J Indian Assoc Pediatr Surg","note":"PMID: 27365909\nPMCID: PMC4895740","page":"139-143","source":"PubMed Central","title":"Review of esophageal injuries and stenosis: Lessons learn and current concepts of management","title-short":"Review of esophageal injuries and stenosis","volume":"21","author":[{"family":"Ramareddy","given":"Raghu Sampalli"},{"family":"Alladi","given":"Anand"}],"issued":{"date-parts":[["2016"]]}}}],"schema":"https://github.com/citation-style-language/schema/raw/master/csl-citation.json"}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mais prédominant chez l’enfant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lJaQIehI","properties":{"formattedCitation":"[4,5]","plainCitation":"[4,5]","noteIndex":0},"citationItems":[{"id":3625,"uris":["http://zotero.org/users/3962825/items/RFM8SJ8E"],"uri":["http://zotero.org/users/3962825/items/RFM8SJ8E"],"itemData":{"id":3625,"type":"article-journal","container-title":"Jaccr Africa","issue":"2","page":"238-246","title":"Les corps étrangers oesophagiens au service ORL du CHU Yalgado Ouédraogo","volume":"4","author":[{"family":"Bakyono","given":"KE"},{"family":"Gouéta","given":"EA"},{"family":"Zaghré","given":"N"},{"family":"Diasso","given":"KG"},{"family":"Bambara","given":"C"},{"family":"Nao","given":"EEM"},{"family":"Gyébré","given":"YMC"},{"family":"Ouattara","given":"M"},{"family":"Ouoba","given":"K"}],"issued":{"date-parts":[["2020"]]}},"label":"page"},{"id":5787,"uris":["http://zotero.org/users/3962825/items/WUJ2ZIJB"],"uri":["http://zotero.org/users/3962825/items/WUJ2ZIJB"],"itemData":{"id":5787,"type":"article-journal","abstract":"RÉSUMÉIntroduction. Ce travail avait pour but de rapporter les aspects épidémiologiques des accidents domestiques (AD) au niveau du service de chirurgie pédiatrique de l’Hôpital d’Enfants Albert Royer (HEAR) de Dakar. Matériels et méthodes. Les dossiers d’enfants victimes de traumatismes non intentionnels survenus à domicile ou dans ses abords immédiats étaient inclus. Nous avons noté l’âge et le sexe de l’enfant, le jour et l’heure de l’accident, le mécanisme de l’accident et le lieu de survenue. Nous avons aussi étudié les types de lésions occasionnées et leur siège. Résultats. On notait une prédominance masculine avec un sexe ratio de 2,21. L’âge moyen était de de 4,2 ans et les enfants âgés de moins de 5 ans étaient les plus touchés (63,4 %). Les familles avec plus de deux enfants étaient les plus concernées (67 %). L’AD survenait le plus souvent les jours ouvrables avec un pic les mercredis (18,4 %). Près de la moitié des AD (42,2 %) étaient survenues le soir entre 17 heures et 20 heures. Les alentours de la maison étaient l’endroit le plus accidentogène (18,2 %). Les types d’accidents rencontrés ont été les suivants: les traumatismes (77,6 %), les intoxications (20,4 %) et les ingestions de corps étrangers (2 %). Les lésions les plus rencontrées étaient les fractures (46 %), suivies des traumatismes cranio-encéphaliques (22,9 %), des contusions (21,3 %) et des plaies (9,8 %). Les membres pelviens étaient la partie du corps la plus touchée (51,5 %) suivis de la tête (10,6 %). Aucun cas de décès n’avait été enregistré. Conclusion. Les AD chez l’enfant sont fréquents dans notre service et surviennent essentiellement dans les abords immédiats de la maison. Les victimes sont essentiellement les garçons de moins de 5 ans. Les fractures prédominent et siègent aux membres.ABSTRACTIntroduction. The aim of this search was to study the epidemiology and lesional aspects of domestic accidents (DA) received at the pediatric surgery unit of Albert Royer Children's Hospital (HEAR) in Dakar. Materials and methods. Records of children victims of unintentional injuries occurred at home or in immediate surroundings were included. We noted the age and sex of the child, the day and time of the accident, the mechanism of the accident and the place of occurrence. We also studied the types of lesion and their seat. Results. We noted a male predominance with a sex ratio of 2.21 and an average age of 4.2 years. Children under 5 were the most affected (63.4%). Families with more than two children were the most affected (67%). The DA most often occurred on working days with a peak on Wednesdays (18.4%). Nearly half of the DAs (42.2%) had occurred in the evening between 5 pm and 8 pm. The surroundings of the house were the most accidental place (18.2%). The types of accidents encountered were as follows: trauma (77.6%), intoxication (20.4%) and foreign body ingestions (2%). The most common lesions were fractures (46%), followed by cranioencephalic trauma (22.9%), contusions (21.3%) and wounds (9.8%). Pelvic limbs were the most affected part of the body (51.5%). No deaths had been recorded. Conclusion. DAs in children are common in our service and occur mainly in the immediate surroundings of the house. Victims are mostly boys under 5 years old. Fractures predominate and sit on the limbs.","container-title":"HEALTH SCIENCES AND DISEASE","ISSN":"2309-6535","issue":"5","language":"fr","note":"number: 5","source":"www.hsd-fmsb.org","title":"Épidémiologie des Accidents Domestiques chez l’Enfant à Dakar (Sénégal)","URL":"http://www.hsd-fmsb.org/index.php/hsd/article/view/1591","volume":"20","author":[{"family":"Mohamed","given":"Azhar Salim"},{"family":"Mbaye","given":"P. A."},{"family":"Fall","given":"M."},{"family":"Diouf","given":"A."},{"family":"Ndoye","given":"N. A."},{"family":"Diaby","given":"A."},{"family":"Sagna","given":"A."},{"family":"Ndour","given":"O."},{"family":"Ngom","given":"G."}],"accessed":{"date-parts":[["2021",3,8]]},"issued":{"date-parts":[["2019",8,25]]}},"label":"page"}],"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C’est le cas dans notre série où nous avons répertorié deux enfants et une adulte jeune. Ils ont tous présenté un accident d’ingestion de produit caustique </w:t>
      </w:r>
      <w:r>
        <w:rPr>
          <w:rFonts w:hint="default" w:ascii="Times New Roman" w:hAnsi="Times New Roman" w:cs="Times New Roman"/>
          <w:sz w:val="20"/>
          <w:szCs w:val="20"/>
          <w:lang w:val="fr-FR"/>
        </w:rPr>
        <w:t>dans</w:t>
      </w:r>
      <w:r>
        <w:rPr>
          <w:rFonts w:hint="default" w:ascii="Times New Roman" w:hAnsi="Times New Roman" w:cs="Times New Roman"/>
          <w:sz w:val="20"/>
          <w:szCs w:val="20"/>
        </w:rPr>
        <w:t xml:space="preserve"> leur enfance. En dépit de leur fréquence et de leur gravité élevées, les accidents de l’enfant sont peu documentés dans les pays en développement, particulièrement en Afrique subsaharien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RhAUjOMZ","properties":{"formattedCitation":"[6]","plainCitation":"[6]","noteIndex":0},"citationItems":[{"id":5271,"uris":["http://zotero.org/users/3962825/items/DTSZ7JGQ"],"uri":["http://zotero.org/users/3962825/items/DTSZ7JGQ"],"itemData":{"id":5271,"type":"article-journal","container-title":"Med Trop (Mars)","issue":"4-5","page":"533–8","source":"Google Scholar","title":"Epidémiologie et pronostic des accidents de l’enfant à Dakar, Sénégal","volume":"63","author":[{"family":"Ka","given":"A. S."},{"family":"Imbert","given":"P."},{"family":"Diagne","given":"I."},{"family":"Seye","given":"M. N."},{"family":"Gerardin","given":"P."},{"family":"Guyon","given":"P."},{"family":"Debonne","given":"J. M."}],"issued":{"date-parts":[["2003"]]}}}],"schema":"https://github.com/citation-style-language/schema/raw/master/csl-citation.json"}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présence d’un corps étranger logé dans l’œsophage peut être asymptomatique ou entraîner des symptômes variés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WnIQheja","properties":{"formattedCitation":"[4]","plainCitation":"[4]","noteIndex":0},"citationItems":[{"id":3625,"uris":["http://zotero.org/users/3962825/items/RFM8SJ8E"],"uri":["http://zotero.org/users/3962825/items/RFM8SJ8E"],"itemData":{"id":3625,"type":"article-journal","container-title":"Jaccr Africa","issue":"2","page":"238-246","title":"Les corps étrangers oesophagiens au service ORL du CHU Yalgado Ouédraogo","volume":"4","author":[{"family":"Bakyono","given":"KE"},{"family":"Gouéta","given":"EA"},{"family":"Zaghré","given":"N"},{"family":"Diasso","given":"KG"},{"family":"Bambara","given":"C"},{"family":"Nao","given":"EEM"},{"family":"Gyébré","given":"YMC"},{"family":"Ouattara","given":"M"},{"family":"Ouoba","given":"K"}],"issued":{"date-parts":[["2020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r>
        <w:rPr>
          <w:rFonts w:hint="default" w:ascii="Times New Roman" w:hAnsi="Times New Roman" w:cs="Times New Roman"/>
          <w:sz w:val="20"/>
          <w:szCs w:val="20"/>
        </w:rPr>
        <w:t>. Ceux de nos patients étaient dominés par les signes digestifs et étaient fonction de la sévérité de la sténose. Ils ont tous ingérés des corps étrangers de natures organiques (graines de nérés et viande) au décours du repas (survenue accidentel). Notre constat explique, l’absence de signe de complication qui est largement décrit par Pietro Betalli et Ji Hyuk Lee</w:t>
      </w:r>
      <w:r>
        <w:rPr>
          <w:rFonts w:hint="default" w:ascii="Times New Roman" w:hAnsi="Times New Roman" w:cs="Times New Roman"/>
          <w:b/>
          <w:sz w:val="20"/>
          <w:szCs w:val="20"/>
        </w:rPr>
        <w:t xml:space="preserve"> </w:t>
      </w:r>
      <w:r>
        <w:rPr>
          <w:rFonts w:hint="default" w:ascii="Times New Roman" w:hAnsi="Times New Roman" w:cs="Times New Roman"/>
          <w:b/>
          <w:sz w:val="20"/>
          <w:szCs w:val="20"/>
        </w:rPr>
        <w:fldChar w:fldCharType="begin"/>
      </w:r>
      <w:r>
        <w:rPr>
          <w:rFonts w:hint="default" w:ascii="Times New Roman" w:hAnsi="Times New Roman" w:cs="Times New Roman"/>
          <w:b/>
          <w:sz w:val="20"/>
          <w:szCs w:val="20"/>
        </w:rPr>
        <w:instrText xml:space="preserve"> ADDIN ZOTERO_ITEM CSL_CITATION {"citationID":"csI68KBq","properties":{"formattedCitation":"[7,8]","plainCitation":"[7,8]","noteIndex":0},"citationItems":[{"id":5265,"uris":["http://zotero.org/users/3962825/items/AFEI8WLC"],"uri":["http://zotero.org/users/3962825/items/AFEI8WLC"],"itemData":{"id":5265,"type":"article-journal","container-title":"Diagnostic and therapeutic endoscopy","note":"publisher: Hindawi Limited","source":"Google Scholar","title":"Update on management of caustic and foreign body ingestion in children","volume":"2009","author":[{"family":"Betalli","given":"Pietro"},{"family":"Rossi","given":"Alfredo"},{"family":"Bini","given":"Marta"},{"family":"Bacis","given":"Giuseppe"},{"family":"Borrelli","given":"Osvaldo"},{"family":"Cutrone","given":"Cesare"},{"family":"Dall'Oglio","given":"Luigi"},{"family":"Angelis","given":"Gian Luigi","non-dropping-particle":"d'"},{"family":"Falchetti","given":"Diego"},{"family":"Farina","given":"Maria Luisa"}],"issued":{"date-parts":[["2009"]]}},"label":"page"},{"id":5255,"uris":["http://zotero.org/users/3962825/items/TD7JBS4H"],"uri":["http://zotero.org/users/3962825/items/TD7JBS4H"],"itemData":{"id":5255,"type":"article-journal","abstract":"Foreign body (FB) ingestion in children is common and most children are observed to be between 6 months and 3 years of age. Although most FBs in the gastrointestinal tract pass spontaneously without complications, endoscopic or surgical removal may be required in a few children. Thus, FB ingestion presents a significant clinical difficulty in pediatric gastroenterological practice. Parameters that need to be considered regarding the timing of endoscopic removal of ingested FBs in children are the children’s age or body weight, the clinical presentation, time lapse since ingestion, time of last meal, type as well as size and shape of the FB, and its current location in the gastrointestinal tract. Esophageal button batteries require emergency removal regardless of the presence of symptoms because they can cause serious complications. Coins, magnets, or sharp FBs in the esophagus should be removed within 2 hours in symptomatic and within 24 hours in asymptomatic children. Among those presenting with a single or multiple magnets and a metallic FB that have advanced beyond the stomach, symptomatic children need a consultation with a pediatric surgeon for surgery, and asymptomatic children may be followed with serial X-rays to assess progression. Sharp or pointed, and long or large and wide FBs located in the esophagus or stomach require endoscopic removal.","container-title":"Clinical Endoscopy","DOI":"10.5946/ce.2018.039","ISSN":"2234-2400","issue":"2","journalAbbreviation":"Clin Endosc","note":"PMID: 29618175\nPMCID: PMC5903088","page":"129-136","source":"PubMed Central","title":"Foreign Body Ingestion in Children","volume":"51","author":[{"family":"Lee","given":"Ji Hyuk"}],"issued":{"date-parts":[["2018",3]]}},"label":"page"}],"schema":"https://github.com/citation-style-language/schema/raw/master/csl-citation.json"} </w:instrText>
      </w:r>
      <w:r>
        <w:rPr>
          <w:rFonts w:hint="default" w:ascii="Times New Roman" w:hAnsi="Times New Roman" w:cs="Times New Roman"/>
          <w:b/>
          <w:sz w:val="20"/>
          <w:szCs w:val="20"/>
        </w:rPr>
        <w:fldChar w:fldCharType="separate"/>
      </w:r>
      <w:r>
        <w:rPr>
          <w:rFonts w:hint="default" w:ascii="Times New Roman" w:hAnsi="Times New Roman" w:cs="Times New Roman"/>
          <w:sz w:val="20"/>
          <w:szCs w:val="20"/>
        </w:rPr>
        <w:t>[7,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w:t>
      </w:r>
      <w:r>
        <w:rPr>
          <w:rFonts w:hint="default" w:ascii="Times New Roman" w:hAnsi="Times New Roman" w:cs="Times New Roman"/>
          <w:b/>
          <w:sz w:val="20"/>
          <w:szCs w:val="20"/>
        </w:rPr>
        <w:fldChar w:fldCharType="end"/>
      </w:r>
      <w:r>
        <w:rPr>
          <w:rFonts w:hint="default" w:ascii="Times New Roman" w:hAnsi="Times New Roman" w:cs="Times New Roman"/>
          <w:b w:val="0"/>
          <w:bCs/>
          <w:sz w:val="20"/>
          <w:szCs w:val="20"/>
          <w:lang w:val="fr-FR"/>
        </w:rPr>
        <w: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Par contre, nous avons constaté une dénutrition et déshydratation de modérée à sévère chez nos 2 enfants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secondaire à l’aphagie ayant nécessité d’une réanimation de 24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h</w:t>
      </w:r>
      <w:r>
        <w:rPr>
          <w:rFonts w:hint="default" w:ascii="Times New Roman" w:hAnsi="Times New Roman" w:cs="Times New Roman"/>
          <w:sz w:val="20"/>
          <w:szCs w:val="20"/>
          <w:lang w:val="fr-FR"/>
        </w:rPr>
        <w:t>eures</w:t>
      </w:r>
      <w:r>
        <w:rPr>
          <w:rFonts w:hint="default" w:ascii="Times New Roman" w:hAnsi="Times New Roman" w:cs="Times New Roman"/>
          <w:sz w:val="20"/>
          <w:szCs w:val="20"/>
        </w:rPr>
        <w:t xml:space="preserve"> avant leur admission au bloc opératoire. Il faut reconna</w:t>
      </w:r>
      <w:r>
        <w:rPr>
          <w:rFonts w:hint="default" w:ascii="Times New Roman" w:hAnsi="Times New Roman" w:cs="Times New Roman"/>
          <w:sz w:val="20"/>
          <w:szCs w:val="20"/>
          <w:lang w:val="fr-FR"/>
        </w:rPr>
        <w:t>î</w:t>
      </w:r>
      <w:r>
        <w:rPr>
          <w:rFonts w:hint="default" w:ascii="Times New Roman" w:hAnsi="Times New Roman" w:cs="Times New Roman"/>
          <w:sz w:val="20"/>
          <w:szCs w:val="20"/>
        </w:rPr>
        <w:t xml:space="preserve">tre que cette gravité a été majorée par le retard de consultation et la sous médicalisation dans nos contrés. Notre constat rejoint ceux de Durenne, Vignon et Ka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mCg1UQag","properties":{"formattedCitation":"[3,6,9]","plainCitation":"[3,6,9]","noteIndex":0},"citationItems":[{"id":5253,"uris":["http://zotero.org/users/3962825/items/KX8ESERZ"],"uri":["http://zotero.org/users/3962825/items/KX8ESERZ"],"itemData":{"id":5253,"type":"article-journal","container-title":"Ann Soc Belge Med Trop","issue":"6","page":"499–508","source":"Google Scholar","title":"Propos sur les brulures caustiques de l'oesophage chez l'enfant africain","volume":"52","author":[{"family":"Durenne","given":"J. M."},{"family":"Navigué","given":"C."}],"issued":{"date-parts":[["1972"]]}},"label":"page"},{"id":5271,"uris":["http://zotero.org/users/3962825/items/DTSZ7JGQ"],"uri":["http://zotero.org/users/3962825/items/DTSZ7JGQ"],"itemData":{"id":5271,"type":"article-journal","container-title":"Med Trop (Mars)","issue":"4-5","page":"533–8","source":"Google Scholar","title":"Epidémiologie et pronostic des accidents de l’enfant à Dakar, Sénégal","volume":"63","author":[{"family":"Ka","given":"A. S."},{"family":"Imbert","given":"P."},{"family":"Diagne","given":"I."},{"family":"Seye","given":"M. N."},{"family":"Gerardin","given":"P."},{"family":"Guyon","given":"P."},{"family":"Debonne","given":"J. M."}],"issued":{"date-parts":[["2003"]]}},"label":"page"},{"id":5267,"uris":["http://zotero.org/users/3962825/items/L24Q28FJ"],"uri":["http://zotero.org/users/3962825/items/L24Q28FJ"],"itemData":{"id":5267,"type":"article-journal","container-title":"Journal Africain d'Hépato-Gastroentérologie","issue":"3","note":"publisher: Springer","page":"135–138","source":"Google Scholar","title":"La prise en charge endoscopique des corps étrangers de l’oesophage au Bénin","volume":"8","author":[{"family":"Vignon","given":"R. K."},{"family":"Kodjoh","given":"N."},{"family":"Sehonou","given":"J."},{"family":"Olory-Togbe","given":"J. L."}],"issued":{"date-parts":[["2014"]]}},"label":"page"}],"schema":"https://github.com/citation-style-language/schema/raw/master/csl-citation.json"}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9]</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L’intérêt de l’imagerie a été décrit dans de nombreuse série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RmO3qUOG","properties":{"formattedCitation":"[1,7,9]","plainCitation":"[1,7,9]","noteIndex":0},"citationItems":[{"id":5257,"uris":["http://zotero.org/users/3962825/items/PKLC8HFH"],"uri":["http://zotero.org/users/3962825/items/PKLC8HFH"],"itemData":{"id":5257,"type":"article-journal","abstract":"Aim:\nTo review the patients with esophageal injuries and stenosis with respect to their etiology, clinical course, management, and the lessons learnt from these.\n\nMaterials and Methods:\nRetrospective descriptive observation review of children with esophageal injuries and stenosis admitted between January 2009 and April 2015.\n\nResults:\nEighteen children with esophageal injuries of varied etiology were managed and included, seven with corrosive injury, five with perforation due to various causes, three with mucosal erosion, two with trachea esophageal fistula (TEF), and one wall erosion. The five children who had perforation were due to poststricture dilatation in a child with esophageal atresia and secondary to foreign body impaction or its attempted retrieval in four. Alkaline button cell had caused TEF in two. Three congenital esophageal stenosis (CES) had presented with dysphagia and respiratory tract infection. Six corrosive stricture and two CES responded to dilatation alone and one each of them required surgery. Four of the children with esophageal perforation were detected early and required drainage procedure (1), diversion (1), and medical management (2). Pseudo diverticulum was managed expectantly. Among TEF, one had spontaneous closure and other one was lost to follow-up. All the remaining nineteen children have recovered well except one CES had mortality.\n\nConclusion:\nEsophageal injuries though rare can be potentially devastating and life-threatening.","container-title":"Journal of Indian Association of Pediatric Surgeons","DOI":"10.4103/0971-9261.182589","ISSN":"0971-9261","issue":"3","journalAbbreviation":"J Indian Assoc Pediatr Surg","note":"PMID: 27365909\nPMCID: PMC4895740","page":"139-143","source":"PubMed Central","title":"Review of esophageal injuries and stenosis: Lessons learn and current concepts of management","title-short":"Review of esophageal injuries and stenosis","volume":"21","author":[{"family":"Ramareddy","given":"Raghu Sampalli"},{"family":"Alladi","given":"Anand"}],"issued":{"date-parts":[["2016"]]}},"label":"page"},{"id":5265,"uris":["http://zotero.org/users/3962825/items/AFEI8WLC"],"uri":["http://zotero.org/users/3962825/items/AFEI8WLC"],"itemData":{"id":5265,"type":"article-journal","container-title":"Diagnostic and therapeutic endoscopy","note":"publisher: Hindawi Limited","source":"Google Scholar","title":"Update on management of caustic and foreign body ingestion in children","volume":"2009","author":[{"family":"Betalli","given":"Pietro"},{"family":"Rossi","given":"Alfredo"},{"family":"Bini","given":"Marta"},{"family":"Bacis","given":"Giuseppe"},{"family":"Borrelli","given":"Osvaldo"},{"family":"Cutrone","given":"Cesare"},{"family":"Dall'Oglio","given":"Luigi"},{"family":"Angelis","given":"Gian Luigi","non-dropping-particle":"d'"},{"family":"Falchetti","given":"Diego"},{"family":"Farina","given":"Maria Luisa"}],"issued":{"date-parts":[["2009"]]}},"label":"page"},{"id":5267,"uris":["http://zotero.org/users/3962825/items/L24Q28FJ"],"uri":["http://zotero.org/users/3962825/items/L24Q28FJ"],"itemData":{"id":5267,"type":"article-journal","container-title":"Journal Africain d'Hépato-Gastroentérologie","issue":"3","note":"publisher: Springer","page":"135–138","source":"Google Scholar","title":"La prise en charge endoscopique des corps étrangers de l’oesophage au Bénin","volume":"8","author":[{"family":"Vignon","given":"R. K."},{"family":"Kodjoh","given":"N."},{"family":"Sehonou","given":"J."},{"family":"Olory-Togbe","given":"J. L."}],"issued":{"date-parts":[["2014"]]}},"label":"page"}],"schema":"https://github.com/citation-style-language/schema/raw/master/csl-citation.json"}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9]</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Dans notre cas, l’endoscopie a été diagnostique et thérapeutique pareillement dans la série de Piétro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gWNvAwhM","properties":{"formattedCitation":"[7]","plainCitation":"[7]","noteIndex":0},"citationItems":[{"id":5265,"uris":["http://zotero.org/users/3962825/items/AFEI8WLC"],"uri":["http://zotero.org/users/3962825/items/AFEI8WLC"],"itemData":{"id":5265,"type":"article-journal","container-title":"Diagnostic and therapeutic endoscopy","note":"publisher: Hindawi Limited","source":"Google Scholar","title":"Update on management of caustic and foreign body ingestion in children","volume":"2009","author":[{"family":"Betalli","given":"Pietro"},{"family":"Rossi","given":"Alfredo"},{"family":"Bini","given":"Marta"},{"family":"Bacis","given":"Giuseppe"},{"family":"Borrelli","given":"Osvaldo"},{"family":"Cutrone","given":"Cesare"},{"family":"Dall'Oglio","given":"Luigi"},{"family":"Angelis","given":"Gian Luigi","non-dropping-particle":"d'"},{"family":"Falchetti","given":"Diego"},{"family":"Farina","given":"Maria Luisa"}],"issued":{"date-parts":[["2009"]]}}}],"schema":"https://github.com/citation-style-language/schema/raw/master/csl-citation.json"}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[7]</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En per-opératoire, nous avons identifié les corps étrangers et évaluée le degré de la sténose chez chaque patient après leur extraction. Le même procédé a été décrit dans divers études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ctnHeQVH","properties":{"formattedCitation":"[2,7]","plainCitation":"[2,7]","noteIndex":0},"citationItems":[{"id":5260,"uris":["http://zotero.org/users/3962825/items/KGK4TCXR"],"uri":["http://zotero.org/users/3962825/items/KGK4TCXR"],"itemData":{"id":5260,"type":"article-journal","abstract":"Introduction\nImpacted foreign bodies in the esophagus have the potential to cause serious complications. Ingested sharp objects carry the risk of acute complications as: perforation, acute mediastinitis, and acute bleeding. Rarely, such foreign bodies might migrate through the esophageal wall and present as chronic esophageal foreign body.\nCase presentation\nWe present a case of a 36-month-old girl presented with solid food dysphagia and regurgitation proved to be secondary to esophageal stricture after 26 months of accidental ingestion of aluminum can tab which has migrated through the wall of the upper esophagus into the mediastinum. After two trials of endoscopic treatment; she underwent thoracotomy and partial esophagectomy. Multiple trials of dilation and Mitomycin C injection were followed because of re-stricture.\nConclusion\nForeign body impaction or secondary stricture needs to be considered in the differential diagnosis of children presenting with new onset dysphagia and regurgitation. Metallic Foreign body might be even radiolucent. Practitioners should keep a high index of suspicion for a retained esophageal FB in the child with gastrointestinal or respiratory symptoms that do not respond to standard therapy.","container-title":"Annals of Medicine and Surgery","DOI":"10.1016/j.amsu.2019.07.028","ISSN":"2049-0801","journalAbbreviation":"Annals of Medicine and Surgery","language":"en","page":"91-94","source":"ScienceDirect","title":"Ingested sharp foreign body presented as chronic esophageal stricture and inflammatory mediastinal mass for 113 weeks: Case report","title-short":"Ingested sharp foreign body presented as chronic esophageal stricture and inflammatory mediastinal mass for 113 weeks","volume":"45","author":[{"family":"Tashtush","given":"Nour A."},{"family":"Bataineh","given":"Ziad A."},{"family":"Yusef","given":"Dawood H."},{"family":"Al Quran","given":"Thekraiat M."},{"family":"Rousan","given":"Liqa A."},{"family":"Khasawneh","given":"Ruba"},{"family":"Aleshawi","given":"Abdelwahab J."},{"family":"Altamimi","given":"Eyad M."}],"issued":{"date-parts":[["2019",9,1]]}},"label":"page"},{"id":5265,"uris":["http://zotero.org/users/3962825/items/AFEI8WLC"],"uri":["http://zotero.org/users/3962825/items/AFEI8WLC"],"itemData":{"id":5265,"type":"article-journal","container-title":"Diagnostic and therapeutic endoscopy","note":"publisher: Hindawi Limited","source":"Google Scholar","title":"Update on management of caustic and foreign body ingestion in children","volume":"2009","author":[{"family":"Betalli","given":"Pietro"},{"family":"Rossi","given":"Alfredo"},{"family":"Bini","given":"Marta"},{"family":"Bacis","given":"Giuseppe"},{"family":"Borrelli","given":"Osvaldo"},{"family":"Cutrone","given":"Cesare"},{"family":"Dall'Oglio","given":"Luigi"},{"family":"Angelis","given":"Gian Luigi","non-dropping-particle":"d'"},{"family":"Falchetti","given":"Diego"},{"family":"Farina","given":"Maria Luisa"}],"issued":{"date-parts":[["2009"]]}},"label":"page"}],"schema":"https://github.com/citation-style-language/schema/raw/master/csl-citation.json"}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 xml:space="preserve">Nous avons réalisé des dilatations chez tous nos patients. Les deux premiers patients ont bénéficié d’une séance supplémentaire de dilatation et le cas du dernier a été jugé satisfaisant au cours du suivi. Flavio et al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zegBW6B1","properties":{"formattedCitation":"[10]","plainCitation":"[10]","noteIndex":0},"citationItems":[{"id":5264,"uris":["http://zotero.org/users/3962825/items/WHMS8RXT"],"uri":["http://zotero.org/users/3962825/items/WHMS8RXT"],"itemData":{"id":5264,"type":"article-journal","abstract":"Des anomalies congénitales pouvant entraîner une sténose œsophagienne ainsi que des maladies acquises de l'œsophage chez les enfants sont décrites. Le nourrisson et l'enfant qui refusent d'accepter des aliments solides doivent être soumis à un examen radiologique et endoscopique. La dysphagie est parfois difficile à reconnaître chez les nourrissons et les enfants. Le traitement endoscopique seul ou associé à une intervention chirurgicale réussit dans de nombreux cas s'il est bien indiqué et réalisé avec précision.","container-title":"Annals of Otology, Rhinology &amp; Laryngology","DOI":"10.1177/000348948008900501","ISSN":"0003-4894","issue":"5","journalAbbreviation":"Ann Otol Rhinol Laryngol","language":"en","note":"publisher: SAGE Publications Inc","page":"391-396","source":"SAGE Journals","title":"Chevalier Jackson Lecture Sténose œsophagienne chez les enfants","volume":"89","author":[{"family":"Aprigliano","given":"Flavio"}],"issued":{"date-parts":[["1980",9,1]]}}}],"schema":"https://github.com/citation-style-language/schema/raw/master/csl-citation.json"}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a notifié les bénéfices de la dilatation en signifiant qu’elle dépend de la sévérité de la sténose. Par contre, dans les formes sévères des sténoses œsophagiennes, la chirurgie demeure incontournable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ooCHk4YW","properties":{"formattedCitation":"[2,7,10,11]","plainCitation":"[2,7,10,11]","noteIndex":0},"citationItems":[{"id":5260,"uris":["http://zotero.org/users/3962825/items/KGK4TCXR"],"uri":["http://zotero.org/users/3962825/items/KGK4TCXR"],"itemData":{"id":5260,"type":"article-journal","abstract":"Introduction\nImpacted foreign bodies in the esophagus have the potential to cause serious complications. Ingested sharp objects carry the risk of acute complications as: perforation, acute mediastinitis, and acute bleeding. Rarely, such foreign bodies might migrate through the esophageal wall and present as chronic esophageal foreign body.\nCase presentation\nWe present a case of a 36-month-old girl presented with solid food dysphagia and regurgitation proved to be secondary to esophageal stricture after 26 months of accidental ingestion of aluminum can tab which has migrated through the wall of the upper esophagus into the mediastinum. After two trials of endoscopic treatment; she underwent thoracotomy and partial esophagectomy. Multiple trials of dilation and Mitomycin C injection were followed because of re-stricture.\nConclusion\nForeign body impaction or secondary stricture needs to be considered in the differential diagnosis of children presenting with new onset dysphagia and regurgitation. Metallic Foreign body might be even radiolucent. Practitioners should keep a high index of suspicion for a retained esophageal FB in the child with gastrointestinal or respiratory symptoms that do not respond to standard therapy.","container-title":"Annals of Medicine and Surgery","DOI":"10.1016/j.amsu.2019.07.028","ISSN":"2049-0801","journalAbbreviation":"Annals of Medicine and Surgery","language":"en","page":"91-94","source":"ScienceDirect","title":"Ingested sharp foreign body presented as chronic esophageal stricture and inflammatory mediastinal mass for 113 weeks: Case report","title-short":"Ingested sharp foreign body presented as chronic esophageal stricture and inflammatory mediastinal mass for 113 weeks","volume":"45","author":[{"family":"Tashtush","given":"Nour A."},{"family":"Bataineh","given":"Ziad A."},{"family":"Yusef","given":"Dawood H."},{"family":"Al Quran","given":"Thekraiat M."},{"family":"Rousan","given":"Liqa A."},{"family":"Khasawneh","given":"Ruba"},{"family":"Aleshawi","given":"Abdelwahab J."},{"family":"Altamimi","given":"Eyad M."}],"issued":{"date-parts":[["2019",9,1]]}},"label":"page"},{"id":5265,"uris":["http://zotero.org/users/3962825/items/AFEI8WLC"],"uri":["http://zotero.org/users/3962825/items/AFEI8WLC"],"itemData":{"id":5265,"type":"article-journal","container-title":"Diagnostic and therapeutic endoscopy","note":"publisher: Hindawi Limited","source":"Google Scholar","title":"Update on management of caustic and foreign body ingestion in children","volume":"2009","author":[{"family":"Betalli","given":"Pietro"},{"family":"Rossi","given":"Alfredo"},{"family":"Bini","given":"Marta"},{"family":"Bacis","given":"Giuseppe"},{"family":"Borrelli","given":"Osvaldo"},{"family":"Cutrone","given":"Cesare"},{"family":"Dall'Oglio","given":"Luigi"},{"family":"Angelis","given":"Gian Luigi","non-dropping-particle":"d'"},{"family":"Falchetti","given":"Diego"},{"family":"Farina","given":"Maria Luisa"}],"issued":{"date-parts":[["2009"]]}},"label":"page"},{"id":5264,"uris":["http://zotero.org/users/3962825/items/WHMS8RXT"],"uri":["http://zotero.org/users/3962825/items/WHMS8RXT"],"itemData":{"id":5264,"type":"article-journal","abstract":"Des anomalies congénitales pouvant entraîner une sténose œsophagienne ainsi que des maladies acquises de l'œsophage chez les enfants sont décrites. Le nourrisson et l'enfant qui refusent d'accepter des aliments solides doivent être soumis à un examen radiologique et endoscopique. La dysphagie est parfois difficile à reconnaître chez les nourrissons et les enfants. Le traitement endoscopique seul ou associé à une intervention chirurgicale réussit dans de nombreux cas s'il est bien indiqué et réalisé avec précision.","container-title":"Annals of Otology, Rhinology &amp; Laryngology","DOI":"10.1177/000348948008900501","ISSN":"0003-4894","issue":"5","journalAbbreviation":"Ann Otol Rhinol Laryngol","language":"en","note":"publisher: SAGE Publications Inc","page":"391-396","source":"SAGE Journals","title":"Chevalier Jackson Lecture Sténose œsophagienne chez les enfants","volume":"89","author":[{"family":"Aprigliano","given":"Flavio"}],"issued":{"date-parts":[["1980",9,1]]}},"label":"page"},{"id":5270,"uris":["http://zotero.org/users/3962825/items/DY6V8JYE"],"uri":["http://zotero.org/users/3962825/items/DY6V8JYE"],"itemData":{"id":5270,"type":"article-journal","abstract":"Objectifs \n        Les auteurs présentent leur expérience dans le traitement des cas de sténose œsophagienne sévère résistante à la dilatation conventionnelle par la mise en place de stents en silicone, décrivent une technique de mise en place précise et établissent un protocole standard pour l'utilisation de ces dispositifs.\n        Méthodes \n        Les auteurs détaillent la procédure de placement et le suivi dans une série de 10 patients (5 hommes, 5 femmes) entre 1 et 23 ans, chez qui la technique a été utilisée. Neuf patients avaient des cicatrices œsophagiennes sévères causées par des agents alcalins, et un autre avait une sténose sévère résultant d'une atrésie œsophagienne; tous ont été inclus dans le programme de dilatation de 6 mois à 19 ans. Le procédé utilise un stent biocompatible auto-extensible qui est placé à l'aide d'un applicateur spécial sur la zone sténosée après avoir effectué une dilatation. Celle-ci est maintenue suffisamment longtemps pour garantir une cicatrisation œsophagienne sans sténose, permettant l'alimentation orale du patient. En général, les enfants ont eu des nausées et des vomissements pendant des périodes de 12 à 48 heures; ces épisodes étaient plus fréquents lorsque la lésion était plus élevée et plus longue. Le traitement par midazolam et ondansétron a soulagé les symptômes. Tous les patients ont reçu de l'oméprazole pendant que le stent était en place.\n        Résultats \n        Cinq patients ont reçu un stent, quatre autres en ont nécessité deux et un autre en a eu trois à cause d'une resténose. Chez les cinq patients qui ont nécessité le remplacement du stent, une faible dose de stéroïdes (0,3 mg / kg / 24 h) a été administrée 2 semaines avant et également pendant la période de pose. Actuellement, cinq patients sont complètement guéris, avec un suivi allant de 4 à 19 mois. Trois patients nécessitent maintenant un remplacement du stent, et deux autres sont sous observation après avoir retiré le stent. La tolérance à long terme au stent a été excellente dans tous les cas. La durée de mise en place du stent variait de 20 à 133 jours.\n        Conclusions \n        Les stents en polypropylène siliconé (Poliflex / Rüsch) semblent être un nouvel outil prometteur dans le traitement conservateur de la sténose œsophagienne. Les stents permettent une alimentation normale pendant l'application, réduisent considérablement la durée du traitement et évitent des séances d'anesthésie répétées pour les dilatations.","container-title":"Journal of Pediatric Gastroenterology and Nutrition","ISSN":"0277-2116","issue":"2","language":"fr","page":"203–206","source":"journals.lww.com","title":"Results of a New Technique in the Treatment of Severe Esophageal Stenosis in Children: Poliflex Stents","title-short":"Results of a New Technique in the Treatment of Severe Esophageal Stenosis in Children","volume":"37","author":[{"family":"Broto","given":"Jesús"},{"family":"Asensio","given":"Marino"},{"family":"Vernet","given":"Jose Maria Gil"}],"issued":{"date-parts":[["2003",8]]}},"label":"page"}],"schema":"https://github.com/citation-style-language/schema/raw/master/csl-citation.json"}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11]</w:t>
      </w:r>
      <w:r>
        <w:rPr>
          <w:rFonts w:hint="default" w:ascii="Times New Roman" w:hAnsi="Times New Roman" w:cs="Times New Roman"/>
          <w:sz w:val="20"/>
          <w:szCs w:val="20"/>
        </w:rPr>
        <w:fldChar w:fldCharType="end"/>
      </w:r>
      <w:r>
        <w:rPr>
          <w:rFonts w:hint="default" w:ascii="Times New Roman" w:hAnsi="Times New Roman" w:cs="Times New Roman"/>
          <w:sz w:val="20"/>
          <w:szCs w:val="20"/>
        </w:rPr>
        <w:t>. Dans notre cas, nous avons noté une amélioration de la dysphagie chez tous les patients et la collaboration avec les pédiatres a été bénéfique pour le suivi des deux enfants. Par conséquent, des études approfondies sur ce sujet doivent être menées afin d’assortir de protocole de prise en charge pluridisciplinaire adéquat dans nos régions notamment subsahariennes.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corps étrangers œsophagiens sur sténose caustique sont une entité rare dans notre contexte et constituent une urgence médico-chirurgicale. Ils potentialisent l’aggravation du pronostic vital du patient particulièrement les enfants. C’est pourquoi, nous attirons l’attention des collègues notamment ORL sur la gravité et nécessité de la prise en charge pluridisciplinaire des sténoses caustiques</w:t>
      </w:r>
      <w:bookmarkStart w:id="0" w:name="_GoBack"/>
      <w:bookmarkEnd w:id="0"/>
      <w:r>
        <w:rPr>
          <w:rFonts w:hint="default" w:ascii="Times New Roman" w:hAnsi="Times New Roman" w:cs="Times New Roman"/>
          <w:sz w:val="20"/>
          <w:szCs w:val="20"/>
        </w:rPr>
        <w:t xml:space="preserve"> dans nos régions.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prévention par l’étiquetage des emballages des produits dangereux et des séances de sensibilisation.</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b/>
          <w:sz w:val="20"/>
          <w:szCs w:val="20"/>
        </w:rPr>
        <w:t>Contribution</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L</w:t>
      </w:r>
      <w:r>
        <w:rPr>
          <w:rFonts w:hint="default" w:ascii="Times New Roman" w:hAnsi="Times New Roman" w:cs="Times New Roman"/>
          <w:sz w:val="20"/>
          <w:szCs w:val="20"/>
        </w:rPr>
        <w:t>es auteurs ont tous contribué à la rédaction de l’article</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Remerciements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N</w:t>
      </w:r>
      <w:r>
        <w:rPr>
          <w:rFonts w:hint="default" w:ascii="Times New Roman" w:hAnsi="Times New Roman" w:cs="Times New Roman"/>
          <w:sz w:val="20"/>
          <w:szCs w:val="20"/>
        </w:rPr>
        <w:t xml:space="preserve">ous adressons nos remerciements aux collègues (pédiatres, radiologues et chirurgiens viscérales) pour la qualité de la collaboration pluridisciplinaire. </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b/>
          <w:sz w:val="20"/>
          <w:szCs w:val="20"/>
        </w:rPr>
        <w:t>Conflits d’intérêt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C</w:t>
      </w:r>
      <w:r>
        <w:rPr>
          <w:rFonts w:hint="default" w:ascii="Times New Roman" w:hAnsi="Times New Roman" w:cs="Times New Roman"/>
          <w:sz w:val="20"/>
          <w:szCs w:val="20"/>
        </w:rPr>
        <w:t>e manuscrit ne présente aucun conflit d’intérêt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b/>
          <w:sz w:val="20"/>
          <w:szCs w:val="20"/>
        </w:rPr>
        <w:t>Les appuis financiers et autres types de sponsoring sont annoncés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A</w:t>
      </w:r>
      <w:r>
        <w:rPr>
          <w:rFonts w:hint="default" w:ascii="Times New Roman" w:hAnsi="Times New Roman" w:cs="Times New Roman"/>
          <w:sz w:val="20"/>
          <w:szCs w:val="20"/>
        </w:rPr>
        <w:t>ucun</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RÉFÉRENCES</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ADDIN ZOTERO_BIBL {"uncited":[],"omitted":[],"custom":[[["http://zotero.org/users/3962825/items/TD7JBS4H"],"8. \\tab{}Lee JH. Foreign Body Ingestion in Children. Clin Endosc. 2018;51(2):129\\uc0\\u8209{}36."],[["http://zotero.org/users/3962825/items/KGK4TCXR"],"2. \\tab{}Tashtush NA, Bataineh ZA, Yusef DH, Al Quran TM, Rousan LA, Khasawneh R, et al. Ingested sharp foreign body presented as chronic esophageal stricture and inflammatory mediastinal mass for 113 weeks: Case report. Annals of Medicine and Surgery. 2019;45:91\\uc0\\u8209{}4."],[["http://zotero.org/users/3962825/items/WHMS8RXT"],"9. \\tab{}Aprigliano F. Chevalier Jackson Lecture St\\uc0\\u233{}nose \\uc0\\u339{}sophagienne chez les enfants. Ann Otol Rhinol Laryngol. 1980;89(5):391\\uc0\\u8209{}6."],[["http://zotero.org/users/3962825/items/AFEI8WLC"],"6. \\tab{}Betalli P, Rossi A, Bini M, Bacis G, Borrelli O, Cutrone C, et al. Update on management of caustic and foreign body ingestion in children. Diagnostic and therapeutic endoscopy. 2009;969868:8"],[["http://zotero.org/users/3962825/items/DY6V8JYE"],"10. \\tab{}Broto J, Asensio M, Vernet JMG. Results of a New Technique in the Treatment of Severe Esophageal Stenosis in Children: Poliflex Stents. Journal of Pediatric Gastroenterology and Nutrition. 2003;37(2):203\\uc0\\u8211{}206."],[["http://zotero.org/users/3962825/items/WUJ2ZIJB"],"5. \\tab{}Mohamed AS, Mbaye PA, Fall M, Diouf A, Ndoye NA, Diaby A, et al. \\uc0\\u201{}pid\\uc0\\u233{}miologie des Accidents Domestiques chez l\\uc0\\u8217{}Enfant \\uc0\\u224{} Dakar (S\\uc0\\u233{}n\\uc0\\u233{}gal). HEALTH SCIENCES AND DISEASE. 25 ao\\uc0\\u251{}t 2019;20(5):18-23. Disponible sur: http://www.hsd-fmsb.org/index.php/hsd/article/view/1591"]]} CSL_BIBLIOGRAPHY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 xml:space="preserve">1. </w:t>
      </w:r>
      <w:r>
        <w:rPr>
          <w:rFonts w:hint="default" w:ascii="Times New Roman" w:hAnsi="Times New Roman" w:cs="Times New Roman"/>
          <w:sz w:val="18"/>
          <w:szCs w:val="18"/>
        </w:rPr>
        <w:tab/>
      </w:r>
      <w:r>
        <w:rPr>
          <w:rFonts w:hint="default" w:ascii="Times New Roman" w:hAnsi="Times New Roman" w:cs="Times New Roman"/>
          <w:sz w:val="18"/>
          <w:szCs w:val="18"/>
        </w:rPr>
        <w:t xml:space="preserve">Ramareddy RS, Alladi A. Review of esophageal injuries and stenosis: Lessons learn and current concepts of management. J Indian Assoc Pediatr Surg. 2016;21(3):139‑43. </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2. </w:t>
      </w:r>
      <w:r>
        <w:rPr>
          <w:rFonts w:hint="default" w:ascii="Times New Roman" w:hAnsi="Times New Roman" w:cs="Times New Roman"/>
          <w:sz w:val="18"/>
          <w:szCs w:val="18"/>
        </w:rPr>
        <w:tab/>
      </w:r>
      <w:r>
        <w:rPr>
          <w:rFonts w:hint="default" w:ascii="Times New Roman" w:hAnsi="Times New Roman" w:cs="Times New Roman"/>
          <w:sz w:val="18"/>
          <w:szCs w:val="18"/>
        </w:rPr>
        <w:t>Tashtush NA, Bataineh ZA, Yusef DH, Al Quran TM, Rousan LA, Khasawneh R, et al. Ingested sharp foreign body presented as chronic esophageal stricture and inflammatory mediastinal mass for 113 weeks: Case report. Annals of Medicine and Surgery. 2019;45:91‑4.</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3. </w:t>
      </w:r>
      <w:r>
        <w:rPr>
          <w:rFonts w:hint="default" w:ascii="Times New Roman" w:hAnsi="Times New Roman" w:cs="Times New Roman"/>
          <w:sz w:val="18"/>
          <w:szCs w:val="18"/>
        </w:rPr>
        <w:tab/>
      </w:r>
      <w:r>
        <w:rPr>
          <w:rFonts w:hint="default" w:ascii="Times New Roman" w:hAnsi="Times New Roman" w:cs="Times New Roman"/>
          <w:sz w:val="18"/>
          <w:szCs w:val="18"/>
        </w:rPr>
        <w:t xml:space="preserve">Durenne JM, Navigué C. Propos sur les brulures caustiques de l’oesophage chez l’enfant africain. Ann Soc Belge Med Trop. 1972;52(6):499‑508. </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4. </w:t>
      </w:r>
      <w:r>
        <w:rPr>
          <w:rFonts w:hint="default" w:ascii="Times New Roman" w:hAnsi="Times New Roman" w:cs="Times New Roman"/>
          <w:sz w:val="18"/>
          <w:szCs w:val="18"/>
        </w:rPr>
        <w:tab/>
      </w:r>
      <w:r>
        <w:rPr>
          <w:rFonts w:hint="default" w:ascii="Times New Roman" w:hAnsi="Times New Roman" w:cs="Times New Roman"/>
          <w:sz w:val="18"/>
          <w:szCs w:val="18"/>
        </w:rPr>
        <w:t xml:space="preserve">Bakyono K, Gouéta E, Zaghré N, Diasso K, Bambara C, Nao E, et al. Les corps étrangers oesophagiens au service ORL du CHU Yalgado Ouédraogo. Jaccr Africa. 2020;4(2):238‑46. </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5. </w:t>
      </w:r>
      <w:r>
        <w:rPr>
          <w:rFonts w:hint="default" w:ascii="Times New Roman" w:hAnsi="Times New Roman" w:cs="Times New Roman"/>
          <w:sz w:val="18"/>
          <w:szCs w:val="18"/>
        </w:rPr>
        <w:tab/>
      </w:r>
      <w:r>
        <w:rPr>
          <w:rFonts w:hint="default" w:ascii="Times New Roman" w:hAnsi="Times New Roman" w:cs="Times New Roman"/>
          <w:sz w:val="18"/>
          <w:szCs w:val="18"/>
        </w:rPr>
        <w:t>Mohamed AS, Mbaye PA, Fall M, Diouf A, Ndoye NA, Diaby A, et al. Épidémiologie des Accidents Domestiques chez l’Enfant à Dakar (Sénégal). HEALTH SCIENCES AND DISEASE. 25 août 2019;20(5):18-23. Disponible sur: http://www.hsd-fmsb.org/index.php/hsd/article/view/1591</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6. </w:t>
      </w:r>
      <w:r>
        <w:rPr>
          <w:rFonts w:hint="default" w:ascii="Times New Roman" w:hAnsi="Times New Roman" w:cs="Times New Roman"/>
          <w:sz w:val="18"/>
          <w:szCs w:val="18"/>
        </w:rPr>
        <w:tab/>
      </w:r>
      <w:r>
        <w:rPr>
          <w:rFonts w:hint="default" w:ascii="Times New Roman" w:hAnsi="Times New Roman" w:cs="Times New Roman"/>
          <w:sz w:val="18"/>
          <w:szCs w:val="18"/>
        </w:rPr>
        <w:t xml:space="preserve">Ka AS, Imbert P, Diagne I, Seye MN, Gerardin P, Guyon P, et al. Epidémiologie et pronostic des accidents de l’enfant à Dakar, Sénégal. Med Trop (Mars). 2003;63(4‑5):533‑8. </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7. </w:t>
      </w:r>
      <w:r>
        <w:rPr>
          <w:rFonts w:hint="default" w:ascii="Times New Roman" w:hAnsi="Times New Roman" w:cs="Times New Roman"/>
          <w:sz w:val="18"/>
          <w:szCs w:val="18"/>
        </w:rPr>
        <w:tab/>
      </w:r>
      <w:r>
        <w:rPr>
          <w:rFonts w:hint="default" w:ascii="Times New Roman" w:hAnsi="Times New Roman" w:cs="Times New Roman"/>
          <w:sz w:val="18"/>
          <w:szCs w:val="18"/>
        </w:rPr>
        <w:t>Betalli P, Rossi A, Bini M, Bacis G, Borrelli O, Cutrone C, et al. Update on management of caustic and foreign body ingestion in children. Diagnostic and therapeutic endoscopy. 2009;969868:8</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8. </w:t>
      </w:r>
      <w:r>
        <w:rPr>
          <w:rFonts w:hint="default" w:ascii="Times New Roman" w:hAnsi="Times New Roman" w:cs="Times New Roman"/>
          <w:sz w:val="18"/>
          <w:szCs w:val="18"/>
        </w:rPr>
        <w:tab/>
      </w:r>
      <w:r>
        <w:rPr>
          <w:rFonts w:hint="default" w:ascii="Times New Roman" w:hAnsi="Times New Roman" w:cs="Times New Roman"/>
          <w:sz w:val="18"/>
          <w:szCs w:val="18"/>
        </w:rPr>
        <w:t>Lee JH. Foreign Body Ingestion in Children. Clin Endosc. 2018;51(2):129‑36.</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9. </w:t>
      </w:r>
      <w:r>
        <w:rPr>
          <w:rFonts w:hint="default" w:ascii="Times New Roman" w:hAnsi="Times New Roman" w:cs="Times New Roman"/>
          <w:sz w:val="18"/>
          <w:szCs w:val="18"/>
        </w:rPr>
        <w:tab/>
      </w:r>
      <w:r>
        <w:rPr>
          <w:rFonts w:hint="default" w:ascii="Times New Roman" w:hAnsi="Times New Roman" w:cs="Times New Roman"/>
          <w:sz w:val="18"/>
          <w:szCs w:val="18"/>
        </w:rPr>
        <w:t xml:space="preserve">Vignon RK, Kodjoh N, Sehonou J, Olory-Togbe JL. La prise en charge endoscopique des corps étrangers de l’oesophage au Bénin. Journal Africain d’Hépato-Gastroentérologie. 2014;8(3):135‑8. </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10. </w:t>
      </w:r>
      <w:r>
        <w:rPr>
          <w:rFonts w:hint="default" w:ascii="Times New Roman" w:hAnsi="Times New Roman" w:cs="Times New Roman"/>
          <w:sz w:val="18"/>
          <w:szCs w:val="18"/>
        </w:rPr>
        <w:tab/>
      </w:r>
      <w:r>
        <w:rPr>
          <w:rFonts w:hint="default" w:ascii="Times New Roman" w:hAnsi="Times New Roman" w:cs="Times New Roman"/>
          <w:sz w:val="18"/>
          <w:szCs w:val="18"/>
        </w:rPr>
        <w:t>Aprigliano F. Chevalier Jackson Lecture Sténose œsophagienne chez les enfants. Ann Otol Rhinol Laryngol. 1980;89(5):391‑6.</w:t>
      </w:r>
    </w:p>
    <w:p>
      <w:pPr>
        <w:pStyle w:val="7"/>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sz w:val="18"/>
          <w:szCs w:val="18"/>
        </w:rPr>
        <w:t xml:space="preserve">11. </w:t>
      </w:r>
      <w:r>
        <w:rPr>
          <w:rFonts w:hint="default" w:ascii="Times New Roman" w:hAnsi="Times New Roman" w:cs="Times New Roman"/>
          <w:sz w:val="18"/>
          <w:szCs w:val="18"/>
        </w:rPr>
        <w:tab/>
      </w:r>
      <w:r>
        <w:rPr>
          <w:rFonts w:hint="default" w:ascii="Times New Roman" w:hAnsi="Times New Roman" w:cs="Times New Roman"/>
          <w:sz w:val="18"/>
          <w:szCs w:val="18"/>
        </w:rPr>
        <w:t>Broto J, Asensio M, Vernet JMG. Results of a New Technique in the Treatment of Severe Esophageal Stenosis in Children: Poliflex Stents. Journal of Pediatric Gastroenterology and Nutrition. 2003;37(2):203–206.</w:t>
      </w:r>
    </w:p>
    <w:p>
      <w:pPr>
        <w:rPr>
          <w:rFonts w:hint="default"/>
        </w:rPr>
      </w:pPr>
    </w:p>
    <w:p>
      <w:pPr>
        <w:keepNext w:val="0"/>
        <w:keepLines w:val="0"/>
        <w:pageBreakBefore w:val="0"/>
        <w:widowControl/>
        <w:tabs>
          <w:tab w:val="center" w:pos="4536"/>
          <w:tab w:val="left" w:pos="498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18"/>
          <w:szCs w:val="18"/>
        </w:rPr>
        <w:fldChar w:fldCharType="end"/>
      </w:r>
    </w:p>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8096685"/>
      <w:docPartObj>
        <w:docPartGallery w:val="autotext"/>
      </w:docPartObj>
    </w:sdtPr>
    <w:sdtContent>
      <w:p>
        <w:pPr>
          <w:pStyle w:val="2"/>
          <w:jc w:val="right"/>
        </w:pPr>
      </w:p>
    </w:sdtContent>
  </w:sdt>
  <w:p>
    <w:pPr>
      <w:pStyle w:val="2"/>
      <w:tabs>
        <w:tab w:val="left" w:pos="4140"/>
      </w:tabs>
      <w:rPr>
        <w:rFonts w:hint="default" w:ascii="Times New Roman"/>
        <w:sz w:val="18"/>
        <w:lang w:val="fr-FR"/>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25" name="Grouper 25"/>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9" name="Losange 19"/>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0" name="Rectangle 20"/>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21" name="Zone de texte 21"/>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24" name="Grouper 24"/>
                      <wpg:cNvGrpSpPr/>
                      <wpg:grpSpPr>
                        <a:xfrm>
                          <a:off x="1783" y="14647"/>
                          <a:ext cx="562" cy="314"/>
                          <a:chOff x="1715" y="14936"/>
                          <a:chExt cx="672" cy="376"/>
                        </a:xfrm>
                      </wpg:grpSpPr>
                      <wps:wsp>
                        <wps:cNvPr id="22" name="Forme libre 22"/>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23" name="Forme libre 23"/>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">
              <o:lock v:ext="edit" aspectratio="f"/>
              <v:shape id="_x0000_s1026" o:spid="_x0000_s1026" o:spt="4" type="#_x0000_t4" style="position:absolute;left:1793;top:14550;height:507;width:536;" filled="f" stroked="t" coordsize="21600,21600" o:gfxdata="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5t7xbsAAADb&#10;AAAADwAAAAAAAAABACAAAAAiAAAAZHJzL2Rvd25yZXYueG1sUEsBAhQAFAAAAAgAh07iQDMvBZ47&#10;AAAAOQAAABAAAAAAAAAAAQAgAAAACgEAAGRycy9zaGFwZXhtbC54bWxQSwUGAAAAAAYABgBbAQAA&#10;tAM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wf8TnLsAAADb&#10;AAAADwAAAGRycy9kb3ducmV2LnhtbEVPPW+DMBDdK/U/WFepWzEwVBHFyVApUpaGhmZItxO+YgQ+&#10;I+wCya+vh0gdn953uVvtIGaafOdYQZakIIgbpztuFZy/9i8bED4gaxwck4IredhtHx9KLLRb+ERz&#10;HVoRQ9gXqMCEMBZS+saQRZ+4kThyP26yGCKcWqknXGK4HWSepq/SYsexweBI74aavv61Cj4v1VJ/&#10;915jd+6H6nY0H7fNqtTzU5a+gQi0hn/x3X3QCvK4Pn6JP0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8TnLsAAADb&#10;AAAADwAAAAAAAAABACAAAAAiAAAAZHJzL2Rvd25yZXYueG1sUEsBAhQAFAAAAAgAh07iQDMvBZ47&#10;AAAAOQAAABAAAAAAAAAAAQAgAAAACgEAAGRycy9zaGFwZXhtbC54bWxQSwUGAAAAAAYABgBbAQAA&#10;tAM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H+qS/LwAAADb&#10;AAAADwAAAGRycy9kb3ducmV2LnhtbEWPQYvCMBSE74L/ITxhL7JN6kG0Gj0I4p4WVj14fNs822Dz&#10;UppY7b/fLAgeh5n5hllvn64RPXXBetaQZwoEcemN5UrD+bT/XIAIEdlg45k0DBRguxmP1lgY/+Af&#10;6o+xEgnCoUANdYxtIWUoa3IYMt8SJ+/qO4cxya6SpsNHgrtGzpSaS4eW00KNLe1qKm/Hu9MwXd5+&#10;v/F6OfRx2OV2blXbD2etPya5WoGI9Izv8Kv9ZTTMcvj/kn6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kvy8AAAA&#10;2wAAAA8AAAAAAAAAAQAgAAAAIgAAAGRycy9kb3ducmV2LnhtbFBLAQIUABQAAAAIAIdO4kAzLwWe&#10;OwAAADkAAAAQAAAAAAAAAAEAIAAAAAsBAABkcnMvc2hhcGV4bWwueG1sUEsFBgAAAAAGAAYAWwEA&#10;ALUDA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1792;top:14859;height:530;width:375;rotation:-5898240f;" filled="f" stroked="t" coordsize="21600,21600" o:gfxdata="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wOl8L4A&#10;AADbAAAADwAAAAAAAAABACAAAAAiAAAAZHJzL2Rvd25yZXYueG1sUEsBAhQAFAAAAAgAh07iQDMv&#10;BZ47AAAAOQAAABAAAAAAAAAAAQAgAAAADQEAAGRycy9zaGFwZXhtbC54bWxQSwUGAAAAAAYABgBb&#10;AQAAtwM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9oFkYbsAAADb&#10;AAAADwAAAGRycy9kb3ducmV2LnhtbEWP3WoCMRSE7wXfIRzBG6lZFUS2RhGlRRAEfx7gsDndLN2c&#10;pEnqz9sbQfBymJlvmPnyZltxoRAbxwpGwwIEceV0w7WC8+nrYwYiJmSNrWNScKcIy0W3M8dSuysf&#10;6HJMtcgQjiUqMCn5UspYGbIYh84TZ+/HBYspy1BLHfCa4baV46KYSosN5wWDntaGqt/jv1XwF+L3&#10;bu8H2Ib1ym7q1WG68Uapfm9UfIJIdEvv8Ku91QrGE3h+y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oFkYbsAAADb&#10;AAAADwAAAAAAAAABACAAAAAiAAAAZHJzL2Rvd25yZXYueG1sUEsBAhQAFAAAAAgAh07iQDMvBZ47&#10;AAAAOQAAABAAAAAAAAAAAQAgAAAACgEAAGRycy9zaGFwZXhtbC54bWxQSwUGAAAAAAYABgBbAQAA&#10;tAM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4</w:t>
    </w:r>
    <w:r>
      <w:rPr>
        <w:rFonts w:ascii="Times New Roman"/>
        <w:sz w:val="18"/>
        <w:lang w:val="en-US"/>
      </w:rPr>
      <w:t xml:space="preserve">) </w:t>
    </w:r>
    <w:r>
      <w:rPr>
        <w:rFonts w:hint="default" w:ascii="Times New Roman"/>
        <w:sz w:val="18"/>
        <w:lang w:val="fr-FR"/>
      </w:rPr>
      <w:t>April</w:t>
    </w:r>
    <w:r>
      <w:rPr>
        <w:rFonts w:ascii="Times New Roman"/>
        <w:sz w:val="18"/>
        <w:lang w:val="en-US"/>
      </w:rPr>
      <w:t xml:space="preserve"> 202</w:t>
    </w:r>
    <w:r>
      <w:rPr>
        <w:rFonts w:hint="default" w:ascii="Times New Roman"/>
        <w:sz w:val="18"/>
        <w:lang w:val="fr-FR"/>
      </w:rPr>
      <w:t>1</w:t>
    </w:r>
  </w:p>
  <w:p>
    <w:pPr>
      <w:pStyle w:val="2"/>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Corps étranger sur sténose œsophagienne: à propos de 3 cas</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 xml:space="preserve">Keita </w:t>
    </w:r>
    <w:r>
      <w:rPr>
        <w:rFonts w:ascii="Times New Roman" w:hAnsi="Times New Roman"/>
        <w:i/>
        <w:sz w:val="20"/>
      </w:rPr>
      <w:t>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6"/>
    <w:rsid w:val="00010DF6"/>
    <w:rsid w:val="00037E14"/>
    <w:rsid w:val="00053BD2"/>
    <w:rsid w:val="00061803"/>
    <w:rsid w:val="0006607A"/>
    <w:rsid w:val="00066936"/>
    <w:rsid w:val="000A16B1"/>
    <w:rsid w:val="000C0497"/>
    <w:rsid w:val="000C78CE"/>
    <w:rsid w:val="000D65D8"/>
    <w:rsid w:val="000E417D"/>
    <w:rsid w:val="000E6739"/>
    <w:rsid w:val="0011020C"/>
    <w:rsid w:val="00121DC4"/>
    <w:rsid w:val="00153086"/>
    <w:rsid w:val="00171D1A"/>
    <w:rsid w:val="001A2C45"/>
    <w:rsid w:val="001F4F46"/>
    <w:rsid w:val="001F5632"/>
    <w:rsid w:val="002164D4"/>
    <w:rsid w:val="0024053D"/>
    <w:rsid w:val="00255F83"/>
    <w:rsid w:val="00267F0D"/>
    <w:rsid w:val="002744A2"/>
    <w:rsid w:val="00330CEF"/>
    <w:rsid w:val="003649C5"/>
    <w:rsid w:val="003E282B"/>
    <w:rsid w:val="003E7444"/>
    <w:rsid w:val="003F3312"/>
    <w:rsid w:val="00401D7A"/>
    <w:rsid w:val="00430445"/>
    <w:rsid w:val="0046143A"/>
    <w:rsid w:val="00475703"/>
    <w:rsid w:val="00491B5A"/>
    <w:rsid w:val="004D2CD2"/>
    <w:rsid w:val="00507F47"/>
    <w:rsid w:val="005138D3"/>
    <w:rsid w:val="00514336"/>
    <w:rsid w:val="00543C6D"/>
    <w:rsid w:val="00576794"/>
    <w:rsid w:val="0059457D"/>
    <w:rsid w:val="00594CC7"/>
    <w:rsid w:val="005E2D7F"/>
    <w:rsid w:val="005E62A7"/>
    <w:rsid w:val="00647367"/>
    <w:rsid w:val="00652FF0"/>
    <w:rsid w:val="006D057D"/>
    <w:rsid w:val="00705920"/>
    <w:rsid w:val="00735304"/>
    <w:rsid w:val="00745A4D"/>
    <w:rsid w:val="00750394"/>
    <w:rsid w:val="0075083D"/>
    <w:rsid w:val="007657AF"/>
    <w:rsid w:val="00765B3C"/>
    <w:rsid w:val="00776C6E"/>
    <w:rsid w:val="00782CD1"/>
    <w:rsid w:val="00790753"/>
    <w:rsid w:val="0079510C"/>
    <w:rsid w:val="007A323D"/>
    <w:rsid w:val="007C3AEC"/>
    <w:rsid w:val="007C7A65"/>
    <w:rsid w:val="007D2C42"/>
    <w:rsid w:val="00814566"/>
    <w:rsid w:val="00836D51"/>
    <w:rsid w:val="008529F5"/>
    <w:rsid w:val="00864CC7"/>
    <w:rsid w:val="00882856"/>
    <w:rsid w:val="00887253"/>
    <w:rsid w:val="00887F3F"/>
    <w:rsid w:val="008D18C6"/>
    <w:rsid w:val="0093202B"/>
    <w:rsid w:val="00945CBA"/>
    <w:rsid w:val="00956D3A"/>
    <w:rsid w:val="0098769A"/>
    <w:rsid w:val="009A4D1E"/>
    <w:rsid w:val="009D68F3"/>
    <w:rsid w:val="009E2CDB"/>
    <w:rsid w:val="00A1506C"/>
    <w:rsid w:val="00A21577"/>
    <w:rsid w:val="00A70F4C"/>
    <w:rsid w:val="00AE082A"/>
    <w:rsid w:val="00B04819"/>
    <w:rsid w:val="00B15167"/>
    <w:rsid w:val="00B404F7"/>
    <w:rsid w:val="00BF0212"/>
    <w:rsid w:val="00C14B92"/>
    <w:rsid w:val="00C257E0"/>
    <w:rsid w:val="00C473A4"/>
    <w:rsid w:val="00C839B3"/>
    <w:rsid w:val="00C9469E"/>
    <w:rsid w:val="00CA3B97"/>
    <w:rsid w:val="00D4331E"/>
    <w:rsid w:val="00D6301A"/>
    <w:rsid w:val="00D63DBD"/>
    <w:rsid w:val="00D63FE7"/>
    <w:rsid w:val="00D76ADB"/>
    <w:rsid w:val="00DC6C47"/>
    <w:rsid w:val="00DD0A12"/>
    <w:rsid w:val="00E13893"/>
    <w:rsid w:val="00E83681"/>
    <w:rsid w:val="00EA34A0"/>
    <w:rsid w:val="00EB3D61"/>
    <w:rsid w:val="00EC42A9"/>
    <w:rsid w:val="00F05CE7"/>
    <w:rsid w:val="00F22494"/>
    <w:rsid w:val="00F42487"/>
    <w:rsid w:val="00F441D9"/>
    <w:rsid w:val="00FD1E37"/>
    <w:rsid w:val="3C150992"/>
    <w:rsid w:val="51854F09"/>
    <w:rsid w:val="56257EA3"/>
    <w:rsid w:val="7DAA4D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4">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36"/>
        <w:tab w:val="right" w:pos="9072"/>
      </w:tabs>
      <w:spacing w:after="0" w:line="240" w:lineRule="auto"/>
    </w:pPr>
  </w:style>
  <w:style w:type="paragraph" w:styleId="3">
    <w:name w:val="header"/>
    <w:basedOn w:val="1"/>
    <w:link w:val="8"/>
    <w:unhideWhenUsed/>
    <w:uiPriority w:val="99"/>
    <w:pPr>
      <w:tabs>
        <w:tab w:val="center" w:pos="4536"/>
        <w:tab w:val="right" w:pos="9072"/>
      </w:tabs>
      <w:spacing w:after="0" w:line="240" w:lineRule="auto"/>
    </w:pPr>
  </w:style>
  <w:style w:type="character" w:styleId="5">
    <w:name w:val="Hyperlink"/>
    <w:basedOn w:val="4"/>
    <w:unhideWhenUsed/>
    <w:qFormat/>
    <w:uiPriority w:val="99"/>
    <w:rPr>
      <w:color w:val="0000FF"/>
      <w:u w:val="single"/>
    </w:rPr>
  </w:style>
  <w:style w:type="paragraph" w:customStyle="1" w:styleId="7">
    <w:name w:val="Bibliography"/>
    <w:basedOn w:val="1"/>
    <w:next w:val="1"/>
    <w:unhideWhenUsed/>
    <w:uiPriority w:val="37"/>
    <w:pPr>
      <w:tabs>
        <w:tab w:val="left" w:pos="504"/>
      </w:tabs>
      <w:spacing w:after="240" w:line="240" w:lineRule="auto"/>
      <w:ind w:left="504" w:hanging="504"/>
    </w:pPr>
  </w:style>
  <w:style w:type="character" w:customStyle="1" w:styleId="8">
    <w:name w:val="En-tête Car"/>
    <w:basedOn w:val="4"/>
    <w:link w:val="3"/>
    <w:uiPriority w:val="99"/>
  </w:style>
  <w:style w:type="character" w:customStyle="1" w:styleId="9">
    <w:name w:val="Pied de page Car"/>
    <w:basedOn w:val="4"/>
    <w:link w:val="2"/>
    <w:qFormat/>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9063</Words>
  <Characters>49848</Characters>
  <Lines>415</Lines>
  <Paragraphs>117</Paragraphs>
  <TotalTime>12</TotalTime>
  <ScaleCrop>false</ScaleCrop>
  <LinksUpToDate>false</LinksUpToDate>
  <CharactersWithSpaces>58794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2021-03-08T07:54:00Z</dcterms:created>
  <dc:creator>DIALLO IBRAHIMA</dc:creator>
  <cp:lastModifiedBy>user</cp:lastModifiedBy>
  <dcterms:modified xsi:type="dcterms:W3CDTF">2021-03-19T23:00:31Z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id="uTENEKmU"/&gt;&lt;style id="http://www.zotero.org/styles/vancouver-brackets" locale="fr-FR" hasBibliography="1" bibliographyStyleHasBeenSet="1"/&gt;&lt;prefs&gt;&lt;pref name="fieldType" value="Field"/&gt;&lt;/prefs&gt;&lt;/d</vt:lpwstr>
  </property>
  <property fmtid="{D5CDD505-2E9C-101B-9397-08002B2CF9AE}" pid="3" name="ZOTERO_PREF_2">
    <vt:lpwstr>ata&gt;</vt:lpwstr>
  </property>
  <property fmtid="{D5CDD505-2E9C-101B-9397-08002B2CF9AE}" pid="4" name="KSOProductBuildVer">
    <vt:lpwstr>1036-11.2.0.8970</vt:lpwstr>
  </property>
</Properties>
</file>